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B4" w:rsidRDefault="003313C4" w:rsidP="003313C4">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5F6CBE1-F764-4B11-B2E3-8564678C9E05" style="width:450.25pt;height:406.65pt">
            <v:imagedata r:id="rId9" o:title=""/>
          </v:shape>
        </w:pict>
      </w:r>
    </w:p>
    <w:bookmarkEnd w:id="0"/>
    <w:p w:rsidR="00ED47B4" w:rsidRDefault="00ED47B4">
      <w:pPr>
        <w:rPr>
          <w:noProof/>
        </w:rPr>
        <w:sectPr w:rsidR="00ED47B4" w:rsidSect="003313C4">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ED47B4" w:rsidRDefault="003313C4">
      <w:pPr>
        <w:spacing w:after="360"/>
        <w:jc w:val="center"/>
        <w:rPr>
          <w:rFonts w:ascii="Times New Roman" w:hAnsi="Times New Roman"/>
          <w:b/>
          <w:noProof/>
          <w:sz w:val="24"/>
          <w:szCs w:val="24"/>
          <w:u w:val="single"/>
        </w:rPr>
      </w:pPr>
      <w:r>
        <w:rPr>
          <w:rFonts w:ascii="Times New Roman" w:hAnsi="Times New Roman"/>
          <w:b/>
          <w:noProof/>
          <w:sz w:val="24"/>
          <w:u w:val="single"/>
        </w:rPr>
        <w:lastRenderedPageBreak/>
        <w:t>Bilag 1: Strategisk handlingsplan om trafiksikkerhed</w:t>
      </w:r>
    </w:p>
    <w:p w:rsidR="00ED47B4" w:rsidRDefault="003313C4">
      <w:pPr>
        <w:spacing w:after="480" w:line="240" w:lineRule="auto"/>
        <w:jc w:val="both"/>
        <w:rPr>
          <w:rFonts w:ascii="Times New Roman" w:hAnsi="Times New Roman"/>
          <w:noProof/>
          <w:sz w:val="24"/>
          <w:szCs w:val="24"/>
        </w:rPr>
      </w:pPr>
      <w:r>
        <w:rPr>
          <w:rFonts w:ascii="Times New Roman" w:hAnsi="Times New Roman"/>
          <w:noProof/>
          <w:sz w:val="24"/>
        </w:rPr>
        <w:t xml:space="preserve">I dette bilag skitseres en række konkrete foranstaltninger, som er planlagt under Kommissionens nuværende mandat, dvs. frem til udgangen af 3. kvartal 2019. </w:t>
      </w:r>
      <w:r>
        <w:rPr>
          <w:rFonts w:ascii="Times New Roman" w:hAnsi="Times New Roman"/>
          <w:b/>
          <w:noProof/>
          <w:sz w:val="24"/>
        </w:rPr>
        <w:t xml:space="preserve">Der er fastsat en tidsfrist for disse foranstaltninger. </w:t>
      </w:r>
      <w:r>
        <w:rPr>
          <w:rFonts w:ascii="Times New Roman" w:hAnsi="Times New Roman"/>
          <w:noProof/>
          <w:sz w:val="24"/>
        </w:rPr>
        <w:t>Det kan naturligvis ikke foregribes, hvilke</w:t>
      </w:r>
      <w:r>
        <w:rPr>
          <w:rFonts w:ascii="Times New Roman" w:hAnsi="Times New Roman"/>
          <w:noProof/>
          <w:sz w:val="24"/>
        </w:rPr>
        <w:t xml:space="preserve"> foranstaltninger den næste Kommission vil træffe, men der præsenteres en vifte af yderligere påtænkte foranstaltninger for perioden efter 2019. </w:t>
      </w:r>
      <w:r>
        <w:rPr>
          <w:rFonts w:ascii="Times New Roman" w:hAnsi="Times New Roman"/>
          <w:b/>
          <w:noProof/>
          <w:sz w:val="24"/>
        </w:rPr>
        <w:t>Denne er vejledende og har ingen tidsfrister</w:t>
      </w:r>
      <w:r>
        <w:rPr>
          <w:rFonts w:ascii="Times New Roman" w:hAnsi="Times New Roman"/>
          <w:noProof/>
          <w:sz w:val="24"/>
        </w:rPr>
        <w:t>.</w:t>
      </w:r>
      <w:r>
        <w:rPr>
          <w:rFonts w:ascii="Times New Roman" w:hAnsi="Times New Roman"/>
          <w:b/>
          <w:noProof/>
          <w:sz w:val="24"/>
        </w:rPr>
        <w:t xml:space="preserve"> </w:t>
      </w:r>
    </w:p>
    <w:p w:rsidR="00ED47B4" w:rsidRDefault="003313C4">
      <w:pPr>
        <w:spacing w:after="240" w:line="240" w:lineRule="auto"/>
        <w:jc w:val="both"/>
        <w:outlineLvl w:val="0"/>
        <w:rPr>
          <w:rFonts w:ascii="Times New Roman" w:hAnsi="Times New Roman"/>
          <w:b/>
          <w:noProof/>
          <w:sz w:val="24"/>
          <w:szCs w:val="24"/>
        </w:rPr>
      </w:pPr>
      <w:r>
        <w:rPr>
          <w:rFonts w:ascii="Times New Roman" w:hAnsi="Times New Roman"/>
          <w:b/>
          <w:noProof/>
          <w:sz w:val="24"/>
        </w:rPr>
        <w:t>1. Bedre forvaltning af trafiksikkerheden</w:t>
      </w:r>
    </w:p>
    <w:p w:rsidR="00ED47B4" w:rsidRDefault="003313C4">
      <w:pPr>
        <w:spacing w:after="240" w:line="240" w:lineRule="auto"/>
        <w:jc w:val="both"/>
        <w:outlineLvl w:val="0"/>
        <w:rPr>
          <w:rFonts w:ascii="Times New Roman" w:hAnsi="Times New Roman"/>
          <w:noProof/>
          <w:sz w:val="24"/>
          <w:szCs w:val="24"/>
        </w:rPr>
      </w:pPr>
      <w:r>
        <w:rPr>
          <w:rFonts w:ascii="Times New Roman" w:hAnsi="Times New Roman"/>
          <w:noProof/>
          <w:sz w:val="24"/>
        </w:rPr>
        <w:t>For at modvirke tenden</w:t>
      </w:r>
      <w:r>
        <w:rPr>
          <w:rFonts w:ascii="Times New Roman" w:hAnsi="Times New Roman"/>
          <w:noProof/>
          <w:sz w:val="24"/>
        </w:rPr>
        <w:t>sen med stagnerende tal for trafiksikkerhed i EU og gøre fremskridt i retning af det langsigtede mål om helt at undgå dødsfald i trafikken i EU i 2050 ("nul-visionen") er der behov for en ny tilgang. EU's trafiksikkerhedspolitiske rammer for 2021-2030, som</w:t>
      </w:r>
      <w:r>
        <w:rPr>
          <w:rFonts w:ascii="Times New Roman" w:hAnsi="Times New Roman"/>
          <w:noProof/>
          <w:sz w:val="24"/>
        </w:rPr>
        <w:t xml:space="preserve"> skal udspecificeres nærmere senest i 2019, er baseret på </w:t>
      </w:r>
      <w:r>
        <w:rPr>
          <w:rFonts w:ascii="Times New Roman" w:hAnsi="Times New Roman"/>
          <w:b/>
          <w:noProof/>
          <w:sz w:val="24"/>
        </w:rPr>
        <w:t>Safe System-tilgangen</w:t>
      </w:r>
      <w:r>
        <w:rPr>
          <w:rFonts w:ascii="Times New Roman" w:hAnsi="Times New Roman"/>
          <w:noProof/>
          <w:sz w:val="24"/>
        </w:rPr>
        <w:t xml:space="preserve">. Denne tilgang omfatter fastsættelse af klare mål og overvågning af fremskridtene ved hjælp af en række </w:t>
      </w:r>
      <w:r>
        <w:rPr>
          <w:rFonts w:ascii="Times New Roman" w:hAnsi="Times New Roman"/>
          <w:b/>
          <w:noProof/>
          <w:sz w:val="24"/>
        </w:rPr>
        <w:t>centrale resultatindikatorer</w:t>
      </w:r>
      <w:r>
        <w:rPr>
          <w:rFonts w:ascii="Times New Roman" w:hAnsi="Times New Roman"/>
          <w:noProof/>
          <w:sz w:val="24"/>
        </w:rPr>
        <w:t>, der har direkte sammenhæng med forebyggels</w:t>
      </w:r>
      <w:r>
        <w:rPr>
          <w:rFonts w:ascii="Times New Roman" w:hAnsi="Times New Roman"/>
          <w:noProof/>
          <w:sz w:val="24"/>
        </w:rPr>
        <w:t xml:space="preserve">e af dødsfald og alvorligt kvæstede blandt alle trafikanter.  Den kræver </w:t>
      </w:r>
      <w:r>
        <w:rPr>
          <w:rFonts w:ascii="Times New Roman" w:hAnsi="Times New Roman"/>
          <w:b/>
          <w:noProof/>
          <w:sz w:val="24"/>
        </w:rPr>
        <w:t>en koordineret indsats i alle sektorer og for alle trafikanter</w:t>
      </w:r>
      <w:r>
        <w:rPr>
          <w:rFonts w:ascii="Times New Roman" w:hAnsi="Times New Roman"/>
          <w:noProof/>
          <w:sz w:val="24"/>
        </w:rPr>
        <w:t xml:space="preserve"> under en forbedret forvaltningsstruktur.</w:t>
      </w:r>
    </w:p>
    <w:p w:rsidR="00ED47B4" w:rsidRDefault="003313C4">
      <w:pPr>
        <w:pBdr>
          <w:top w:val="single" w:sz="4" w:space="1" w:color="auto"/>
          <w:left w:val="single" w:sz="4" w:space="4" w:color="auto"/>
          <w:bottom w:val="single" w:sz="4" w:space="1" w:color="auto"/>
          <w:right w:val="single" w:sz="4" w:space="4" w:color="auto"/>
        </w:pBdr>
        <w:spacing w:after="120" w:line="240" w:lineRule="auto"/>
        <w:jc w:val="center"/>
        <w:outlineLvl w:val="0"/>
        <w:rPr>
          <w:rFonts w:ascii="Times New Roman" w:hAnsi="Times New Roman"/>
          <w:b/>
          <w:noProof/>
          <w:sz w:val="24"/>
          <w:szCs w:val="24"/>
        </w:rPr>
      </w:pPr>
      <w:r>
        <w:rPr>
          <w:rFonts w:ascii="Times New Roman" w:hAnsi="Times New Roman"/>
          <w:b/>
          <w:noProof/>
          <w:sz w:val="24"/>
        </w:rPr>
        <w:t>Nøgleaktioner vedrørende forvaltning</w:t>
      </w:r>
    </w:p>
    <w:p w:rsidR="00ED47B4" w:rsidRDefault="003313C4">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b/>
          <w:noProof/>
          <w:sz w:val="24"/>
        </w:rPr>
        <w:t>Kommissionen vil</w:t>
      </w:r>
      <w:r>
        <w:rPr>
          <w:rFonts w:ascii="Times New Roman" w:hAnsi="Times New Roman"/>
          <w:noProof/>
          <w:sz w:val="24"/>
        </w:rPr>
        <w:t xml:space="preserve"> konkretisere de principper for EU's trafiksikkerhedspolitiske rammer for 2021-2030, som er fastlagt i nærværende meddelelse [2. kvartal 2019], bl.a. i form af</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en liste over centrale resultatindikatorer, der skal knyttes sammen med målresultater, som fasts</w:t>
      </w:r>
      <w:r>
        <w:rPr>
          <w:rFonts w:ascii="Times New Roman" w:hAnsi="Times New Roman"/>
          <w:noProof/>
          <w:sz w:val="24"/>
        </w:rPr>
        <w:t>ættes i tæt samarbejde med medlemsstaterne</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et styrket mandat for Arbejdsgruppen på Højt Plan om Trafiksikkerhed (som består af højtstående repræsentanter for nationale forvaltninger), som omfatter strategisk rådgivning og hyppig feedback og</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en ny rolle til</w:t>
      </w:r>
      <w:r>
        <w:rPr>
          <w:rFonts w:ascii="Times New Roman" w:hAnsi="Times New Roman"/>
          <w:noProof/>
          <w:sz w:val="24"/>
        </w:rPr>
        <w:t xml:space="preserve"> den europæiske trafiksikkerhedsambassadør (en velkendt personlighed), som skal koordinere indsatsen på trafiksikkerhedsområdet med medlemsstaterne og udbrede god praksis både inden for EU og på internationalt plan.</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120" w:line="240" w:lineRule="auto"/>
        <w:jc w:val="both"/>
        <w:outlineLvl w:val="0"/>
        <w:rPr>
          <w:rFonts w:ascii="Times New Roman" w:hAnsi="Times New Roman"/>
          <w:noProof/>
          <w:sz w:val="24"/>
          <w:szCs w:val="24"/>
        </w:rPr>
      </w:pPr>
      <w:r>
        <w:rPr>
          <w:rFonts w:ascii="Times New Roman" w:hAnsi="Times New Roman"/>
          <w:noProof/>
          <w:sz w:val="24"/>
        </w:rPr>
        <w:t>I hele perioden vil Kommissionen (anfør</w:t>
      </w:r>
      <w:r>
        <w:rPr>
          <w:rFonts w:ascii="Times New Roman" w:hAnsi="Times New Roman"/>
          <w:noProof/>
          <w:sz w:val="24"/>
        </w:rPr>
        <w:t>t af en koordineringsgruppe, der oprettes på tværs af generaldirektoraterne) samarbejde med medlemsstaterne og interesserede parter om at overvåge og øge fremdriften, f.eks. ved hvert andet år at afholde møder med fokus på resultater og fremme frivilligt e</w:t>
      </w:r>
      <w:r>
        <w:rPr>
          <w:rFonts w:ascii="Times New Roman" w:hAnsi="Times New Roman"/>
          <w:noProof/>
          <w:sz w:val="24"/>
        </w:rPr>
        <w:t>ngagement, navnlig inden for rammerne af et styrket EU-charter om trafiksikkerhed</w:t>
      </w:r>
      <w:r>
        <w:rPr>
          <w:rStyle w:val="FootnoteReference"/>
          <w:rFonts w:ascii="Times New Roman" w:hAnsi="Times New Roman"/>
          <w:noProof/>
          <w:sz w:val="24"/>
        </w:rPr>
        <w:footnoteReference w:id="1"/>
      </w:r>
      <w:r>
        <w:rPr>
          <w:rFonts w:ascii="Times New Roman" w:hAnsi="Times New Roman"/>
          <w:noProof/>
          <w:sz w:val="24"/>
        </w:rPr>
        <w:t>.</w:t>
      </w:r>
    </w:p>
    <w:p w:rsidR="00ED47B4" w:rsidRDefault="00ED47B4">
      <w:pPr>
        <w:spacing w:after="240" w:line="240" w:lineRule="auto"/>
        <w:jc w:val="both"/>
        <w:outlineLvl w:val="0"/>
        <w:rPr>
          <w:rFonts w:ascii="Times New Roman" w:hAnsi="Times New Roman"/>
          <w:b/>
          <w:noProof/>
          <w:sz w:val="24"/>
          <w:szCs w:val="24"/>
        </w:rPr>
      </w:pPr>
    </w:p>
    <w:p w:rsidR="00ED47B4" w:rsidRDefault="003313C4">
      <w:pPr>
        <w:spacing w:after="240" w:line="240" w:lineRule="auto"/>
        <w:jc w:val="both"/>
        <w:outlineLvl w:val="0"/>
        <w:rPr>
          <w:rFonts w:ascii="Times New Roman" w:hAnsi="Times New Roman"/>
          <w:b/>
          <w:noProof/>
          <w:sz w:val="24"/>
          <w:szCs w:val="24"/>
        </w:rPr>
      </w:pPr>
      <w:r>
        <w:rPr>
          <w:rFonts w:ascii="Times New Roman" w:hAnsi="Times New Roman"/>
          <w:b/>
          <w:noProof/>
          <w:sz w:val="24"/>
        </w:rPr>
        <w:t>2. Øget økonomisk støtte til trafiksikkerhed</w:t>
      </w:r>
    </w:p>
    <w:p w:rsidR="00ED47B4" w:rsidRDefault="003313C4">
      <w:pPr>
        <w:spacing w:line="240" w:lineRule="auto"/>
        <w:jc w:val="both"/>
        <w:rPr>
          <w:rFonts w:ascii="Times New Roman" w:hAnsi="Times New Roman"/>
          <w:noProof/>
          <w:sz w:val="24"/>
          <w:szCs w:val="24"/>
        </w:rPr>
      </w:pPr>
      <w:r>
        <w:rPr>
          <w:rFonts w:ascii="Times New Roman" w:hAnsi="Times New Roman"/>
          <w:noProof/>
          <w:sz w:val="24"/>
        </w:rPr>
        <w:t xml:space="preserve">En vigtig løftestang, som EU har til rådighed for at fremskynde opnåelsen af resultater, består i at yde støtte til </w:t>
      </w:r>
      <w:r>
        <w:rPr>
          <w:rFonts w:ascii="Times New Roman" w:hAnsi="Times New Roman"/>
          <w:noProof/>
          <w:sz w:val="24"/>
        </w:rPr>
        <w:t>initiativer vedrørende trafiksikkerhed ved hjælp af forskellige løsninger. Der kan ydes støtte til opgraderinger af infrastruktur fra regionale fonde under den nuværende finansielle ramme. Desuden stilles der ved den aktuelle indkaldelse under Connecting E</w:t>
      </w:r>
      <w:r>
        <w:rPr>
          <w:rFonts w:ascii="Times New Roman" w:hAnsi="Times New Roman"/>
          <w:noProof/>
          <w:sz w:val="24"/>
        </w:rPr>
        <w:t>urope-</w:t>
      </w:r>
      <w:r>
        <w:rPr>
          <w:rFonts w:ascii="Times New Roman" w:hAnsi="Times New Roman"/>
          <w:noProof/>
          <w:sz w:val="24"/>
        </w:rPr>
        <w:lastRenderedPageBreak/>
        <w:t>faciliteten 200 mio. EUR til rådighed for trafiksikkerhed og digitalisering. På længere sigt vil det være vigtigt at sikre stabilitet og sammenhæng i finansieringsløsningerne for opgradering af infrastruktur, andre trafiksikkerhedstiltag og kapacitet</w:t>
      </w:r>
      <w:r>
        <w:rPr>
          <w:rFonts w:ascii="Times New Roman" w:hAnsi="Times New Roman"/>
          <w:noProof/>
          <w:sz w:val="24"/>
        </w:rPr>
        <w:t>sopbygning.</w:t>
      </w:r>
    </w:p>
    <w:p w:rsidR="00ED47B4" w:rsidRDefault="003313C4">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b/>
          <w:noProof/>
          <w:sz w:val="24"/>
          <w:szCs w:val="24"/>
        </w:rPr>
      </w:pPr>
      <w:r>
        <w:rPr>
          <w:rFonts w:ascii="Times New Roman" w:hAnsi="Times New Roman"/>
          <w:b/>
          <w:noProof/>
          <w:sz w:val="24"/>
        </w:rPr>
        <w:t>Nøgleaktioner vedrørende støtte og finansiering</w:t>
      </w:r>
    </w:p>
    <w:p w:rsidR="00ED47B4" w:rsidRDefault="003313C4">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rPr>
        <w:t xml:space="preserve">Kommissionen vil: </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tilskynde til brug af økonomisk støtte fra EU's struktur- og investeringsfonde til opgradering af infrastrukturen for at øge trafiksikkerheden, navnlig i medlemsstater med forho</w:t>
      </w:r>
      <w:r>
        <w:rPr>
          <w:rFonts w:ascii="Times New Roman" w:hAnsi="Times New Roman"/>
          <w:noProof/>
          <w:sz w:val="24"/>
        </w:rPr>
        <w:t>ldsvis ringe trafiksikkerhed, og opmuntre til brug af Connecting Europe-faciliteten [2. kvartal 2018]</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effektivisere og øge støtten til finansiering af trafiksikkerhedsforanstaltninger i den næste flerårige finansielle ramme under hensyntagen til </w:t>
      </w:r>
      <w:r>
        <w:rPr>
          <w:rFonts w:ascii="Times New Roman" w:hAnsi="Times New Roman"/>
          <w:noProof/>
          <w:sz w:val="24"/>
        </w:rPr>
        <w:t>komplementariteten mellem de forskellige finansieringsinstrumenter [2. kvartal 2018]</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undersøge, hvordan der kan sikres stabilitet i finansieringen af støtte til trafiksikkerhedsforanstaltninger under den næste flerårige finansielle ramme, f.eks. med hensyn</w:t>
      </w:r>
      <w:r>
        <w:rPr>
          <w:rFonts w:ascii="Times New Roman" w:hAnsi="Times New Roman"/>
          <w:noProof/>
          <w:sz w:val="24"/>
        </w:rPr>
        <w:t xml:space="preserve"> til fælles operationer med fokus på håndhævelse af færdselsreglerne, som gennemføres i samarbejde mellem politimyndigheder på tværs af grænserne [3. kvartal 2018] og</w:t>
      </w:r>
    </w:p>
    <w:p w:rsidR="00ED47B4" w:rsidRDefault="003313C4">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undersøge mulighederne for at yde økonomisk støtte til kapacitetsopbygning på medlemsstat</w:t>
      </w:r>
      <w:r>
        <w:rPr>
          <w:rFonts w:ascii="Times New Roman" w:hAnsi="Times New Roman"/>
          <w:noProof/>
          <w:sz w:val="24"/>
        </w:rPr>
        <w:t>splan, bl.a. i tilknytning til Safe System-strategier (f.eks. målemetoder med brug af centrale resultatindikatorer) [3. kvartal 2019].</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Derudover vil Kommissionen i tæt samarbejde med Den Europæiske Investeringsbank undersøge, hvordan offentlige myndighede</w:t>
      </w:r>
      <w:r>
        <w:rPr>
          <w:rFonts w:ascii="Times New Roman" w:hAnsi="Times New Roman"/>
          <w:noProof/>
          <w:sz w:val="24"/>
        </w:rPr>
        <w:t>r kan få lettere adgang til tilstrækkelig økonomisk støtte til indkøb af sikrere flåder. For eksempel kunne der oprettes en facilitet for sikrere transport, eller den nuværende facilitet for renere transport kunne eventuelt udvides</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Kommissionen vil endvi</w:t>
      </w:r>
      <w:r>
        <w:rPr>
          <w:rFonts w:ascii="Times New Roman" w:hAnsi="Times New Roman"/>
          <w:noProof/>
          <w:sz w:val="24"/>
        </w:rPr>
        <w:t>dere undersøge, hvordan der kan ydes finansiering til den forskning og innovation, der er nødvendig for at udvikle og gennemføre Safe System-strategier.</w:t>
      </w:r>
    </w:p>
    <w:p w:rsidR="00ED47B4" w:rsidRDefault="00ED47B4">
      <w:pPr>
        <w:spacing w:after="0" w:line="240" w:lineRule="auto"/>
        <w:jc w:val="both"/>
        <w:outlineLvl w:val="0"/>
        <w:rPr>
          <w:rFonts w:ascii="Times New Roman" w:hAnsi="Times New Roman"/>
          <w:b/>
          <w:noProof/>
          <w:sz w:val="24"/>
          <w:szCs w:val="24"/>
        </w:rPr>
      </w:pPr>
    </w:p>
    <w:p w:rsidR="00ED47B4" w:rsidRDefault="003313C4">
      <w:pPr>
        <w:spacing w:after="0" w:line="240" w:lineRule="auto"/>
        <w:jc w:val="both"/>
        <w:outlineLvl w:val="0"/>
        <w:rPr>
          <w:rFonts w:ascii="Times New Roman" w:hAnsi="Times New Roman"/>
          <w:b/>
          <w:noProof/>
          <w:sz w:val="24"/>
          <w:szCs w:val="24"/>
        </w:rPr>
      </w:pPr>
      <w:r>
        <w:rPr>
          <w:rFonts w:ascii="Times New Roman" w:hAnsi="Times New Roman"/>
          <w:b/>
          <w:noProof/>
          <w:sz w:val="24"/>
          <w:szCs w:val="24"/>
        </w:rPr>
        <w:br/>
      </w:r>
      <w:r>
        <w:rPr>
          <w:rFonts w:ascii="Times New Roman" w:hAnsi="Times New Roman"/>
          <w:b/>
          <w:noProof/>
          <w:sz w:val="24"/>
        </w:rPr>
        <w:t>3.</w:t>
      </w:r>
      <w:r>
        <w:rPr>
          <w:noProof/>
        </w:rPr>
        <w:tab/>
      </w:r>
      <w:r>
        <w:rPr>
          <w:rFonts w:ascii="Times New Roman" w:hAnsi="Times New Roman"/>
          <w:b/>
          <w:noProof/>
          <w:sz w:val="24"/>
        </w:rPr>
        <w:t>Sikre veje og vejsider</w:t>
      </w:r>
    </w:p>
    <w:p w:rsidR="00ED47B4" w:rsidRDefault="00ED47B4">
      <w:pPr>
        <w:spacing w:after="0" w:line="240" w:lineRule="auto"/>
        <w:jc w:val="both"/>
        <w:outlineLvl w:val="0"/>
        <w:rPr>
          <w:rFonts w:ascii="Times New Roman" w:hAnsi="Times New Roman"/>
          <w:b/>
          <w:noProof/>
          <w:sz w:val="24"/>
          <w:szCs w:val="24"/>
        </w:rPr>
      </w:pPr>
    </w:p>
    <w:p w:rsidR="00ED47B4" w:rsidRDefault="003313C4">
      <w:pPr>
        <w:spacing w:after="240" w:line="240" w:lineRule="auto"/>
        <w:jc w:val="both"/>
        <w:outlineLvl w:val="0"/>
        <w:rPr>
          <w:rFonts w:ascii="Times New Roman" w:hAnsi="Times New Roman"/>
          <w:noProof/>
          <w:sz w:val="24"/>
          <w:szCs w:val="24"/>
        </w:rPr>
      </w:pPr>
      <w:r>
        <w:rPr>
          <w:rFonts w:ascii="Times New Roman" w:hAnsi="Times New Roman"/>
          <w:noProof/>
          <w:sz w:val="24"/>
        </w:rPr>
        <w:t>Safe System-tilgangen til anlæggelse af veje indebærer, at vejenes funktio</w:t>
      </w:r>
      <w:r>
        <w:rPr>
          <w:rFonts w:ascii="Times New Roman" w:hAnsi="Times New Roman"/>
          <w:noProof/>
          <w:sz w:val="24"/>
        </w:rPr>
        <w:t>n, udformning, layout og hastighedsgrænser skal matche hinanden for at undgå menneskelige fejl, således at ulykker ikke fører til dødsfald eller alvorlig legemsbeskadigelse. Kommissionen foreslår i dag at revidere direktivet om forvaltning af vejinfrastruk</w:t>
      </w:r>
      <w:r>
        <w:rPr>
          <w:rFonts w:ascii="Times New Roman" w:hAnsi="Times New Roman"/>
          <w:noProof/>
          <w:sz w:val="24"/>
        </w:rPr>
        <w:t xml:space="preserve">turens sikkerhed for at stille krav om </w:t>
      </w:r>
      <w:r>
        <w:rPr>
          <w:rFonts w:ascii="Times New Roman" w:hAnsi="Times New Roman"/>
          <w:b/>
          <w:noProof/>
          <w:sz w:val="24"/>
        </w:rPr>
        <w:t>øget gennemsigtighed og kortlægning af risici i hele nettet</w:t>
      </w:r>
      <w:r>
        <w:rPr>
          <w:rFonts w:ascii="Times New Roman" w:hAnsi="Times New Roman"/>
          <w:noProof/>
          <w:sz w:val="24"/>
        </w:rPr>
        <w:t xml:space="preserve"> og at udvide dets anvendelsesområde, så det ikke blot omfatter det transeuropæiske net, men </w:t>
      </w:r>
      <w:r>
        <w:rPr>
          <w:rFonts w:ascii="Times New Roman" w:hAnsi="Times New Roman"/>
          <w:b/>
          <w:noProof/>
          <w:sz w:val="24"/>
        </w:rPr>
        <w:t>alle primærveje</w:t>
      </w:r>
      <w:r>
        <w:rPr>
          <w:rFonts w:ascii="Times New Roman" w:hAnsi="Times New Roman"/>
          <w:noProof/>
          <w:sz w:val="24"/>
        </w:rPr>
        <w:t>.</w:t>
      </w:r>
      <w:r>
        <w:rPr>
          <w:rFonts w:ascii="Times New Roman" w:hAnsi="Times New Roman"/>
          <w:noProof/>
          <w:sz w:val="24"/>
          <w:highlight w:val="yellow"/>
        </w:rPr>
        <w:t xml:space="preserve"> </w:t>
      </w:r>
    </w:p>
    <w:p w:rsidR="00ED47B4" w:rsidRDefault="003313C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Nøgleaktioner vedrørende sikre veje og vejsider</w:t>
      </w:r>
    </w:p>
    <w:p w:rsidR="00ED47B4" w:rsidRDefault="003313C4">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Kommissionen vil:</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t xml:space="preserve">udføre forberedende arbejde og nedsætte en ekspertgruppe, som får til opgave at udforme rammer for klassificering af veje, som sikrer bedre matchning af vejenes udformning og layout med hastighedsgrænserne i overensstemmelse med Safe </w:t>
      </w:r>
      <w:r>
        <w:rPr>
          <w:rFonts w:ascii="Times New Roman" w:hAnsi="Times New Roman"/>
          <w:noProof/>
          <w:sz w:val="24"/>
        </w:rPr>
        <w:t>System-tilgangen [3. kvartal 2019]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b/>
          <w:noProof/>
          <w:sz w:val="24"/>
          <w:szCs w:val="24"/>
        </w:rPr>
      </w:pPr>
      <w:r>
        <w:rPr>
          <w:rFonts w:ascii="Times New Roman" w:hAnsi="Times New Roman"/>
          <w:noProof/>
          <w:sz w:val="24"/>
        </w:rPr>
        <w:lastRenderedPageBreak/>
        <w:t>lette udveksling af erfaringer om Safe System-metoder blandt eksperter på området (f.eks. i et forum for europæiske trafiksikkerhedsrevisorer) [efter vedtagelsen af det reviderede direktiv om forvaltning af vejinfrastr</w:t>
      </w:r>
      <w:r>
        <w:rPr>
          <w:rFonts w:ascii="Times New Roman" w:hAnsi="Times New Roman"/>
          <w:noProof/>
          <w:sz w:val="24"/>
        </w:rPr>
        <w:t>ukturens sikkerhed].</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 xml:space="preserve">I hele perioden vil Kommissionen bestræbe sig på at udpege yderligere EU-foranstaltninger, f.eks. med hensyn til at opstille specifikke sikkerhedsmål for vejene i det transeuropæiske net ved den næste revision af retningslinjerne for </w:t>
      </w:r>
      <w:r>
        <w:rPr>
          <w:rFonts w:ascii="Times New Roman" w:hAnsi="Times New Roman"/>
          <w:noProof/>
          <w:sz w:val="24"/>
        </w:rPr>
        <w:t xml:space="preserve">de transeuropæiske net.  </w:t>
      </w:r>
    </w:p>
    <w:p w:rsidR="00ED47B4" w:rsidRDefault="003313C4">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4.</w:t>
      </w:r>
      <w:r>
        <w:rPr>
          <w:noProof/>
        </w:rPr>
        <w:tab/>
      </w:r>
      <w:r>
        <w:rPr>
          <w:rFonts w:ascii="Times New Roman" w:hAnsi="Times New Roman"/>
          <w:b/>
          <w:noProof/>
          <w:sz w:val="24"/>
        </w:rPr>
        <w:t>Sikre køretøjer</w:t>
      </w:r>
    </w:p>
    <w:p w:rsidR="00ED47B4" w:rsidRDefault="003313C4">
      <w:pPr>
        <w:spacing w:before="240" w:after="0" w:line="240" w:lineRule="auto"/>
        <w:jc w:val="both"/>
        <w:outlineLvl w:val="0"/>
        <w:rPr>
          <w:rFonts w:ascii="Times New Roman" w:hAnsi="Times New Roman"/>
          <w:noProof/>
          <w:sz w:val="24"/>
          <w:szCs w:val="24"/>
        </w:rPr>
      </w:pPr>
      <w:r>
        <w:rPr>
          <w:rFonts w:ascii="Times New Roman" w:hAnsi="Times New Roman"/>
          <w:noProof/>
          <w:sz w:val="24"/>
        </w:rPr>
        <w:t>EU har formået at nedbringe antallet af dødsfald og alvorlige kvæstelser ved at forbedre køretøjernes sikkerhed i kraft af successive iterationer af forordningen om den generelle sikkerhed af motorkøretøjer og f</w:t>
      </w:r>
      <w:r>
        <w:rPr>
          <w:rFonts w:ascii="Times New Roman" w:hAnsi="Times New Roman"/>
          <w:noProof/>
          <w:sz w:val="24"/>
        </w:rPr>
        <w:t xml:space="preserve">orordningen om sikkerhed for fodgængere. Kommissionen foreslår at revidere disse forordninger for at gøre en række </w:t>
      </w:r>
      <w:r>
        <w:rPr>
          <w:rFonts w:ascii="Times New Roman" w:hAnsi="Times New Roman"/>
          <w:b/>
          <w:noProof/>
          <w:sz w:val="24"/>
        </w:rPr>
        <w:t>vigtige sikkerhedsfunktioner obligatoriske</w:t>
      </w:r>
      <w:r>
        <w:rPr>
          <w:rFonts w:ascii="Times New Roman" w:hAnsi="Times New Roman"/>
          <w:noProof/>
          <w:sz w:val="24"/>
        </w:rPr>
        <w:t>, herunder intelligent farthjælp og autonome nødbremsesystemer (bl.a. i forhold til fodgængere og c</w:t>
      </w:r>
      <w:r>
        <w:rPr>
          <w:rFonts w:ascii="Times New Roman" w:hAnsi="Times New Roman"/>
          <w:noProof/>
          <w:sz w:val="24"/>
        </w:rPr>
        <w:t>yklister) og forbedret direkte udsyn i lastvogne. Som opfølgning vil det være vigtigt at prioritere EU's og FN's arbejde med at udarbejde nye bestemmelser om køretøjers sikkerhed (f.eks. autonome nødbremsesystemer til lastvogne, herunder standarder for reg</w:t>
      </w:r>
      <w:r>
        <w:rPr>
          <w:rFonts w:ascii="Times New Roman" w:hAnsi="Times New Roman"/>
          <w:noProof/>
          <w:sz w:val="24"/>
        </w:rPr>
        <w:t xml:space="preserve">istrering af fodgængere og cyklister og direkte udsyn). </w:t>
      </w:r>
      <w:r>
        <w:rPr>
          <w:rFonts w:ascii="Times New Roman" w:hAnsi="Times New Roman"/>
          <w:b/>
          <w:noProof/>
          <w:sz w:val="24"/>
        </w:rPr>
        <w:t>Offentlige indkøb</w:t>
      </w:r>
      <w:r>
        <w:rPr>
          <w:rFonts w:ascii="Times New Roman" w:hAnsi="Times New Roman"/>
          <w:noProof/>
          <w:sz w:val="24"/>
        </w:rPr>
        <w:t xml:space="preserve"> rummer også interessante muligheder for at øve positiv indflydelse på tempoet i udbredelsen af sikkerhedsteknologier. </w:t>
      </w:r>
    </w:p>
    <w:p w:rsidR="00ED47B4" w:rsidRDefault="003313C4">
      <w:pPr>
        <w:spacing w:before="240" w:after="0" w:line="240" w:lineRule="auto"/>
        <w:jc w:val="both"/>
        <w:outlineLvl w:val="0"/>
        <w:rPr>
          <w:rFonts w:ascii="Times New Roman" w:hAnsi="Times New Roman"/>
          <w:noProof/>
          <w:sz w:val="24"/>
          <w:szCs w:val="24"/>
        </w:rPr>
      </w:pPr>
      <w:r>
        <w:rPr>
          <w:rFonts w:ascii="Times New Roman" w:hAnsi="Times New Roman"/>
          <w:noProof/>
          <w:sz w:val="24"/>
        </w:rPr>
        <w:t>Derudover foreslår Kommissionen at revidere forordningen om mær</w:t>
      </w:r>
      <w:r>
        <w:rPr>
          <w:rFonts w:ascii="Times New Roman" w:hAnsi="Times New Roman"/>
          <w:noProof/>
          <w:sz w:val="24"/>
        </w:rPr>
        <w:t xml:space="preserve">kning af dæk for at forbedre forbrugeroplysningen, navnlig med hensyn til </w:t>
      </w:r>
      <w:r>
        <w:rPr>
          <w:rFonts w:ascii="Times New Roman" w:hAnsi="Times New Roman"/>
          <w:b/>
          <w:noProof/>
          <w:sz w:val="24"/>
        </w:rPr>
        <w:t>dækkenes sikkerhedsegenskaber</w:t>
      </w:r>
      <w:r>
        <w:rPr>
          <w:rFonts w:ascii="Times New Roman" w:hAnsi="Times New Roman"/>
          <w:noProof/>
          <w:sz w:val="24"/>
        </w:rPr>
        <w:t>.</w:t>
      </w:r>
    </w:p>
    <w:p w:rsidR="00ED47B4" w:rsidRDefault="00ED47B4">
      <w:pPr>
        <w:spacing w:after="0" w:line="240" w:lineRule="auto"/>
        <w:jc w:val="both"/>
        <w:rPr>
          <w:rFonts w:ascii="Times New Roman" w:hAnsi="Times New Roman"/>
          <w:b/>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240" w:line="240" w:lineRule="auto"/>
        <w:jc w:val="center"/>
        <w:outlineLvl w:val="0"/>
        <w:rPr>
          <w:rFonts w:ascii="Times New Roman" w:hAnsi="Times New Roman"/>
          <w:b/>
          <w:noProof/>
          <w:sz w:val="24"/>
          <w:szCs w:val="24"/>
        </w:rPr>
      </w:pPr>
      <w:r>
        <w:rPr>
          <w:rFonts w:ascii="Times New Roman" w:hAnsi="Times New Roman"/>
          <w:b/>
          <w:noProof/>
          <w:sz w:val="24"/>
        </w:rPr>
        <w:t>Nøgleaktioner vedrørende sikre køretøjer</w:t>
      </w:r>
    </w:p>
    <w:p w:rsidR="00ED47B4" w:rsidRDefault="003313C4">
      <w:pPr>
        <w:pBdr>
          <w:top w:val="single" w:sz="4" w:space="1" w:color="auto"/>
          <w:left w:val="single" w:sz="4" w:space="4" w:color="auto"/>
          <w:bottom w:val="single" w:sz="4" w:space="1" w:color="auto"/>
          <w:right w:val="single" w:sz="4" w:space="4" w:color="auto"/>
        </w:pBdr>
        <w:spacing w:after="240" w:line="240" w:lineRule="auto"/>
        <w:outlineLvl w:val="0"/>
        <w:rPr>
          <w:rFonts w:ascii="Times New Roman" w:hAnsi="Times New Roman"/>
          <w:b/>
          <w:noProof/>
          <w:sz w:val="24"/>
          <w:szCs w:val="24"/>
        </w:rPr>
      </w:pPr>
      <w:r>
        <w:rPr>
          <w:rFonts w:ascii="Times New Roman" w:hAnsi="Times New Roman"/>
          <w:b/>
          <w:noProof/>
          <w:sz w:val="24"/>
        </w:rPr>
        <w:t>Kommissionen vil</w:t>
      </w:r>
      <w:r>
        <w:rPr>
          <w:rFonts w:ascii="Times New Roman" w:hAnsi="Times New Roman"/>
          <w:noProof/>
          <w:sz w:val="24"/>
        </w:rPr>
        <w:t xml:space="preserve">: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vurdere, om det er gennemførligt og omkostningseffektivt at modernisere den nuværende </w:t>
      </w:r>
      <w:r>
        <w:rPr>
          <w:rFonts w:ascii="Times New Roman" w:hAnsi="Times New Roman"/>
          <w:noProof/>
          <w:sz w:val="24"/>
        </w:rPr>
        <w:t>flåde (navnlig busser og lastvogne) med avancerede førerstøttesystemer [4. kvartal 2018]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opfordre medlemsstaterne til at overveje nationale incitamenter til hurtig udbredelse af afprøvede teknologier ved brug af flere forskellige midler, herunder udbud,</w:t>
      </w:r>
      <w:r>
        <w:rPr>
          <w:rFonts w:ascii="Times New Roman" w:hAnsi="Times New Roman"/>
          <w:noProof/>
          <w:sz w:val="24"/>
        </w:rPr>
        <w:t xml:space="preserve"> politikker med fokus på sikre rejseformer samt skatte- og forsikringsmæssige incitamenter, idet den frie konkurrence samtidig opretholdes på det indre marked [2. kvartal 2018].</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b/>
          <w:noProof/>
          <w:sz w:val="24"/>
          <w:szCs w:val="24"/>
        </w:rPr>
      </w:pPr>
      <w:r>
        <w:rPr>
          <w:rFonts w:ascii="Times New Roman" w:hAnsi="Times New Roman"/>
          <w:b/>
          <w:noProof/>
          <w:sz w:val="24"/>
        </w:rPr>
        <w:t>Kommissionen vil forsøge at indhente frivillige tilsagn</w:t>
      </w:r>
      <w:r>
        <w:rPr>
          <w:rFonts w:ascii="Times New Roman" w:hAnsi="Times New Roman"/>
          <w:noProof/>
          <w:sz w:val="24"/>
        </w:rPr>
        <w:t xml:space="preserve"> fra bl.a.</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arbejdsgivere/sammenslutninger af vejtransportvirksomheder (f.eks. om at bruge køretøjer med de seneste sikkerhedsfunktioner, før der pålægges lovkrav om at bruge dem)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offentlige myndigheder (f.eks. byer, som favoriserer indkøb af de sikreste – og ikke bl</w:t>
      </w:r>
      <w:r>
        <w:rPr>
          <w:rFonts w:ascii="Times New Roman" w:hAnsi="Times New Roman"/>
          <w:noProof/>
          <w:sz w:val="24"/>
        </w:rPr>
        <w:t xml:space="preserve">ot de reneste – biler til deres flåder i forbindelse med offentlige indkøb)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producenter (om f.eks. at indarbejde sikkerhedsfunktioner, der rækker ud over mindstekravene, for alle prissegmenter)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forsikringsselskaber (om f.eks. at ændre præmiestrukturen </w:t>
      </w:r>
      <w:r>
        <w:rPr>
          <w:rFonts w:ascii="Times New Roman" w:hAnsi="Times New Roman"/>
          <w:noProof/>
          <w:sz w:val="24"/>
        </w:rPr>
        <w:t xml:space="preserve">til gavn for sikrere køretøjer)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sektoren for udlejning og deling af biler (om f.eks. at fremme sikre biler i forbindelse med leje- og leasingaktiviteter, regelmæssig vedligeholdelse osv.), og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køreskoler (om f.eks. uddannelse af nye og eksisterende trafi</w:t>
      </w:r>
      <w:r>
        <w:rPr>
          <w:rFonts w:ascii="Times New Roman" w:hAnsi="Times New Roman"/>
          <w:noProof/>
          <w:sz w:val="24"/>
        </w:rPr>
        <w:t>kanter i, hvordan man bruger nye sikkerhedsfunktioner i køretøjer).</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Kommissionen vil vurdere behovet for en yderligere indsats, bl.a. med hensyn til bestemmelser om afprøvning af slidte dæks vejgreb, med hensyn til de retlige rammer for teknisk kontrol me</w:t>
      </w:r>
      <w:r>
        <w:rPr>
          <w:rFonts w:ascii="Times New Roman" w:hAnsi="Times New Roman"/>
          <w:noProof/>
          <w:sz w:val="24"/>
        </w:rPr>
        <w:t>d køretøjer, herunder foranstaltninger til bekæmpelse af, at ejere/brugere af køretøjer foretager ulovlige ændringer af dem, og med hensyn til at give sikkerhedshensyn en mere fremtrædende rolle i EU's lovgivning om offentlige indkøb.</w:t>
      </w:r>
    </w:p>
    <w:p w:rsidR="00ED47B4" w:rsidRDefault="003313C4">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 xml:space="preserve">5.  </w:t>
      </w:r>
      <w:r>
        <w:rPr>
          <w:noProof/>
        </w:rPr>
        <w:tab/>
      </w:r>
      <w:r>
        <w:rPr>
          <w:rFonts w:ascii="Times New Roman" w:hAnsi="Times New Roman"/>
          <w:b/>
          <w:noProof/>
          <w:sz w:val="24"/>
        </w:rPr>
        <w:t>Sikker kørsel</w:t>
      </w:r>
    </w:p>
    <w:p w:rsidR="00ED47B4" w:rsidRDefault="003313C4">
      <w:pPr>
        <w:spacing w:before="240" w:after="240" w:line="240" w:lineRule="auto"/>
        <w:jc w:val="both"/>
        <w:outlineLvl w:val="0"/>
        <w:rPr>
          <w:rFonts w:ascii="Times New Roman" w:hAnsi="Times New Roman"/>
          <w:noProof/>
          <w:sz w:val="24"/>
          <w:szCs w:val="24"/>
        </w:rPr>
      </w:pPr>
      <w:r>
        <w:rPr>
          <w:rFonts w:ascii="Times New Roman" w:hAnsi="Times New Roman"/>
          <w:noProof/>
          <w:sz w:val="24"/>
        </w:rPr>
        <w:t xml:space="preserve">Sikker </w:t>
      </w:r>
      <w:r>
        <w:rPr>
          <w:rFonts w:ascii="Times New Roman" w:hAnsi="Times New Roman"/>
          <w:b/>
          <w:noProof/>
          <w:sz w:val="24"/>
        </w:rPr>
        <w:t>adfærd</w:t>
      </w:r>
      <w:r>
        <w:rPr>
          <w:rFonts w:ascii="Times New Roman" w:hAnsi="Times New Roman"/>
          <w:noProof/>
          <w:sz w:val="24"/>
        </w:rPr>
        <w:t xml:space="preserve"> blandt trafikanterne (hastighed, brug af beskyttelsesudstyr såsom sikkerhedssele og styrthjelm, færdsel i trafikken uden at have indtaget alkohol eller narkotika og uden distraherende elementer) og </w:t>
      </w:r>
      <w:r>
        <w:rPr>
          <w:rFonts w:ascii="Times New Roman" w:hAnsi="Times New Roman"/>
          <w:b/>
          <w:noProof/>
          <w:sz w:val="24"/>
        </w:rPr>
        <w:t>håndhævelse</w:t>
      </w:r>
      <w:r>
        <w:rPr>
          <w:rFonts w:ascii="Times New Roman" w:hAnsi="Times New Roman"/>
          <w:noProof/>
          <w:sz w:val="24"/>
        </w:rPr>
        <w:t xml:space="preserve"> af krav til denne adfærd er også</w:t>
      </w:r>
      <w:r>
        <w:rPr>
          <w:rFonts w:ascii="Times New Roman" w:hAnsi="Times New Roman"/>
          <w:noProof/>
          <w:sz w:val="24"/>
        </w:rPr>
        <w:t xml:space="preserve"> afgørende for at forebygge og afbøde alvorlige ulykker. Forslaget til en revideret forordning om den generelle sikkerhed og sikkerhed for fodgængere omfatter visse elementer, der lover store sikkerhedsgevinster (intelligent farthjælp, teknologi til regist</w:t>
      </w:r>
      <w:r>
        <w:rPr>
          <w:rFonts w:ascii="Times New Roman" w:hAnsi="Times New Roman"/>
          <w:noProof/>
          <w:sz w:val="24"/>
        </w:rPr>
        <w:t xml:space="preserve">rering af træthed og standardiserede grænseflader for alkolåse). </w:t>
      </w:r>
    </w:p>
    <w:p w:rsidR="00ED47B4" w:rsidRDefault="003313C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Nøgleaktioner vedrørende sikker kørsel</w:t>
      </w:r>
    </w:p>
    <w:p w:rsidR="00ED47B4" w:rsidRDefault="003313C4">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Kommissionen vil:</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vurdere mulighederne for at øge effektiviteten af direktivet om grænseoverskridende håndhævelse over for trafikforseelser på grundlag</w:t>
      </w:r>
      <w:r>
        <w:rPr>
          <w:rFonts w:ascii="Times New Roman" w:hAnsi="Times New Roman"/>
          <w:noProof/>
          <w:sz w:val="24"/>
        </w:rPr>
        <w:t xml:space="preserve"> af en evaluering, der blev foretaget i 2016 [4. kvartal 2018]</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iværksætte en undersøgelse af, om det er muligt at gennemføre et lovgivningsinitiativ om gensidig anerkendelse af frakendelse af førerretten [1. kvartal 2019]</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gennemføre De Forenede Nationers Ø</w:t>
      </w:r>
      <w:r>
        <w:rPr>
          <w:rFonts w:ascii="Times New Roman" w:hAnsi="Times New Roman"/>
          <w:noProof/>
          <w:sz w:val="24"/>
        </w:rPr>
        <w:t>konomiske Kommission for Europas (UNECE) bestemmelser, hvori selealarmer gøres obligatoriske for alle sæder [4. kvartal 2018]</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samarbejde med medlemsstaterne om at skabe de forhold, der er nødvendige for sikre velfungerende intelligent farthjælp, der kan </w:t>
      </w:r>
      <w:r>
        <w:rPr>
          <w:rFonts w:ascii="Times New Roman" w:hAnsi="Times New Roman"/>
          <w:noProof/>
          <w:sz w:val="24"/>
        </w:rPr>
        <w:t>tilsidesættes, herunder angivelse af hastighedsgrænser i et digitalt format, og overveje, om det er muligt og acceptabelt at anvende intelligent farthjælp, der ikke kan tilsidesættes, i fremtiden [3. kvartal 2019]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vurdere, hvordan EU-henstillingen om de</w:t>
      </w:r>
      <w:r>
        <w:rPr>
          <w:rFonts w:ascii="Times New Roman" w:hAnsi="Times New Roman"/>
          <w:noProof/>
          <w:sz w:val="24"/>
        </w:rPr>
        <w:t>n maksimalt tilladte alkoholkoncentration i blodet kan styrkes, f.eks. anbefale lavere grænseværdier for erhvervschauffører og/eller nye bilister og vejlede om brug af alkolåse [3. kvartal 2018].</w:t>
      </w:r>
    </w:p>
    <w:p w:rsidR="00ED47B4" w:rsidRDefault="00ED47B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240" w:line="240" w:lineRule="auto"/>
        <w:rPr>
          <w:rFonts w:ascii="Times New Roman" w:hAnsi="Times New Roman"/>
          <w:noProof/>
          <w:sz w:val="24"/>
          <w:szCs w:val="24"/>
        </w:rPr>
      </w:pPr>
      <w:r>
        <w:rPr>
          <w:rFonts w:ascii="Times New Roman" w:hAnsi="Times New Roman"/>
          <w:b/>
          <w:noProof/>
          <w:sz w:val="24"/>
        </w:rPr>
        <w:t>Kommissionen vil forsøge at indhente frivillige tilsagn</w:t>
      </w:r>
      <w:r>
        <w:rPr>
          <w:rFonts w:ascii="Times New Roman" w:hAnsi="Times New Roman"/>
          <w:noProof/>
          <w:sz w:val="24"/>
        </w:rPr>
        <w:t xml:space="preserve"> fra</w:t>
      </w:r>
      <w:r>
        <w:rPr>
          <w:rFonts w:ascii="Times New Roman" w:hAnsi="Times New Roman"/>
          <w:noProof/>
          <w:sz w:val="24"/>
        </w:rPr>
        <w:t xml:space="preserve"> bl.a.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arbejdsgivere/sammenslutninger af vejtransportvirksomheder (om bl.a. bedre uddannelse og oplysning af erhvervschauffører ud over lovkravene til uddannelse af erhvervschauffører)</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uddannelsessektoren (om bl.a. at gøre trafiksikkerhed til en del af de</w:t>
      </w:r>
      <w:r>
        <w:rPr>
          <w:rFonts w:ascii="Times New Roman" w:hAnsi="Times New Roman"/>
          <w:noProof/>
          <w:sz w:val="24"/>
        </w:rPr>
        <w:t xml:space="preserve"> generelle læseplaner) og brugerorganisationer (om bl.a. at fremme sikker adfærd og tage hensyn til faktorer vedrørende alder og køn)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offentlige myndigheder (om bl.a. at kræve montering af alkolåse i forbindelse med offentlige indkøb)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busrejseselskaber </w:t>
      </w:r>
      <w:r>
        <w:rPr>
          <w:rFonts w:ascii="Times New Roman" w:hAnsi="Times New Roman"/>
          <w:noProof/>
          <w:sz w:val="24"/>
        </w:rPr>
        <w:t>(om bl.a. oplysningskampagner vedrørende sikkerhedsseler)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taxi- og samkørselsvirksomheder (om bl.a. at udruste deres flåder med barnesæder).</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 xml:space="preserve">Under det fremtidige program for forskning og innovation vil Kommissionen desuden fremme og støtte forskning i </w:t>
      </w:r>
      <w:r>
        <w:rPr>
          <w:rFonts w:ascii="Times New Roman" w:hAnsi="Times New Roman"/>
          <w:noProof/>
          <w:sz w:val="24"/>
        </w:rPr>
        <w:t>udvikling af testmetoder og billigere værktøjer til narkotikasporing og automatisk vurdering af egnethed til at køre såvel som i at undgå manglende opmærksomhed, herunder førere, der distraheres af elektroniske systemer, der er integreret i køretøjer. Komm</w:t>
      </w:r>
      <w:r>
        <w:rPr>
          <w:rFonts w:ascii="Times New Roman" w:hAnsi="Times New Roman"/>
          <w:noProof/>
          <w:sz w:val="24"/>
        </w:rPr>
        <w:t>issionen vil vurdere, om individuelle elektroniske selealarmer skal gøres obligatoriske i turistbusser, og om der i samarbejde med industrien skal udarbejdes en adfærdskodeks for at sikre, at informationssystemer og telefoner i biler udformes på en måde, s</w:t>
      </w:r>
      <w:r>
        <w:rPr>
          <w:rFonts w:ascii="Times New Roman" w:hAnsi="Times New Roman"/>
          <w:noProof/>
          <w:sz w:val="24"/>
        </w:rPr>
        <w:t>om muliggør forsvarlig brug. Kommissionen vil afdække behovet for en yderligere indsats, f.eks. med hensyn til at definere og gennemføre begrebet "sikker hastighed", hjelme til cyklister og beskyttelsesbeklædning til motorcyklister og/eller gradvis erhverv</w:t>
      </w:r>
      <w:r>
        <w:rPr>
          <w:rFonts w:ascii="Times New Roman" w:hAnsi="Times New Roman"/>
          <w:noProof/>
          <w:sz w:val="24"/>
        </w:rPr>
        <w:t>else af førerretten for uerfarne bilister.</w:t>
      </w:r>
    </w:p>
    <w:p w:rsidR="00ED47B4" w:rsidRDefault="003313C4">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6.  </w:t>
      </w:r>
      <w:r>
        <w:rPr>
          <w:noProof/>
        </w:rPr>
        <w:tab/>
      </w:r>
      <w:r>
        <w:rPr>
          <w:rFonts w:ascii="Times New Roman" w:hAnsi="Times New Roman"/>
          <w:b/>
          <w:noProof/>
          <w:sz w:val="24"/>
        </w:rPr>
        <w:t>Hurtig og effektiv nødhjælp</w:t>
      </w:r>
    </w:p>
    <w:p w:rsidR="00ED47B4" w:rsidRDefault="003313C4">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Effektiv behandling af trafikofre, herunder hurtig transport til det rette behandlingssted i kvalificeret personales hænder, mindsker konsekvenserne af skaderne. I denne sammenhæn</w:t>
      </w:r>
      <w:r>
        <w:rPr>
          <w:rFonts w:ascii="Times New Roman" w:hAnsi="Times New Roman"/>
          <w:noProof/>
          <w:sz w:val="24"/>
        </w:rPr>
        <w:t>g bør effekten af implementeringen af eCall (automatisk nødopkald i tilfælde af en ulykke) overvåges nøje.</w:t>
      </w:r>
    </w:p>
    <w:p w:rsidR="00ED47B4" w:rsidRDefault="003313C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Nøgleaktioner vedrørende nødhjælp</w:t>
      </w:r>
    </w:p>
    <w:p w:rsidR="00ED47B4" w:rsidRDefault="003313C4">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noProof/>
          <w:sz w:val="24"/>
          <w:szCs w:val="24"/>
        </w:rPr>
      </w:pPr>
      <w:r>
        <w:rPr>
          <w:rFonts w:ascii="Times New Roman" w:hAnsi="Times New Roman"/>
          <w:b/>
          <w:noProof/>
          <w:sz w:val="24"/>
        </w:rPr>
        <w:t>Kommissionen vil:</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contextualSpacing w:val="0"/>
        <w:jc w:val="both"/>
        <w:rPr>
          <w:rFonts w:ascii="Times New Roman" w:hAnsi="Times New Roman"/>
          <w:noProof/>
          <w:sz w:val="24"/>
          <w:szCs w:val="24"/>
        </w:rPr>
      </w:pPr>
      <w:r>
        <w:rPr>
          <w:rFonts w:ascii="Times New Roman" w:hAnsi="Times New Roman"/>
          <w:noProof/>
          <w:sz w:val="24"/>
        </w:rPr>
        <w:t xml:space="preserve">vurdere effekten af eCall og se på, om systemet kan udvides, så det omfatter andre kategorier af </w:t>
      </w:r>
      <w:r>
        <w:rPr>
          <w:rFonts w:ascii="Times New Roman" w:hAnsi="Times New Roman"/>
          <w:noProof/>
          <w:sz w:val="24"/>
        </w:rPr>
        <w:t>køretøjer (tunge godskøretøjer, busser, motorcykler og traktorer) [3. kvartal 2019]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fremme tættere kontakt mellem trafiksikkerhedsmyndigheder og sundhedssektoren med henblik på at vurdere yderligere praktiske og forskningsmæssige behov (f.eks. hvordan </w:t>
      </w:r>
      <w:r>
        <w:rPr>
          <w:rFonts w:ascii="Times New Roman" w:hAnsi="Times New Roman"/>
          <w:noProof/>
          <w:sz w:val="24"/>
        </w:rPr>
        <w:t>det sikres, at skader matches med kvalificeret personale og hensigtsmæssige faciliteter til lægebehandling) [3. kvartal 2018].</w:t>
      </w:r>
    </w:p>
    <w:p w:rsidR="00ED47B4" w:rsidRDefault="00ED47B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noProof/>
          <w:sz w:val="24"/>
          <w:szCs w:val="24"/>
        </w:rPr>
      </w:pPr>
      <w:r>
        <w:rPr>
          <w:rFonts w:ascii="Times New Roman" w:hAnsi="Times New Roman"/>
          <w:b/>
          <w:noProof/>
          <w:sz w:val="24"/>
        </w:rPr>
        <w:t>Kommissionen vil forsøge at indhente frivillige tilsagn</w:t>
      </w:r>
      <w:r>
        <w:rPr>
          <w:rFonts w:ascii="Times New Roman" w:hAnsi="Times New Roman"/>
          <w:noProof/>
          <w:sz w:val="24"/>
        </w:rPr>
        <w:t xml:space="preserve"> fra bl.a. </w:t>
      </w:r>
    </w:p>
    <w:p w:rsidR="00ED47B4" w:rsidRDefault="003313C4">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 xml:space="preserve">kommercielle og offentlige transportoperatører (om bl.a. at </w:t>
      </w:r>
      <w:r>
        <w:rPr>
          <w:rFonts w:ascii="Times New Roman" w:hAnsi="Times New Roman"/>
          <w:noProof/>
          <w:sz w:val="24"/>
        </w:rPr>
        <w:t>give chauffører uddannelse i førstehjælp)</w:t>
      </w:r>
    </w:p>
    <w:p w:rsidR="00ED47B4" w:rsidRDefault="003313C4">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producenter (om bl.a. at installere eCall i nye biler eller eftermontere det i eksisterende modeller)</w:t>
      </w:r>
    </w:p>
    <w:p w:rsidR="00ED47B4" w:rsidRDefault="003313C4">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noProof/>
          <w:sz w:val="24"/>
          <w:szCs w:val="24"/>
        </w:rPr>
      </w:pPr>
      <w:r>
        <w:rPr>
          <w:rFonts w:ascii="Times New Roman" w:hAnsi="Times New Roman"/>
          <w:noProof/>
          <w:sz w:val="24"/>
        </w:rPr>
        <w:t>forsikringsselskaber (om bl.a. at sænke forsikringspræmierne for biler, som eCall installeret i).</w:t>
      </w:r>
    </w:p>
    <w:p w:rsidR="00ED47B4" w:rsidRDefault="003313C4">
      <w:pPr>
        <w:spacing w:before="360" w:after="0" w:line="240" w:lineRule="auto"/>
        <w:jc w:val="both"/>
        <w:outlineLvl w:val="0"/>
        <w:rPr>
          <w:rFonts w:ascii="Times New Roman" w:hAnsi="Times New Roman"/>
          <w:b/>
          <w:noProof/>
          <w:sz w:val="24"/>
          <w:szCs w:val="24"/>
        </w:rPr>
      </w:pPr>
      <w:r>
        <w:rPr>
          <w:rFonts w:ascii="Times New Roman" w:hAnsi="Times New Roman"/>
          <w:b/>
          <w:noProof/>
          <w:sz w:val="24"/>
        </w:rPr>
        <w:t>7.</w:t>
      </w:r>
      <w:r>
        <w:rPr>
          <w:noProof/>
        </w:rPr>
        <w:tab/>
      </w:r>
      <w:r>
        <w:rPr>
          <w:rFonts w:ascii="Times New Roman" w:hAnsi="Times New Roman"/>
          <w:b/>
          <w:noProof/>
          <w:sz w:val="24"/>
        </w:rPr>
        <w:t>Fremtidssik</w:t>
      </w:r>
      <w:r>
        <w:rPr>
          <w:rFonts w:ascii="Times New Roman" w:hAnsi="Times New Roman"/>
          <w:b/>
          <w:noProof/>
          <w:sz w:val="24"/>
        </w:rPr>
        <w:t>ring af trafiksikkerheden</w:t>
      </w:r>
    </w:p>
    <w:p w:rsidR="00ED47B4" w:rsidRDefault="003313C4">
      <w:pPr>
        <w:pStyle w:val="DefaultText"/>
        <w:rPr>
          <w:noProof/>
        </w:rPr>
      </w:pPr>
      <w:r>
        <w:rPr>
          <w:noProof/>
        </w:rPr>
        <w:t xml:space="preserve">På længere sigt ligger der et meget stort trafiksikkerhedsmæssigt potentiale i </w:t>
      </w:r>
      <w:r>
        <w:rPr>
          <w:b/>
          <w:noProof/>
        </w:rPr>
        <w:t>opkobling og automatisering</w:t>
      </w:r>
      <w:r>
        <w:rPr>
          <w:noProof/>
        </w:rPr>
        <w:t>. Der skal dog ses nærmere på de forbundne risici, f.eks. med hensyn til cybersikkerhed og højt automatiserede køretøjers vi</w:t>
      </w:r>
      <w:r>
        <w:rPr>
          <w:noProof/>
        </w:rPr>
        <w:t xml:space="preserve">rkemåde i </w:t>
      </w:r>
      <w:r>
        <w:rPr>
          <w:b/>
          <w:noProof/>
        </w:rPr>
        <w:t>blandet trafik</w:t>
      </w:r>
      <w:r>
        <w:rPr>
          <w:noProof/>
        </w:rPr>
        <w:t xml:space="preserve">. Som led i mobilitetspakken foreslår Kommissionen derfor en omfattende strategi for opkoblet og automatiseret mobilitet. </w:t>
      </w:r>
    </w:p>
    <w:p w:rsidR="00ED47B4" w:rsidRDefault="003313C4">
      <w:pPr>
        <w:pStyle w:val="DefaultText"/>
        <w:rPr>
          <w:noProof/>
        </w:rPr>
      </w:pPr>
      <w:r>
        <w:rPr>
          <w:noProof/>
        </w:rPr>
        <w:t xml:space="preserve">Den </w:t>
      </w:r>
      <w:r>
        <w:rPr>
          <w:b/>
          <w:noProof/>
        </w:rPr>
        <w:t>kollaborative økonomi</w:t>
      </w:r>
      <w:r>
        <w:rPr>
          <w:noProof/>
        </w:rPr>
        <w:t xml:space="preserve"> (f.eks. ordninger for deling af biler og cykler) og en række </w:t>
      </w:r>
      <w:r>
        <w:rPr>
          <w:b/>
          <w:noProof/>
        </w:rPr>
        <w:t xml:space="preserve">miljøforanstaltninger </w:t>
      </w:r>
      <w:r>
        <w:rPr>
          <w:noProof/>
        </w:rPr>
        <w:t>rummer muligheder for gensidige fordele, hvis de kombineres med trafiksikkerhedsforanstaltninger (f.eks. sikrere og mere attraktive miljøer for fodgængere og cyklister). Der er dog også risici forbundet med dem, bl.a. i form af flere ubeskyttede brugere på</w:t>
      </w:r>
      <w:r>
        <w:rPr>
          <w:noProof/>
        </w:rPr>
        <w:t xml:space="preserve"> vejene. </w:t>
      </w:r>
    </w:p>
    <w:p w:rsidR="00ED47B4" w:rsidRDefault="003313C4">
      <w:pPr>
        <w:pStyle w:val="DefaultText"/>
        <w:rPr>
          <w:noProof/>
        </w:rPr>
      </w:pPr>
      <w:r>
        <w:rPr>
          <w:noProof/>
        </w:rPr>
        <w:t xml:space="preserve">Ved fremtidige initiativer skal der tages hensyn til de særlige behov hos sårbare trafikanter og forskellige andre brugere (på grund af alder, køn eller handicap). Derudover vil der muligvis være behov for en styrket indsats med hensyn til </w:t>
      </w:r>
      <w:r>
        <w:rPr>
          <w:b/>
          <w:noProof/>
        </w:rPr>
        <w:t>sikker</w:t>
      </w:r>
      <w:r>
        <w:rPr>
          <w:b/>
          <w:noProof/>
        </w:rPr>
        <w:t>hed på arbejdspladsen</w:t>
      </w:r>
      <w:r>
        <w:rPr>
          <w:noProof/>
        </w:rPr>
        <w:t>.</w:t>
      </w:r>
    </w:p>
    <w:p w:rsidR="00ED47B4" w:rsidRDefault="003313C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Nøgleaktioner vedrørende nye udfordringer</w:t>
      </w:r>
    </w:p>
    <w:p w:rsidR="00ED47B4" w:rsidRDefault="003313C4">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Kommissionen vil:</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 xml:space="preserve">vedtage specifikationer for samarbejdende intelligente transportsystemer (delegeret retsakt under direktivet om intelligente transportsystemer), herunder kommunikation </w:t>
      </w:r>
      <w:r>
        <w:rPr>
          <w:rFonts w:ascii="Times New Roman" w:hAnsi="Times New Roman"/>
          <w:noProof/>
          <w:sz w:val="24"/>
        </w:rPr>
        <w:t>mellem køretøjer og mellem køretøj og infrastruktur</w:t>
      </w:r>
      <w:r>
        <w:rPr>
          <w:rStyle w:val="FootnoteReference"/>
          <w:rFonts w:ascii="Times New Roman" w:hAnsi="Times New Roman"/>
          <w:noProof/>
          <w:sz w:val="24"/>
        </w:rPr>
        <w:footnoteReference w:id="3"/>
      </w:r>
      <w:r>
        <w:rPr>
          <w:rFonts w:ascii="Times New Roman" w:hAnsi="Times New Roman"/>
          <w:noProof/>
          <w:sz w:val="24"/>
        </w:rPr>
        <w:t xml:space="preserve"> [Q4/2018] </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samarbejde tæt med interesserede parter om at indlede en proces, der skal føre til udarbejdelse af en adfærdskodeks for sikker overgang til mere avanceret automatisering, og om at sikre, at de</w:t>
      </w:r>
      <w:r>
        <w:rPr>
          <w:rFonts w:ascii="Times New Roman" w:hAnsi="Times New Roman"/>
          <w:noProof/>
          <w:sz w:val="24"/>
        </w:rPr>
        <w:t>r i kravene og procedurerne fuldt ud tages hensyn til trafiksikkerheden (blandet trafik, samspil med andre trafikanter, konvojkørsel), idet der navnlig sikres sammenhæng mellem nationale færdselsregler, og modstrid med EU's bestemmelser om køretøjer undgås</w:t>
      </w:r>
      <w:r>
        <w:rPr>
          <w:rFonts w:ascii="Times New Roman" w:hAnsi="Times New Roman"/>
          <w:noProof/>
          <w:sz w:val="24"/>
        </w:rPr>
        <w:t xml:space="preserve"> [3. kvartal 2019]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indføre en Safe City-konkurrence eller -pris [3. kvartal 2019].</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noProof/>
          <w:sz w:val="24"/>
          <w:szCs w:val="24"/>
        </w:rPr>
      </w:pPr>
      <w:r>
        <w:rPr>
          <w:rFonts w:ascii="Times New Roman" w:hAnsi="Times New Roman"/>
          <w:b/>
          <w:noProof/>
          <w:sz w:val="24"/>
        </w:rPr>
        <w:t>Kommissionen vil forsøge at indhente frivillige tilsagn</w:t>
      </w:r>
      <w:r>
        <w:rPr>
          <w:rFonts w:ascii="Times New Roman" w:hAnsi="Times New Roman"/>
          <w:noProof/>
          <w:sz w:val="24"/>
        </w:rPr>
        <w:t xml:space="preserve"> fra bl.a.</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operatører, flådeforvaltere og transportvirksomheder (om bl.a. at vedtage en trafiksikkerhedspolitik fo</w:t>
      </w:r>
      <w:r>
        <w:rPr>
          <w:rFonts w:ascii="Times New Roman" w:hAnsi="Times New Roman"/>
          <w:noProof/>
          <w:sz w:val="24"/>
        </w:rPr>
        <w:t>r virksomheden)</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brancheorganisationer (om bl.a. at yde vejledning i trafiksikkerhed til SMV'er, navnlig med hensyn til sikkerheden i forbindelse med varevogne i byområder) og</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nationale myndigheder (om bl.a. at følge eksempler på god praksis i kampen mod ul</w:t>
      </w:r>
      <w:r>
        <w:rPr>
          <w:rFonts w:ascii="Times New Roman" w:hAnsi="Times New Roman"/>
          <w:noProof/>
          <w:sz w:val="24"/>
        </w:rPr>
        <w:t>ovlige ændringer af køretøjer).</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I hele perioden vil Kommissionen vurdere behovet for yderligere EU-foranstaltninger, bl.a. med hensyn til yderligere harmonisering af grænseflader mellem menneske og maskine, der installeres i køretøjer for at sikre, at all</w:t>
      </w:r>
      <w:r>
        <w:rPr>
          <w:rFonts w:ascii="Times New Roman" w:hAnsi="Times New Roman"/>
          <w:noProof/>
          <w:sz w:val="24"/>
        </w:rPr>
        <w:t>e chauffører og andre brugere kan indgå i et samspil med køretøjerne uden at gå på kompromis med sikkerheden, og med hensyn til at sikre adgang til køretøjsoplysninger. Kommissionen vil vurdere, om lovgivningen om kørekort, teknisk kontrol med køretøjer, u</w:t>
      </w:r>
      <w:r>
        <w:rPr>
          <w:rFonts w:ascii="Times New Roman" w:hAnsi="Times New Roman"/>
          <w:noProof/>
          <w:sz w:val="24"/>
        </w:rPr>
        <w:t>ddannelse af erhvervschauffører og køretid skal revideres for at tage hensyn til udviklingen på området for samarbejdende, opkoblet og autonom mobilitet. Endvidere vil Kommissionen se nærmere på trafiksikkerhedsmæssige aspekter ved bytrafikplanlægning, sik</w:t>
      </w:r>
      <w:r>
        <w:rPr>
          <w:rFonts w:ascii="Times New Roman" w:hAnsi="Times New Roman"/>
          <w:noProof/>
          <w:sz w:val="24"/>
        </w:rPr>
        <w:t>kerhed på arbejdspladsen, egnethed til at føre motorkøretøj og nye forretningsmodeller inden for persontransport.</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r>
        <w:rPr>
          <w:rFonts w:ascii="Times New Roman" w:hAnsi="Times New Roman"/>
          <w:noProof/>
          <w:sz w:val="24"/>
        </w:rPr>
        <w:t>Kommissionen vil desuden fremme og støtte forskning og innovation under det næste rammeprogram med det mål at skabe et informeret grundlag fo</w:t>
      </w:r>
      <w:r>
        <w:rPr>
          <w:rFonts w:ascii="Times New Roman" w:hAnsi="Times New Roman"/>
          <w:noProof/>
          <w:sz w:val="24"/>
        </w:rPr>
        <w:t>r trafiksikkerhedspolitikken, bl.a. med hensyn til nye mobilitetsmønstre og samfundsmæssige ændringer, samspillet mellem mennesker og teknologi, navnlig grænseflader mellem menneske og maskine og en sikker omstilling i retning af automatisering, håndhævels</w:t>
      </w:r>
      <w:r>
        <w:rPr>
          <w:rFonts w:ascii="Times New Roman" w:hAnsi="Times New Roman"/>
          <w:noProof/>
          <w:sz w:val="24"/>
        </w:rPr>
        <w:t xml:space="preserve">e og sikkerhed. </w:t>
      </w:r>
    </w:p>
    <w:p w:rsidR="00ED47B4" w:rsidRDefault="00ED47B4">
      <w:pPr>
        <w:spacing w:line="240" w:lineRule="auto"/>
        <w:rPr>
          <w:rFonts w:ascii="Times New Roman" w:hAnsi="Times New Roman"/>
          <w:b/>
          <w:noProof/>
          <w:sz w:val="24"/>
          <w:szCs w:val="24"/>
          <w:u w:val="single"/>
        </w:rPr>
      </w:pPr>
    </w:p>
    <w:p w:rsidR="00ED47B4" w:rsidRDefault="003313C4">
      <w:pPr>
        <w:spacing w:before="480" w:after="0" w:line="240" w:lineRule="auto"/>
        <w:jc w:val="both"/>
        <w:outlineLvl w:val="0"/>
        <w:rPr>
          <w:rFonts w:ascii="Times New Roman" w:hAnsi="Times New Roman"/>
          <w:b/>
          <w:noProof/>
          <w:sz w:val="24"/>
          <w:szCs w:val="24"/>
        </w:rPr>
      </w:pPr>
      <w:r>
        <w:rPr>
          <w:rFonts w:ascii="Times New Roman" w:hAnsi="Times New Roman"/>
          <w:b/>
          <w:noProof/>
          <w:sz w:val="24"/>
        </w:rPr>
        <w:t xml:space="preserve">8.  </w:t>
      </w:r>
      <w:r>
        <w:rPr>
          <w:noProof/>
        </w:rPr>
        <w:tab/>
      </w:r>
      <w:r>
        <w:rPr>
          <w:rFonts w:ascii="Times New Roman" w:hAnsi="Times New Roman"/>
          <w:b/>
          <w:noProof/>
          <w:sz w:val="24"/>
        </w:rPr>
        <w:t>EU's globale rolle: eksport af trafiksikkerhed</w:t>
      </w:r>
    </w:p>
    <w:p w:rsidR="00ED47B4" w:rsidRDefault="003313C4">
      <w:pPr>
        <w:spacing w:line="240" w:lineRule="auto"/>
        <w:jc w:val="both"/>
        <w:rPr>
          <w:rFonts w:ascii="Times New Roman" w:hAnsi="Times New Roman"/>
          <w:noProof/>
          <w:sz w:val="24"/>
          <w:szCs w:val="24"/>
        </w:rPr>
      </w:pPr>
      <w:r>
        <w:rPr>
          <w:rFonts w:ascii="Times New Roman" w:hAnsi="Times New Roman"/>
          <w:noProof/>
          <w:sz w:val="24"/>
          <w:szCs w:val="24"/>
        </w:rPr>
        <w:br/>
      </w:r>
      <w:r>
        <w:rPr>
          <w:rFonts w:ascii="Times New Roman" w:hAnsi="Times New Roman"/>
          <w:noProof/>
          <w:sz w:val="24"/>
        </w:rPr>
        <w:t xml:space="preserve">For så vidt angår trafiksikkerhed i andre lande end EU-landene vil Kommissionens fokusere på sine umiddelbare naboer, navnlig landene på </w:t>
      </w:r>
      <w:r>
        <w:rPr>
          <w:rFonts w:ascii="Times New Roman" w:hAnsi="Times New Roman"/>
          <w:b/>
          <w:noProof/>
          <w:sz w:val="24"/>
        </w:rPr>
        <w:t>Vestbalkan</w:t>
      </w:r>
      <w:r>
        <w:rPr>
          <w:rFonts w:ascii="Times New Roman" w:hAnsi="Times New Roman"/>
          <w:noProof/>
          <w:sz w:val="24"/>
        </w:rPr>
        <w:t xml:space="preserve"> og i </w:t>
      </w:r>
      <w:r>
        <w:rPr>
          <w:rFonts w:ascii="Times New Roman" w:hAnsi="Times New Roman"/>
          <w:b/>
          <w:noProof/>
          <w:sz w:val="24"/>
        </w:rPr>
        <w:t>det østlige partnerskab</w:t>
      </w:r>
      <w:r>
        <w:rPr>
          <w:rFonts w:ascii="Times New Roman" w:hAnsi="Times New Roman"/>
          <w:noProof/>
          <w:sz w:val="24"/>
        </w:rPr>
        <w:t xml:space="preserve">, som er </w:t>
      </w:r>
      <w:r>
        <w:rPr>
          <w:rFonts w:ascii="Times New Roman" w:hAnsi="Times New Roman"/>
          <w:noProof/>
          <w:sz w:val="24"/>
        </w:rPr>
        <w:t>i færd med at forberede sig på at underskrive trafiksikkerhedserklæringer i løbet af 2018, samt Tyrkiet.</w:t>
      </w:r>
    </w:p>
    <w:p w:rsidR="00ED47B4" w:rsidRDefault="003313C4">
      <w:pPr>
        <w:spacing w:line="240" w:lineRule="auto"/>
        <w:jc w:val="both"/>
        <w:rPr>
          <w:rFonts w:ascii="Times New Roman" w:hAnsi="Times New Roman"/>
          <w:noProof/>
          <w:sz w:val="24"/>
          <w:szCs w:val="24"/>
        </w:rPr>
      </w:pPr>
      <w:r>
        <w:rPr>
          <w:rFonts w:ascii="Times New Roman" w:hAnsi="Times New Roman"/>
          <w:noProof/>
          <w:sz w:val="24"/>
        </w:rPr>
        <w:t xml:space="preserve">Derudover bør EU's trafiksikkerhedsmæssige rolle i forhold til </w:t>
      </w:r>
      <w:r>
        <w:rPr>
          <w:rFonts w:ascii="Times New Roman" w:hAnsi="Times New Roman"/>
          <w:b/>
          <w:noProof/>
          <w:sz w:val="24"/>
        </w:rPr>
        <w:t>De Forenede Nationer</w:t>
      </w:r>
      <w:r>
        <w:rPr>
          <w:rFonts w:ascii="Times New Roman" w:hAnsi="Times New Roman"/>
          <w:noProof/>
          <w:sz w:val="24"/>
        </w:rPr>
        <w:t xml:space="preserve"> og navnlig organisationens Økonomiske Kommission for Europa vurdere</w:t>
      </w:r>
      <w:r>
        <w:rPr>
          <w:rFonts w:ascii="Times New Roman" w:hAnsi="Times New Roman"/>
          <w:noProof/>
          <w:sz w:val="24"/>
        </w:rPr>
        <w:t>s.</w:t>
      </w:r>
    </w:p>
    <w:p w:rsidR="00ED47B4" w:rsidRDefault="00ED47B4">
      <w:pPr>
        <w:spacing w:line="240" w:lineRule="auto"/>
        <w:jc w:val="both"/>
        <w:rPr>
          <w:rFonts w:ascii="Times New Roman" w:hAnsi="Times New Roman"/>
          <w:noProof/>
          <w:sz w:val="24"/>
          <w:szCs w:val="24"/>
        </w:rPr>
      </w:pPr>
    </w:p>
    <w:p w:rsidR="00ED47B4" w:rsidRDefault="003313C4">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b/>
          <w:noProof/>
          <w:sz w:val="24"/>
          <w:szCs w:val="24"/>
        </w:rPr>
      </w:pPr>
      <w:r>
        <w:rPr>
          <w:rFonts w:ascii="Times New Roman" w:hAnsi="Times New Roman"/>
          <w:b/>
          <w:noProof/>
          <w:sz w:val="24"/>
        </w:rPr>
        <w:t>Nøgleaktioner vedrørende forbedring af trafiksikkerheden uden for EU</w:t>
      </w:r>
    </w:p>
    <w:p w:rsidR="00ED47B4" w:rsidRDefault="003313C4">
      <w:pPr>
        <w:pBdr>
          <w:top w:val="single" w:sz="4" w:space="1" w:color="auto"/>
          <w:left w:val="single" w:sz="4" w:space="4" w:color="auto"/>
          <w:bottom w:val="single" w:sz="4" w:space="1" w:color="auto"/>
          <w:right w:val="single" w:sz="4" w:space="4" w:color="auto"/>
        </w:pBdr>
        <w:spacing w:line="240" w:lineRule="auto"/>
        <w:rPr>
          <w:rFonts w:ascii="Times New Roman" w:hAnsi="Times New Roman"/>
          <w:b/>
          <w:noProof/>
          <w:sz w:val="24"/>
          <w:szCs w:val="24"/>
        </w:rPr>
      </w:pPr>
      <w:r>
        <w:rPr>
          <w:rFonts w:ascii="Times New Roman" w:hAnsi="Times New Roman"/>
          <w:b/>
          <w:noProof/>
          <w:sz w:val="24"/>
        </w:rPr>
        <w:t>Kommissionen vil:</w:t>
      </w:r>
    </w:p>
    <w:p w:rsidR="00ED47B4" w:rsidRDefault="003313C4">
      <w:pPr>
        <w:pStyle w:val="ListParagraph"/>
        <w:numPr>
          <w:ilvl w:val="0"/>
          <w:numId w:val="12"/>
        </w:numPr>
        <w:pBdr>
          <w:top w:val="single" w:sz="4" w:space="1" w:color="auto"/>
          <w:left w:val="single" w:sz="4" w:space="4" w:color="auto"/>
          <w:bottom w:val="single" w:sz="4" w:space="1" w:color="auto"/>
          <w:right w:val="single" w:sz="4" w:space="4" w:color="auto"/>
        </w:pBdr>
        <w:spacing w:after="0" w:line="240" w:lineRule="auto"/>
        <w:ind w:left="357" w:hanging="357"/>
        <w:contextualSpacing w:val="0"/>
        <w:jc w:val="both"/>
        <w:rPr>
          <w:rFonts w:ascii="Times New Roman" w:hAnsi="Times New Roman"/>
          <w:noProof/>
          <w:sz w:val="24"/>
          <w:szCs w:val="24"/>
        </w:rPr>
      </w:pPr>
      <w:r>
        <w:rPr>
          <w:rFonts w:ascii="Times New Roman" w:hAnsi="Times New Roman"/>
          <w:noProof/>
          <w:sz w:val="24"/>
        </w:rPr>
        <w:t>videreudvikle samarbejdet om trafiksikkerhed med EU's naboer, navnlig landene i det vestlige Balkan og det østlige partnerskab, på grundlag af erklæringer om trafiks</w:t>
      </w:r>
      <w:r>
        <w:rPr>
          <w:rFonts w:ascii="Times New Roman" w:hAnsi="Times New Roman"/>
          <w:noProof/>
          <w:sz w:val="24"/>
        </w:rPr>
        <w:t>ikkerhed, som vedtages i 2018, navnlig ved at udveksle eksempler på bedste praksis og understøtte kapacitetsopbygning [3. kvartal 2018].</w:t>
      </w:r>
    </w:p>
    <w:p w:rsidR="00ED47B4" w:rsidRDefault="00ED47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noProof/>
          <w:sz w:val="24"/>
          <w:szCs w:val="24"/>
        </w:rPr>
      </w:pPr>
    </w:p>
    <w:p w:rsidR="00ED47B4" w:rsidRPr="003313C4" w:rsidRDefault="003313C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noProof/>
          <w:sz w:val="24"/>
          <w:szCs w:val="24"/>
          <w:u w:val="single"/>
        </w:rPr>
      </w:pPr>
      <w:r>
        <w:rPr>
          <w:rFonts w:ascii="Times New Roman" w:hAnsi="Times New Roman"/>
          <w:noProof/>
          <w:sz w:val="24"/>
        </w:rPr>
        <w:t xml:space="preserve">Kommissionen vil desuden vurdere, hvordan vi kan styrke koordineringen på området for færdselsregler </w:t>
      </w:r>
      <w:r>
        <w:rPr>
          <w:rFonts w:ascii="Times New Roman" w:hAnsi="Times New Roman"/>
          <w:noProof/>
          <w:sz w:val="24"/>
        </w:rPr>
        <w:t>(FN-konventionerne fra Genève og Wien), herunder på EU-plan, så færdselsreglerne kan tilpasses til samarbejdende, opkoblet og autonom mobilitet på harmoniseret vis. Endelig vil Kommissionen undersøge, hvordan vi kan samarbejde med internationale finansieri</w:t>
      </w:r>
      <w:r>
        <w:rPr>
          <w:rFonts w:ascii="Times New Roman" w:hAnsi="Times New Roman"/>
          <w:noProof/>
          <w:sz w:val="24"/>
        </w:rPr>
        <w:t>ngsinitiativer såsom FN's trustfond på området for trafiksikkerhed.</w:t>
      </w:r>
    </w:p>
    <w:sectPr w:rsidR="00ED47B4" w:rsidRPr="003313C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B4" w:rsidRDefault="003313C4">
      <w:pPr>
        <w:spacing w:after="0" w:line="240" w:lineRule="auto"/>
      </w:pPr>
      <w:r>
        <w:separator/>
      </w:r>
    </w:p>
  </w:endnote>
  <w:endnote w:type="continuationSeparator" w:id="0">
    <w:p w:rsidR="00ED47B4" w:rsidRDefault="0033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4" w:rsidRPr="003313C4" w:rsidRDefault="003313C4" w:rsidP="00331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4" w:rsidRPr="003313C4" w:rsidRDefault="003313C4" w:rsidP="003313C4">
    <w:pPr>
      <w:pStyle w:val="FooterCoverPage"/>
      <w:rPr>
        <w:rFonts w:ascii="Arial" w:hAnsi="Arial" w:cs="Arial"/>
        <w:b/>
        <w:sz w:val="48"/>
      </w:rPr>
    </w:pPr>
    <w:r w:rsidRPr="003313C4">
      <w:rPr>
        <w:rFonts w:ascii="Arial" w:hAnsi="Arial" w:cs="Arial"/>
        <w:b/>
        <w:sz w:val="48"/>
      </w:rPr>
      <w:t>DA</w:t>
    </w:r>
    <w:r w:rsidRPr="003313C4">
      <w:rPr>
        <w:rFonts w:ascii="Arial" w:hAnsi="Arial" w:cs="Arial"/>
        <w:b/>
        <w:sz w:val="48"/>
      </w:rPr>
      <w:tab/>
    </w:r>
    <w:r w:rsidRPr="003313C4">
      <w:rPr>
        <w:rFonts w:ascii="Arial" w:hAnsi="Arial" w:cs="Arial"/>
        <w:b/>
        <w:sz w:val="48"/>
      </w:rPr>
      <w:tab/>
    </w:r>
    <w:r w:rsidRPr="003313C4">
      <w:tab/>
    </w:r>
    <w:r w:rsidRPr="003313C4">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4" w:rsidRPr="003313C4" w:rsidRDefault="003313C4" w:rsidP="003313C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B4" w:rsidRDefault="00ED47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60127"/>
      <w:docPartObj>
        <w:docPartGallery w:val="Page Numbers (Bottom of Page)"/>
        <w:docPartUnique/>
      </w:docPartObj>
    </w:sdtPr>
    <w:sdtEndPr>
      <w:rPr>
        <w:noProof/>
      </w:rPr>
    </w:sdtEndPr>
    <w:sdtContent>
      <w:p w:rsidR="00ED47B4" w:rsidRDefault="003313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B4" w:rsidRDefault="00ED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B4" w:rsidRDefault="003313C4">
      <w:pPr>
        <w:spacing w:after="0" w:line="240" w:lineRule="auto"/>
      </w:pPr>
      <w:r>
        <w:separator/>
      </w:r>
    </w:p>
  </w:footnote>
  <w:footnote w:type="continuationSeparator" w:id="0">
    <w:p w:rsidR="00ED47B4" w:rsidRDefault="003313C4">
      <w:pPr>
        <w:spacing w:after="0" w:line="240" w:lineRule="auto"/>
      </w:pPr>
      <w:r>
        <w:continuationSeparator/>
      </w:r>
    </w:p>
  </w:footnote>
  <w:footnote w:id="1">
    <w:p w:rsidR="00ED47B4" w:rsidRDefault="003313C4">
      <w:pPr>
        <w:pStyle w:val="FootnoteText"/>
        <w:tabs>
          <w:tab w:val="left" w:pos="284"/>
        </w:tabs>
        <w:ind w:left="284" w:hanging="284"/>
        <w:jc w:val="both"/>
      </w:pPr>
      <w:r>
        <w:rPr>
          <w:rStyle w:val="FootnoteReference"/>
        </w:rPr>
        <w:footnoteRef/>
      </w:r>
      <w:r>
        <w:tab/>
        <w:t>EU-chartret om trafiksikkerhed er en civilsamfundsplatform for trafiksikkerhed, som Kommissionen har etableret, og som i dag har mere end 3 500 med</w:t>
      </w:r>
      <w:r>
        <w:t>lemmer.</w:t>
      </w:r>
    </w:p>
  </w:footnote>
  <w:footnote w:id="2">
    <w:p w:rsidR="00ED47B4" w:rsidRDefault="003313C4">
      <w:pPr>
        <w:pStyle w:val="FootnoteText"/>
        <w:tabs>
          <w:tab w:val="left" w:pos="284"/>
        </w:tabs>
      </w:pPr>
      <w:r>
        <w:rPr>
          <w:rStyle w:val="FootnoteReference"/>
        </w:rPr>
        <w:footnoteRef/>
      </w:r>
      <w:r>
        <w:tab/>
      </w:r>
      <w:hyperlink r:id="rId1">
        <w:r>
          <w:rPr>
            <w:rStyle w:val="Hyperlink"/>
          </w:rPr>
          <w:t>http://www.eib.org/projects/sectors/transport/cleaner-transport-facility</w:t>
        </w:r>
      </w:hyperlink>
      <w:r>
        <w:t xml:space="preserve"> </w:t>
      </w:r>
    </w:p>
  </w:footnote>
  <w:footnote w:id="3">
    <w:p w:rsidR="00ED47B4" w:rsidRDefault="003313C4">
      <w:pPr>
        <w:pStyle w:val="FootnoteText"/>
        <w:tabs>
          <w:tab w:val="left" w:pos="284"/>
        </w:tabs>
        <w:ind w:left="284" w:hanging="284"/>
      </w:pPr>
      <w:r>
        <w:rPr>
          <w:rStyle w:val="FootnoteReference"/>
        </w:rPr>
        <w:footnoteRef/>
      </w:r>
      <w:r>
        <w:tab/>
        <w:t>Se COM(2018) 283 final – meddelelse fra Kommissionen: "På vej til automatisere</w:t>
      </w:r>
      <w:r>
        <w:t>t mobilitet: En EU-strategi for fremtidens mobilitet"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4" w:rsidRPr="003313C4" w:rsidRDefault="003313C4" w:rsidP="00331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4" w:rsidRPr="003313C4" w:rsidRDefault="003313C4" w:rsidP="003313C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4" w:rsidRPr="003313C4" w:rsidRDefault="003313C4" w:rsidP="003313C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B4" w:rsidRDefault="00ED47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B4" w:rsidRDefault="00ED47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B4" w:rsidRDefault="00ED4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457"/>
    <w:multiLevelType w:val="hybridMultilevel"/>
    <w:tmpl w:val="41328A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7126540"/>
    <w:multiLevelType w:val="hybridMultilevel"/>
    <w:tmpl w:val="213C7D64"/>
    <w:lvl w:ilvl="0" w:tplc="D5B647DC">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C3CD4"/>
    <w:multiLevelType w:val="hybridMultilevel"/>
    <w:tmpl w:val="C444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39656B"/>
    <w:multiLevelType w:val="hybridMultilevel"/>
    <w:tmpl w:val="FF7E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8567F"/>
    <w:multiLevelType w:val="hybridMultilevel"/>
    <w:tmpl w:val="8856C138"/>
    <w:lvl w:ilvl="0" w:tplc="D46602A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26713"/>
    <w:multiLevelType w:val="hybridMultilevel"/>
    <w:tmpl w:val="229AD49A"/>
    <w:lvl w:ilvl="0" w:tplc="08090001">
      <w:start w:val="1"/>
      <w:numFmt w:val="bullet"/>
      <w:lvlText w:val=""/>
      <w:lvlJc w:val="left"/>
      <w:pPr>
        <w:ind w:left="720" w:hanging="360"/>
      </w:pPr>
      <w:rPr>
        <w:rFonts w:ascii="Symbol" w:hAnsi="Symbol" w:hint="default"/>
      </w:rPr>
    </w:lvl>
    <w:lvl w:ilvl="1" w:tplc="CF32659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A4BA5"/>
    <w:multiLevelType w:val="hybridMultilevel"/>
    <w:tmpl w:val="76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C57C9"/>
    <w:multiLevelType w:val="hybridMultilevel"/>
    <w:tmpl w:val="EA6A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E566AC"/>
    <w:multiLevelType w:val="hybridMultilevel"/>
    <w:tmpl w:val="2A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02C04"/>
    <w:multiLevelType w:val="hybridMultilevel"/>
    <w:tmpl w:val="7EAC0B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55F2D"/>
    <w:multiLevelType w:val="hybridMultilevel"/>
    <w:tmpl w:val="60AABF30"/>
    <w:lvl w:ilvl="0" w:tplc="08090001">
      <w:start w:val="1"/>
      <w:numFmt w:val="bullet"/>
      <w:lvlText w:val=""/>
      <w:lvlJc w:val="left"/>
      <w:pPr>
        <w:ind w:left="720" w:hanging="360"/>
      </w:pPr>
      <w:rPr>
        <w:rFonts w:ascii="Symbol" w:hAnsi="Symbol" w:hint="default"/>
      </w:rPr>
    </w:lvl>
    <w:lvl w:ilvl="1" w:tplc="16589068">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C56C8"/>
    <w:multiLevelType w:val="hybridMultilevel"/>
    <w:tmpl w:val="1DD03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D32FD"/>
    <w:multiLevelType w:val="hybridMultilevel"/>
    <w:tmpl w:val="A51C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CD3953"/>
    <w:multiLevelType w:val="hybridMultilevel"/>
    <w:tmpl w:val="AFF8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049D6"/>
    <w:multiLevelType w:val="hybridMultilevel"/>
    <w:tmpl w:val="B3D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92DC9"/>
    <w:multiLevelType w:val="hybridMultilevel"/>
    <w:tmpl w:val="F69E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463DA"/>
    <w:multiLevelType w:val="hybridMultilevel"/>
    <w:tmpl w:val="E9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EF7687"/>
    <w:multiLevelType w:val="hybridMultilevel"/>
    <w:tmpl w:val="D3724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5FC2916"/>
    <w:multiLevelType w:val="hybridMultilevel"/>
    <w:tmpl w:val="E3724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712CC7"/>
    <w:multiLevelType w:val="hybridMultilevel"/>
    <w:tmpl w:val="746A9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F601E1"/>
    <w:multiLevelType w:val="hybridMultilevel"/>
    <w:tmpl w:val="89BA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F95BF3"/>
    <w:multiLevelType w:val="hybridMultilevel"/>
    <w:tmpl w:val="A90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18"/>
  </w:num>
  <w:num w:numId="6">
    <w:abstractNumId w:val="14"/>
  </w:num>
  <w:num w:numId="7">
    <w:abstractNumId w:val="15"/>
  </w:num>
  <w:num w:numId="8">
    <w:abstractNumId w:val="22"/>
  </w:num>
  <w:num w:numId="9">
    <w:abstractNumId w:val="7"/>
  </w:num>
  <w:num w:numId="10">
    <w:abstractNumId w:val="9"/>
  </w:num>
  <w:num w:numId="11">
    <w:abstractNumId w:val="17"/>
  </w:num>
  <w:num w:numId="12">
    <w:abstractNumId w:val="11"/>
  </w:num>
  <w:num w:numId="13">
    <w:abstractNumId w:val="8"/>
  </w:num>
  <w:num w:numId="14">
    <w:abstractNumId w:val="20"/>
  </w:num>
  <w:num w:numId="15">
    <w:abstractNumId w:val="1"/>
  </w:num>
  <w:num w:numId="16">
    <w:abstractNumId w:val="10"/>
  </w:num>
  <w:num w:numId="17">
    <w:abstractNumId w:val="21"/>
  </w:num>
  <w:num w:numId="18">
    <w:abstractNumId w:val="24"/>
  </w:num>
  <w:num w:numId="19">
    <w:abstractNumId w:val="23"/>
  </w:num>
  <w:num w:numId="20">
    <w:abstractNumId w:val="6"/>
  </w:num>
  <w:num w:numId="21">
    <w:abstractNumId w:val="16"/>
  </w:num>
  <w:num w:numId="22">
    <w:abstractNumId w:val="13"/>
  </w:num>
  <w:num w:numId="23">
    <w:abstractNumId w:val="2"/>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
    <w:docVar w:name="LW_ANNEX_NBR_FIRST" w:val="1"/>
    <w:docVar w:name="LW_ANNEX_NBR_LAST" w:val="1"/>
    <w:docVar w:name="LW_ANNEX_UNIQUE" w:val="0"/>
    <w:docVar w:name="LW_CORRIGENDUM" w:val="&lt;UNUSED&gt;"/>
    <w:docVar w:name="LW_COVERPAGE_EXISTS" w:val="True"/>
    <w:docVar w:name="LW_COVERPAGE_GUID" w:val="D5F6CBE1-F764-4B11-B2E3-8564678C9E05"/>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xelles, den"/>
    <w:docVar w:name="LW_EMISSION_SUFFIX" w:val="&lt;EMPTY&gt;"/>
    <w:docVar w:name="LW_ID_DOCTYPE_NONLW" w:val="CP-039"/>
    <w:docVar w:name="LW_LANGUE" w:val="DA"/>
    <w:docVar w:name="LW_LEVEL_OF_SENSITIVITY" w:val="Standard treatment"/>
    <w:docVar w:name="LW_NOM.INST" w:val="EUROPA-KOMMISSIONEN"/>
    <w:docVar w:name="LW_NOM.INST_JOINTDOC" w:val="&lt;EMPTY&gt;"/>
    <w:docVar w:name="LW_OBJETACTEPRINCIPAL.CP" w:val="ET MOBILT EUROPA_x000b_Bæredygtig mobilitet i Europa: sikker, opkoblet og ren"/>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_x000b_"/>
    <w:docVar w:name="LW_TYPEACTEPRINCIPAL.CP" w:val="MEDDELELSE FRA KOMMISSIONEN TIL EUROPA-PARLAMENTET, RÅDET, DET EUROPÆISKE ØKONOMISKE OG SOCIALE UDVALG OG REGIONSUDVALGET"/>
  </w:docVars>
  <w:rsids>
    <w:rsidRoot w:val="00ED47B4"/>
    <w:rsid w:val="003313C4"/>
    <w:rsid w:val="00ED47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331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1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13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1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da-DK"/>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da-DK"/>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3313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13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13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13C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331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1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13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1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arattere,fn,Footnotes,Footnote ak,Footnote Text Char1,Footnote Text Char Char,fn Char Char,footnote text Char Char,Footnotes Char Char,Footnote ak Char Char,fn Char1,footnote text Char1,Footnotes Char1,ft"/>
    <w:basedOn w:val="Normal"/>
    <w:link w:val="FootnoteTextChar"/>
    <w:qFormat/>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Char Char,Carattere Char,fn Char,Footnotes Char,Footnote ak Char,Footnote Text Char1 Char,Footnote Text Char Char Char,fn Char Char Char,footnote text Char Char Char,Footnotes Char Char Char,fn Char1 Char"/>
    <w:basedOn w:val="DefaultParagraphFont"/>
    <w:link w:val="FootnoteText"/>
    <w:rPr>
      <w:rFonts w:ascii="Times New Roman" w:eastAsia="Times New Roman" w:hAnsi="Times New Roman" w:cs="Times New Roman"/>
      <w:sz w:val="20"/>
      <w:szCs w:val="20"/>
      <w:lang w:eastAsia="da-DK"/>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link w:val="Footnotenumber"/>
    <w:qFormat/>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truncate">
    <w:name w:val="truncate"/>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tgc">
    <w:name w:val="_tgc"/>
    <w:basedOn w:val="DefaultParagraphFont"/>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number">
    <w:name w:val="Footnote number"/>
    <w:aliases w:val="fr"/>
    <w:basedOn w:val="Normal"/>
    <w:link w:val="FootnoteReference"/>
    <w:uiPriority w:val="99"/>
    <w:pPr>
      <w:spacing w:after="160" w:line="240" w:lineRule="exact"/>
    </w:pPr>
    <w:rPr>
      <w:rFonts w:asciiTheme="minorHAnsi" w:eastAsiaTheme="minorHAnsi" w:hAnsiTheme="minorHAnsi" w:cstheme="minorBidi"/>
      <w:vertAlign w:val="superscript"/>
    </w:rPr>
  </w:style>
  <w:style w:type="paragraph" w:customStyle="1" w:styleId="DefaultText">
    <w:name w:val="Default Text"/>
    <w:basedOn w:val="Normal"/>
    <w:link w:val="DefaultTextChar"/>
    <w:autoRedefine/>
    <w:qFormat/>
    <w:pPr>
      <w:spacing w:before="240" w:after="240" w:line="240" w:lineRule="auto"/>
      <w:jc w:val="both"/>
    </w:pPr>
    <w:rPr>
      <w:rFonts w:ascii="Times New Roman" w:eastAsia="Times New Roman" w:hAnsi="Times New Roman"/>
    </w:rPr>
  </w:style>
  <w:style w:type="character" w:customStyle="1" w:styleId="DefaultTextChar">
    <w:name w:val="Default Text Char"/>
    <w:basedOn w:val="DefaultParagraphFont"/>
    <w:link w:val="DefaultText"/>
    <w:rPr>
      <w:rFonts w:ascii="Times New Roman" w:eastAsia="Times New Roman" w:hAnsi="Times New Roman" w:cs="Times New Roman"/>
      <w:lang w:eastAsia="da-DK"/>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3313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13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13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13C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680">
      <w:bodyDiv w:val="1"/>
      <w:marLeft w:val="0"/>
      <w:marRight w:val="0"/>
      <w:marTop w:val="0"/>
      <w:marBottom w:val="0"/>
      <w:divBdr>
        <w:top w:val="none" w:sz="0" w:space="0" w:color="auto"/>
        <w:left w:val="none" w:sz="0" w:space="0" w:color="auto"/>
        <w:bottom w:val="none" w:sz="0" w:space="0" w:color="auto"/>
        <w:right w:val="none" w:sz="0" w:space="0" w:color="auto"/>
      </w:divBdr>
    </w:div>
    <w:div w:id="1877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projects/sectors/transport/cleaner-transport-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7373-BDB8-428A-B6C2-9DB11A9F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2481</Words>
  <Characters>16222</Characters>
  <Application>Microsoft Office Word</Application>
  <DocSecurity>0</DocSecurity>
  <Lines>277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2018-04-30T18:22:00Z</dcterms:created>
  <dcterms:modified xsi:type="dcterms:W3CDTF">2018-06-15T15:06:00Z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