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74" w:rsidRDefault="006C629D" w:rsidP="006C629D">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FB62BEFB-4E8F-4B24-8DB4-781C97B0EFFF" style="width:450.25pt;height:393.45pt">
            <v:imagedata r:id="rId9" o:title=""/>
          </v:shape>
        </w:pict>
      </w:r>
    </w:p>
    <w:bookmarkEnd w:id="0"/>
    <w:p w:rsidR="003A3574" w:rsidRDefault="003A3574">
      <w:pPr>
        <w:rPr>
          <w:noProof/>
        </w:rPr>
        <w:sectPr w:rsidR="003A3574" w:rsidSect="006C629D">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3A3574" w:rsidRDefault="006C629D">
      <w:pPr>
        <w:spacing w:after="360"/>
        <w:jc w:val="center"/>
        <w:rPr>
          <w:rFonts w:ascii="Times New Roman" w:hAnsi="Times New Roman"/>
          <w:b/>
          <w:noProof/>
          <w:sz w:val="24"/>
          <w:szCs w:val="24"/>
          <w:u w:val="single"/>
        </w:rPr>
      </w:pPr>
      <w:r>
        <w:rPr>
          <w:rFonts w:ascii="Times New Roman" w:hAnsi="Times New Roman"/>
          <w:b/>
          <w:noProof/>
          <w:sz w:val="24"/>
          <w:u w:val="single"/>
        </w:rPr>
        <w:lastRenderedPageBreak/>
        <w:t>1. pielikums. Stratēģiskais rīcības plāns ceļu satiksmes drošības jomā</w:t>
      </w:r>
    </w:p>
    <w:p w:rsidR="003A3574" w:rsidRDefault="006C629D">
      <w:pPr>
        <w:spacing w:after="480" w:line="240" w:lineRule="auto"/>
        <w:jc w:val="both"/>
        <w:rPr>
          <w:rFonts w:ascii="Times New Roman" w:hAnsi="Times New Roman"/>
          <w:noProof/>
          <w:sz w:val="24"/>
          <w:szCs w:val="24"/>
        </w:rPr>
      </w:pPr>
      <w:r>
        <w:rPr>
          <w:rFonts w:ascii="Times New Roman" w:hAnsi="Times New Roman"/>
          <w:noProof/>
          <w:sz w:val="24"/>
        </w:rPr>
        <w:t xml:space="preserve">Pielikumā izklāstītas konkrētas darbības, kas paredzētas pašreizējās Komisijas pilnvaru laikā, proti, līdz 2019. gada 3. ceturkšņa beigām. </w:t>
      </w:r>
      <w:r>
        <w:rPr>
          <w:rFonts w:ascii="Times New Roman" w:hAnsi="Times New Roman"/>
          <w:b/>
          <w:noProof/>
          <w:sz w:val="24"/>
        </w:rPr>
        <w:t xml:space="preserve">Šīm darbībām ir noteikts konkrēts izpildes termiņš. </w:t>
      </w:r>
      <w:r>
        <w:rPr>
          <w:rFonts w:ascii="Times New Roman" w:hAnsi="Times New Roman"/>
          <w:noProof/>
          <w:sz w:val="24"/>
        </w:rPr>
        <w:t>Šis pielikums, protams, nevar skart nākamās Komisijas darbību, ta</w:t>
      </w:r>
      <w:r>
        <w:rPr>
          <w:rFonts w:ascii="Times New Roman" w:hAnsi="Times New Roman"/>
          <w:noProof/>
          <w:sz w:val="24"/>
        </w:rPr>
        <w:t xml:space="preserve">ču tajā orientējoši izklāstītas papildu paredzētās darbības laikposmam pēc 2019. gada </w:t>
      </w:r>
      <w:r>
        <w:rPr>
          <w:rFonts w:ascii="Times New Roman" w:hAnsi="Times New Roman"/>
          <w:b/>
          <w:noProof/>
          <w:sz w:val="24"/>
        </w:rPr>
        <w:t xml:space="preserve">bez konkrēta izpildes termiņa. </w:t>
      </w:r>
    </w:p>
    <w:p w:rsidR="003A3574" w:rsidRDefault="006C629D">
      <w:pPr>
        <w:spacing w:after="240" w:line="240" w:lineRule="auto"/>
        <w:jc w:val="both"/>
        <w:outlineLvl w:val="0"/>
        <w:rPr>
          <w:rFonts w:ascii="Times New Roman" w:hAnsi="Times New Roman"/>
          <w:b/>
          <w:noProof/>
          <w:sz w:val="24"/>
          <w:szCs w:val="24"/>
        </w:rPr>
      </w:pPr>
      <w:r>
        <w:rPr>
          <w:rFonts w:ascii="Times New Roman" w:hAnsi="Times New Roman"/>
          <w:b/>
          <w:noProof/>
          <w:sz w:val="24"/>
        </w:rPr>
        <w:t>1. Labāka ceļu satiksmes drošības pārvaldība</w:t>
      </w:r>
    </w:p>
    <w:p w:rsidR="003A3574" w:rsidRDefault="006C629D">
      <w:pPr>
        <w:spacing w:after="240" w:line="240" w:lineRule="auto"/>
        <w:jc w:val="both"/>
        <w:outlineLvl w:val="0"/>
        <w:rPr>
          <w:rFonts w:ascii="Times New Roman" w:hAnsi="Times New Roman"/>
          <w:noProof/>
          <w:sz w:val="24"/>
          <w:szCs w:val="24"/>
        </w:rPr>
      </w:pPr>
      <w:r>
        <w:rPr>
          <w:rFonts w:ascii="Times New Roman" w:hAnsi="Times New Roman"/>
          <w:noProof/>
          <w:sz w:val="24"/>
        </w:rPr>
        <w:t>Lai mainītu stagnējošo ES ceļu satiksmes drošības rādītāju tendenci un tuvotos ilgtermiņa mēr</w:t>
      </w:r>
      <w:r>
        <w:rPr>
          <w:rFonts w:ascii="Times New Roman" w:hAnsi="Times New Roman"/>
          <w:noProof/>
          <w:sz w:val="24"/>
        </w:rPr>
        <w:t>ķim līdz 2050. gadam pēc iespējas tuvāk nullei samazināt satiksmes negadījumos bojāgājušo skaitu Eiropas Savienībā (“nulles vīzija”), ir vajadzīga jauna pieeja. ES ceļu satiksmes drošības regulējums 2021.–2030. gadam, kurš tiks sīki izstrādāts līdz 2019. g</w:t>
      </w:r>
      <w:r>
        <w:rPr>
          <w:rFonts w:ascii="Times New Roman" w:hAnsi="Times New Roman"/>
          <w:noProof/>
          <w:sz w:val="24"/>
        </w:rPr>
        <w:t xml:space="preserve">adam, balstās uz </w:t>
      </w:r>
      <w:r>
        <w:rPr>
          <w:rFonts w:ascii="Times New Roman" w:hAnsi="Times New Roman"/>
          <w:b/>
          <w:noProof/>
          <w:sz w:val="24"/>
        </w:rPr>
        <w:t>drošas sistēmas pieeju.</w:t>
      </w:r>
      <w:r>
        <w:rPr>
          <w:rFonts w:ascii="Times New Roman" w:hAnsi="Times New Roman"/>
          <w:noProof/>
          <w:sz w:val="24"/>
        </w:rPr>
        <w:t xml:space="preserve"> Tas nozīmē, ka tiks noteikti skaidri </w:t>
      </w:r>
      <w:r>
        <w:rPr>
          <w:rFonts w:ascii="Times New Roman" w:hAnsi="Times New Roman"/>
          <w:b/>
          <w:noProof/>
          <w:sz w:val="24"/>
        </w:rPr>
        <w:t>mērķrādītāji</w:t>
      </w:r>
      <w:r>
        <w:rPr>
          <w:rFonts w:ascii="Times New Roman" w:hAnsi="Times New Roman"/>
          <w:noProof/>
          <w:sz w:val="24"/>
        </w:rPr>
        <w:t xml:space="preserve"> un tiks uzraudzīti panākumi, izmantojot </w:t>
      </w:r>
      <w:r>
        <w:rPr>
          <w:rFonts w:ascii="Times New Roman" w:hAnsi="Times New Roman"/>
          <w:b/>
          <w:noProof/>
          <w:sz w:val="24"/>
        </w:rPr>
        <w:t>galvenos darbības rādītājus</w:t>
      </w:r>
      <w:r>
        <w:rPr>
          <w:rFonts w:ascii="Times New Roman" w:hAnsi="Times New Roman"/>
          <w:noProof/>
          <w:sz w:val="24"/>
        </w:rPr>
        <w:t>, kas ir tieši saistīti ar nāves gadījumu un smagu traumu novēršanu visiem satiksmes dalībniekiem.</w:t>
      </w:r>
      <w:r>
        <w:rPr>
          <w:rFonts w:ascii="Times New Roman" w:hAnsi="Times New Roman"/>
          <w:noProof/>
          <w:sz w:val="24"/>
        </w:rPr>
        <w:t xml:space="preserve">  Tam vajadzīga </w:t>
      </w:r>
      <w:r>
        <w:rPr>
          <w:rFonts w:ascii="Times New Roman" w:hAnsi="Times New Roman"/>
          <w:b/>
          <w:noProof/>
          <w:sz w:val="24"/>
        </w:rPr>
        <w:t xml:space="preserve">visu nozaru koordinēta darbība attiecībā uz visiem satiksmes dalībniekiem </w:t>
      </w:r>
      <w:r>
        <w:rPr>
          <w:rFonts w:ascii="Times New Roman" w:hAnsi="Times New Roman"/>
          <w:noProof/>
          <w:sz w:val="24"/>
        </w:rPr>
        <w:t>uzlabotā pārvaldības struktūrā.</w:t>
      </w:r>
    </w:p>
    <w:p w:rsidR="003A3574" w:rsidRDefault="006C629D">
      <w:pPr>
        <w:pBdr>
          <w:top w:val="single" w:sz="4" w:space="1" w:color="auto"/>
          <w:left w:val="single" w:sz="4" w:space="4" w:color="auto"/>
          <w:bottom w:val="single" w:sz="4" w:space="1" w:color="auto"/>
          <w:right w:val="single" w:sz="4" w:space="4" w:color="auto"/>
        </w:pBdr>
        <w:spacing w:after="120" w:line="240" w:lineRule="auto"/>
        <w:jc w:val="center"/>
        <w:outlineLvl w:val="0"/>
        <w:rPr>
          <w:rFonts w:ascii="Times New Roman" w:hAnsi="Times New Roman"/>
          <w:b/>
          <w:noProof/>
          <w:sz w:val="24"/>
          <w:szCs w:val="24"/>
        </w:rPr>
      </w:pPr>
      <w:r>
        <w:rPr>
          <w:rFonts w:ascii="Times New Roman" w:hAnsi="Times New Roman"/>
          <w:b/>
          <w:noProof/>
          <w:sz w:val="24"/>
        </w:rPr>
        <w:t>Galvenās darbības attiecībā uz pārvaldību</w:t>
      </w:r>
    </w:p>
    <w:p w:rsidR="003A3574" w:rsidRDefault="006C629D">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b/>
          <w:noProof/>
          <w:sz w:val="24"/>
        </w:rPr>
        <w:t xml:space="preserve">Komisija </w:t>
      </w:r>
      <w:r>
        <w:rPr>
          <w:rFonts w:ascii="Times New Roman" w:hAnsi="Times New Roman"/>
          <w:noProof/>
          <w:sz w:val="24"/>
        </w:rPr>
        <w:t xml:space="preserve">sīkāk izstrādās ES 2021.–2030. gada ceļu satiksmes drošības regulējuma principus, </w:t>
      </w:r>
      <w:r>
        <w:rPr>
          <w:rFonts w:ascii="Times New Roman" w:hAnsi="Times New Roman"/>
          <w:noProof/>
          <w:sz w:val="24"/>
        </w:rPr>
        <w:t>kas izklāstīti šajā paziņojumā [2019. g. 2. cet.], tostarp</w:t>
      </w:r>
    </w:p>
    <w:p w:rsidR="003A3574" w:rsidRDefault="006C629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izveidos tādu galveno darbības rādītāju sarakstu, kas saistīti ar iznākumiem un kas izstrādāti ciešā sadarbībā ar dalībvalstīm;</w:t>
      </w:r>
    </w:p>
    <w:p w:rsidR="003A3574" w:rsidRDefault="006C629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Ceļu satiksmes drošības augsta līmeņa darba grupai (kuru veido valsts</w:t>
      </w:r>
      <w:r>
        <w:rPr>
          <w:rFonts w:ascii="Times New Roman" w:hAnsi="Times New Roman"/>
          <w:noProof/>
          <w:sz w:val="24"/>
        </w:rPr>
        <w:t xml:space="preserve"> pārvaldes iestāžu augsta līmeņa pārstāvji) noteiks plašākas pilnvaras, kas ietvers stratēģiskas konsultācijas un biežu atsauksmju sniegšanu; kā arī</w:t>
      </w:r>
    </w:p>
    <w:p w:rsidR="003A3574" w:rsidRDefault="006C629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izveidos ceļu satiksmes drošības vēstnieka amatu – tas ir jauns uzdevums, kuru veiks labi pazīstama persona</w:t>
      </w:r>
      <w:r>
        <w:rPr>
          <w:rFonts w:ascii="Times New Roman" w:hAnsi="Times New Roman"/>
          <w:noProof/>
          <w:sz w:val="24"/>
        </w:rPr>
        <w:t>, kas koordinēs ceļu satiksmes drošības centienus ar dalībvalstīm un izplatīs labu praksi gan Eiropas Savienībā, gan starptautiskā mērogā.</w:t>
      </w:r>
    </w:p>
    <w:p w:rsidR="003A3574" w:rsidRDefault="003A3574">
      <w:pPr>
        <w:pBdr>
          <w:top w:val="single" w:sz="4" w:space="1" w:color="auto"/>
          <w:left w:val="single" w:sz="4" w:space="4" w:color="auto"/>
          <w:bottom w:val="single" w:sz="4" w:space="1" w:color="auto"/>
          <w:right w:val="single" w:sz="4" w:space="4" w:color="auto"/>
        </w:pBdr>
        <w:spacing w:after="0" w:line="240" w:lineRule="auto"/>
        <w:jc w:val="both"/>
        <w:outlineLvl w:val="0"/>
        <w:rPr>
          <w:rFonts w:ascii="Times New Roman" w:hAnsi="Times New Roman"/>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noProof/>
          <w:sz w:val="24"/>
        </w:rPr>
        <w:t>Visā regulējuma periodā Komisija (tās darbu vadīs koordinācijas grupa, kurā iesaistīti vairāki ģenerāldirektorāti) s</w:t>
      </w:r>
      <w:r>
        <w:rPr>
          <w:rFonts w:ascii="Times New Roman" w:hAnsi="Times New Roman"/>
          <w:noProof/>
          <w:sz w:val="24"/>
        </w:rPr>
        <w:t>adarbosies ar dalībvalstīm un ieinteresētajām personām, lai uzraudzītu un paātrinātu virzību uz priekšu, piemēram, divreiz gadā organizējot konferenci par rezultātiem un veicinot brīvprātīgas apņemšanās, īpaši spēcīgākas Eiropas Ceļu satiksmes drošības har</w:t>
      </w:r>
      <w:r>
        <w:rPr>
          <w:rFonts w:ascii="Times New Roman" w:hAnsi="Times New Roman"/>
          <w:noProof/>
          <w:sz w:val="24"/>
        </w:rPr>
        <w:t>tas kontekstā</w:t>
      </w:r>
      <w:r>
        <w:rPr>
          <w:rStyle w:val="FootnoteReference"/>
          <w:rFonts w:ascii="Times New Roman" w:hAnsi="Times New Roman"/>
          <w:noProof/>
          <w:sz w:val="24"/>
        </w:rPr>
        <w:footnoteReference w:id="1"/>
      </w:r>
      <w:r>
        <w:rPr>
          <w:rFonts w:ascii="Times New Roman" w:hAnsi="Times New Roman"/>
          <w:noProof/>
          <w:sz w:val="24"/>
        </w:rPr>
        <w:t>.</w:t>
      </w:r>
    </w:p>
    <w:p w:rsidR="003A3574" w:rsidRDefault="003A3574">
      <w:pPr>
        <w:spacing w:after="240" w:line="240" w:lineRule="auto"/>
        <w:jc w:val="both"/>
        <w:outlineLvl w:val="0"/>
        <w:rPr>
          <w:rFonts w:ascii="Times New Roman" w:hAnsi="Times New Roman"/>
          <w:b/>
          <w:noProof/>
          <w:sz w:val="24"/>
          <w:szCs w:val="24"/>
        </w:rPr>
      </w:pPr>
    </w:p>
    <w:p w:rsidR="003A3574" w:rsidRDefault="006C629D">
      <w:pPr>
        <w:spacing w:after="240" w:line="240" w:lineRule="auto"/>
        <w:jc w:val="both"/>
        <w:outlineLvl w:val="0"/>
        <w:rPr>
          <w:rFonts w:ascii="Times New Roman" w:hAnsi="Times New Roman"/>
          <w:b/>
          <w:noProof/>
          <w:sz w:val="24"/>
          <w:szCs w:val="24"/>
        </w:rPr>
      </w:pPr>
      <w:r>
        <w:rPr>
          <w:rFonts w:ascii="Times New Roman" w:hAnsi="Times New Roman"/>
          <w:b/>
          <w:noProof/>
          <w:sz w:val="24"/>
        </w:rPr>
        <w:t>2. Lielāks finansiālais atbalsts ceļu satiksmes drošībai</w:t>
      </w:r>
    </w:p>
    <w:p w:rsidR="003A3574" w:rsidRDefault="006C629D">
      <w:pPr>
        <w:spacing w:line="240" w:lineRule="auto"/>
        <w:jc w:val="both"/>
        <w:rPr>
          <w:rFonts w:ascii="Times New Roman" w:hAnsi="Times New Roman"/>
          <w:noProof/>
          <w:sz w:val="24"/>
          <w:szCs w:val="24"/>
        </w:rPr>
      </w:pPr>
      <w:r>
        <w:rPr>
          <w:rFonts w:ascii="Times New Roman" w:hAnsi="Times New Roman"/>
          <w:noProof/>
          <w:sz w:val="24"/>
        </w:rPr>
        <w:t>Nozīmīgs veids, kā ES var paātrināt rezultātu sasniegšanu, ir atbalsta sniegšana ceļu satiksmes drošības iniciatīvām, izmantojot dažādus finansēšanas risinājumus. Reģionālie fondi pašreizējā finanšu shēmā var atbalstīt infrastruktūras modernizāciju. Turklā</w:t>
      </w:r>
      <w:r>
        <w:rPr>
          <w:rFonts w:ascii="Times New Roman" w:hAnsi="Times New Roman"/>
          <w:noProof/>
          <w:sz w:val="24"/>
        </w:rPr>
        <w:t xml:space="preserve">t šodienas Eiropas infrastruktūras savienošanas instrumenta uzaicinājumā ceļu satiksmes drošībai un </w:t>
      </w:r>
      <w:r>
        <w:rPr>
          <w:rFonts w:ascii="Times New Roman" w:hAnsi="Times New Roman"/>
          <w:noProof/>
          <w:sz w:val="24"/>
        </w:rPr>
        <w:lastRenderedPageBreak/>
        <w:t xml:space="preserve">digitalizācijai ir darīti pieejami 200 miljoni EUR. Ilgākā perspektīvā būs svarīgi nodrošināt </w:t>
      </w:r>
      <w:r>
        <w:rPr>
          <w:rFonts w:ascii="Times New Roman" w:hAnsi="Times New Roman"/>
          <w:b/>
          <w:noProof/>
          <w:sz w:val="24"/>
        </w:rPr>
        <w:t>stabilitāti un konsekvenci finansēšanas risinājumos</w:t>
      </w:r>
      <w:r>
        <w:rPr>
          <w:rFonts w:ascii="Times New Roman" w:hAnsi="Times New Roman"/>
          <w:noProof/>
          <w:sz w:val="24"/>
        </w:rPr>
        <w:t xml:space="preserve"> infrastruk</w:t>
      </w:r>
      <w:r>
        <w:rPr>
          <w:rFonts w:ascii="Times New Roman" w:hAnsi="Times New Roman"/>
          <w:noProof/>
          <w:sz w:val="24"/>
        </w:rPr>
        <w:t>tūras modernizācijai, citām ceļu satiksmes drošības darbībām, kā arī spēju veidošanai.</w:t>
      </w:r>
    </w:p>
    <w:p w:rsidR="003A3574" w:rsidRDefault="006C629D">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b/>
          <w:noProof/>
          <w:sz w:val="24"/>
          <w:szCs w:val="24"/>
        </w:rPr>
      </w:pPr>
      <w:r>
        <w:rPr>
          <w:rFonts w:ascii="Times New Roman" w:hAnsi="Times New Roman"/>
          <w:b/>
          <w:noProof/>
          <w:sz w:val="24"/>
        </w:rPr>
        <w:t>Galvenās darbības attiecībā uz atbalstīšanu un finansējumu</w:t>
      </w:r>
    </w:p>
    <w:p w:rsidR="003A3574" w:rsidRDefault="006C629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noProof/>
          <w:sz w:val="24"/>
        </w:rPr>
        <w:t xml:space="preserve">Komisija </w:t>
      </w:r>
    </w:p>
    <w:p w:rsidR="003A3574" w:rsidRDefault="006C629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mudinās izmantot ES finansiālo atbalstu no Eiropas strukturālajiem un investīciju fondiem infrastruk</w:t>
      </w:r>
      <w:r>
        <w:rPr>
          <w:rFonts w:ascii="Times New Roman" w:hAnsi="Times New Roman"/>
          <w:noProof/>
          <w:sz w:val="24"/>
        </w:rPr>
        <w:t>tūras modernizācijai ceļu satiksmes drošības ziņā, īpaši dalībvalstīs ar salīdzinoši zemiem ceļu satiksmes drošības rādītājiem, un mudinās izmantot Eiropas infrastruktūras savienošanas instrumentu [2018. g. 2. cet.];</w:t>
      </w:r>
    </w:p>
    <w:p w:rsidR="003A3574" w:rsidRDefault="006C629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racionalizēs un pastiprinās finansējumu</w:t>
      </w:r>
      <w:r>
        <w:rPr>
          <w:rFonts w:ascii="Times New Roman" w:hAnsi="Times New Roman"/>
          <w:noProof/>
          <w:sz w:val="24"/>
        </w:rPr>
        <w:t xml:space="preserve"> ceļu satiksmes drošības darbībām nākamajā daudzgadu finanšu shēmā, ņemot vērā dažādu finansēšanas instrumentu komplementaritāti [2018. g. 2. cet.];</w:t>
      </w:r>
    </w:p>
    <w:p w:rsidR="003A3574" w:rsidRDefault="006C629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izpētīs, kā nodrošināt finansējuma stabilitāti ceļu satiksmes drošības darbībām – tādām kā kopīgā pārrobežu</w:t>
      </w:r>
      <w:r>
        <w:rPr>
          <w:rFonts w:ascii="Times New Roman" w:hAnsi="Times New Roman"/>
          <w:noProof/>
          <w:sz w:val="24"/>
        </w:rPr>
        <w:t xml:space="preserve"> ceļu policijas darbība, kas organizēta, sadarbojoties policijas struktūrām, – nākamajā daudzgadu finanšu shēmā [2018. g. 3. cet.]; kā arī</w:t>
      </w:r>
    </w:p>
    <w:p w:rsidR="003A3574" w:rsidRDefault="006C629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izpētīs iespējas finansiāli atbalstīt spēju veidošanu dalībvalstu līmenī, piemēram, saistībā ar drošas sistēmas strat</w:t>
      </w:r>
      <w:r>
        <w:rPr>
          <w:rFonts w:ascii="Times New Roman" w:hAnsi="Times New Roman"/>
          <w:noProof/>
          <w:sz w:val="24"/>
        </w:rPr>
        <w:t>ēģijām (piemēram, galveno darbības rādītāju mērīšanas metodiku) [2019. g. 3. cet.].</w:t>
      </w:r>
    </w:p>
    <w:p w:rsidR="003A3574" w:rsidRDefault="003A35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Turklāt Komisija ciešā sadarbībā ar Eiropas Investīciju banku pētīs, kā atvieglot publiskā sektora iestāžu piekļuvi atbilstīgam finansiālajam atbalstam attiecībā uz drošāk</w:t>
      </w:r>
      <w:r>
        <w:rPr>
          <w:rFonts w:ascii="Times New Roman" w:hAnsi="Times New Roman"/>
          <w:noProof/>
          <w:sz w:val="24"/>
        </w:rPr>
        <w:t>a autoparka iepirkumu. Piemērs varētu būt drošāka transporta instruments vai esošā Tīrāka transporta mehānisma paplašinājums</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Komisija arī pētīs, kā finansēt pētniecību un inovāciju, kas vajadzīga drošas sistēmas stratēģiju izstrādei un īstenošanai.</w:t>
      </w:r>
    </w:p>
    <w:p w:rsidR="003A3574" w:rsidRDefault="003A3574">
      <w:pPr>
        <w:spacing w:after="0" w:line="240" w:lineRule="auto"/>
        <w:jc w:val="both"/>
        <w:outlineLvl w:val="0"/>
        <w:rPr>
          <w:rFonts w:ascii="Times New Roman" w:hAnsi="Times New Roman"/>
          <w:b/>
          <w:noProof/>
          <w:sz w:val="24"/>
          <w:szCs w:val="24"/>
        </w:rPr>
      </w:pPr>
    </w:p>
    <w:p w:rsidR="003A3574" w:rsidRDefault="006C629D">
      <w:pPr>
        <w:spacing w:after="0" w:line="240" w:lineRule="auto"/>
        <w:jc w:val="both"/>
        <w:outlineLvl w:val="0"/>
        <w:rPr>
          <w:rFonts w:ascii="Times New Roman" w:hAnsi="Times New Roman"/>
          <w:b/>
          <w:noProof/>
          <w:sz w:val="24"/>
          <w:szCs w:val="24"/>
        </w:rPr>
      </w:pPr>
      <w:r>
        <w:rPr>
          <w:rFonts w:ascii="Times New Roman" w:hAnsi="Times New Roman"/>
          <w:b/>
          <w:noProof/>
          <w:sz w:val="24"/>
          <w:szCs w:val="24"/>
        </w:rPr>
        <w:br/>
      </w:r>
      <w:r>
        <w:rPr>
          <w:rFonts w:ascii="Times New Roman" w:hAnsi="Times New Roman"/>
          <w:b/>
          <w:noProof/>
          <w:sz w:val="24"/>
        </w:rPr>
        <w:t>3.</w:t>
      </w:r>
      <w:r>
        <w:rPr>
          <w:noProof/>
        </w:rPr>
        <w:tab/>
      </w:r>
      <w:r>
        <w:rPr>
          <w:rFonts w:ascii="Times New Roman" w:hAnsi="Times New Roman"/>
          <w:b/>
          <w:noProof/>
          <w:sz w:val="24"/>
        </w:rPr>
        <w:t>Droši ceļi un ceļmalas</w:t>
      </w:r>
    </w:p>
    <w:p w:rsidR="003A3574" w:rsidRDefault="003A3574">
      <w:pPr>
        <w:spacing w:after="0" w:line="240" w:lineRule="auto"/>
        <w:jc w:val="both"/>
        <w:outlineLvl w:val="0"/>
        <w:rPr>
          <w:rFonts w:ascii="Times New Roman" w:hAnsi="Times New Roman"/>
          <w:b/>
          <w:noProof/>
          <w:sz w:val="24"/>
          <w:szCs w:val="24"/>
        </w:rPr>
      </w:pPr>
    </w:p>
    <w:p w:rsidR="003A3574" w:rsidRDefault="006C629D">
      <w:pPr>
        <w:spacing w:after="240" w:line="240" w:lineRule="auto"/>
        <w:jc w:val="both"/>
        <w:outlineLvl w:val="0"/>
        <w:rPr>
          <w:rFonts w:ascii="Times New Roman" w:hAnsi="Times New Roman"/>
          <w:noProof/>
          <w:sz w:val="24"/>
          <w:szCs w:val="24"/>
        </w:rPr>
      </w:pPr>
      <w:r>
        <w:rPr>
          <w:rFonts w:ascii="Times New Roman" w:hAnsi="Times New Roman"/>
          <w:noProof/>
          <w:sz w:val="24"/>
        </w:rPr>
        <w:t>Drošas sistēmas pieeja ceļu inženiertehniskajiem būvdarbiem ietver ceļa funkcijas, konstrukcijas, izvietojuma un ātruma ierobežojumu savstarpēju pielāgošanu nolūkā ņemt vērā cilvēka kļūdas, lai autoavārijas neizraisītu nāves gadījum</w:t>
      </w:r>
      <w:r>
        <w:rPr>
          <w:rFonts w:ascii="Times New Roman" w:hAnsi="Times New Roman"/>
          <w:noProof/>
          <w:sz w:val="24"/>
        </w:rPr>
        <w:t xml:space="preserve">us un smagas traumas. Komisija šodien ierosina pārskatīt Ceļu infrastruktūras drošības pārvaldības direktīvu, lai noteiktu </w:t>
      </w:r>
      <w:r>
        <w:rPr>
          <w:rFonts w:ascii="Times New Roman" w:hAnsi="Times New Roman"/>
          <w:b/>
          <w:noProof/>
          <w:sz w:val="24"/>
        </w:rPr>
        <w:t>lielāku pārredzamību un tīkla mēroga risku kartēšanu</w:t>
      </w:r>
      <w:r>
        <w:rPr>
          <w:rFonts w:ascii="Times New Roman" w:hAnsi="Times New Roman"/>
          <w:noProof/>
          <w:sz w:val="24"/>
        </w:rPr>
        <w:t>, kā arī paplašinātu tās darbības jomu, papildus Eiropas ceļu tīklam iekļaujot ar</w:t>
      </w:r>
      <w:r>
        <w:rPr>
          <w:rFonts w:ascii="Times New Roman" w:hAnsi="Times New Roman"/>
          <w:noProof/>
          <w:sz w:val="24"/>
        </w:rPr>
        <w:t xml:space="preserve">ī </w:t>
      </w:r>
      <w:r>
        <w:rPr>
          <w:rFonts w:ascii="Times New Roman" w:hAnsi="Times New Roman"/>
          <w:b/>
          <w:noProof/>
          <w:sz w:val="24"/>
        </w:rPr>
        <w:t>visus galvenos autoceļus</w:t>
      </w:r>
      <w:r>
        <w:rPr>
          <w:rFonts w:ascii="Times New Roman" w:hAnsi="Times New Roman"/>
          <w:noProof/>
          <w:sz w:val="24"/>
        </w:rPr>
        <w:t>.</w:t>
      </w:r>
      <w:r>
        <w:rPr>
          <w:rFonts w:ascii="Times New Roman" w:hAnsi="Times New Roman"/>
          <w:noProof/>
          <w:sz w:val="24"/>
          <w:highlight w:val="yellow"/>
        </w:rPr>
        <w:t xml:space="preserve"> </w:t>
      </w:r>
    </w:p>
    <w:p w:rsidR="003A3574" w:rsidRDefault="006C629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Galvenās darbības attiecībā uz drošiem ceļiem un ceļmalām</w:t>
      </w:r>
    </w:p>
    <w:p w:rsidR="003A3574" w:rsidRDefault="006C629D">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Komisija</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rPr>
        <w:t xml:space="preserve">veiks sagatavošanas darbu un izveidos ekspertu grupu, kuras uzdevums būs izstrādāt tādu regulējumu ceļu klasifikācijai, kas saskaņā ar drošas sistēmas pieeju </w:t>
      </w:r>
      <w:r>
        <w:rPr>
          <w:rFonts w:ascii="Times New Roman" w:hAnsi="Times New Roman"/>
          <w:noProof/>
          <w:sz w:val="24"/>
        </w:rPr>
        <w:t>labāk pieskaņo ātruma ierobežojumu ceļa konstrukcijai un izvietojumam [2019. g. 3. cet.]; kā arī</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rPr>
        <w:t>veicinās praktiķu pieredzes apmaiņu par drošas sistēmas metodikām (piemēram, Eiropas ceļu drošības revidentu forumā) [par pārskatītās Ceļu infrastruktūras droš</w:t>
      </w:r>
      <w:r>
        <w:rPr>
          <w:rFonts w:ascii="Times New Roman" w:hAnsi="Times New Roman"/>
          <w:noProof/>
          <w:sz w:val="24"/>
        </w:rPr>
        <w:t>ības pārvaldības direktīvas pieņemšanu].</w:t>
      </w:r>
    </w:p>
    <w:p w:rsidR="003A3574" w:rsidRDefault="003A35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lastRenderedPageBreak/>
        <w:t xml:space="preserve">Visā regulējuma periodā Komisija centīsies noteikt turpmāku ES rīcību, piemēram, konkrētu drošības mērķu izvirzīšanu attiecībā uz ceļiem Eiropas tīklos nākamās Eiropas tīklu pamatnostādņu pārskatīšanas laikā.  </w:t>
      </w:r>
    </w:p>
    <w:p w:rsidR="003A3574" w:rsidRDefault="006C629D">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4.</w:t>
      </w:r>
      <w:r>
        <w:rPr>
          <w:noProof/>
        </w:rPr>
        <w:tab/>
      </w:r>
      <w:r>
        <w:rPr>
          <w:rFonts w:ascii="Times New Roman" w:hAnsi="Times New Roman"/>
          <w:b/>
          <w:noProof/>
          <w:sz w:val="24"/>
        </w:rPr>
        <w:t>Droši transportlīdzekļi</w:t>
      </w:r>
    </w:p>
    <w:p w:rsidR="003A3574" w:rsidRDefault="006C629D">
      <w:pPr>
        <w:spacing w:before="240" w:after="0" w:line="240" w:lineRule="auto"/>
        <w:jc w:val="both"/>
        <w:outlineLvl w:val="0"/>
        <w:rPr>
          <w:rFonts w:ascii="Times New Roman" w:hAnsi="Times New Roman"/>
          <w:noProof/>
          <w:sz w:val="24"/>
          <w:szCs w:val="24"/>
        </w:rPr>
      </w:pPr>
      <w:r>
        <w:rPr>
          <w:rFonts w:ascii="Times New Roman" w:hAnsi="Times New Roman"/>
          <w:noProof/>
          <w:sz w:val="24"/>
        </w:rPr>
        <w:t>ES ir sekmīgi samazinājusi bojāgājušo cilvēku un smagu traumu skaitu, uzlabojot transportlīdzekļu drošību, kas panākta, veicot secīgus pielāgojumus Vispārējās drošības regulā un Gājēju drošības regulā. Komisija ierosina pārskatīt šī</w:t>
      </w:r>
      <w:r>
        <w:rPr>
          <w:rFonts w:ascii="Times New Roman" w:hAnsi="Times New Roman"/>
          <w:noProof/>
          <w:sz w:val="24"/>
        </w:rPr>
        <w:t xml:space="preserve">s regulas, lai padarītu </w:t>
      </w:r>
      <w:r>
        <w:rPr>
          <w:rFonts w:ascii="Times New Roman" w:hAnsi="Times New Roman"/>
          <w:b/>
          <w:noProof/>
          <w:sz w:val="24"/>
        </w:rPr>
        <w:t>obligātus</w:t>
      </w:r>
      <w:r>
        <w:rPr>
          <w:rFonts w:ascii="Times New Roman" w:hAnsi="Times New Roman"/>
          <w:noProof/>
          <w:sz w:val="24"/>
        </w:rPr>
        <w:t xml:space="preserve"> dažus </w:t>
      </w:r>
      <w:r>
        <w:rPr>
          <w:rFonts w:ascii="Times New Roman" w:hAnsi="Times New Roman"/>
          <w:b/>
          <w:noProof/>
          <w:sz w:val="24"/>
        </w:rPr>
        <w:t>svarīgus drošības elementus</w:t>
      </w:r>
      <w:r>
        <w:rPr>
          <w:rFonts w:ascii="Times New Roman" w:hAnsi="Times New Roman"/>
          <w:noProof/>
          <w:sz w:val="24"/>
        </w:rPr>
        <w:t>, piemēram, intelektisko ātruma pielāgošanu, autonomu avārijas bremzēšanu (arī tad, ja parādās gājēji vai riteņbraucēji) vai kravas automobiļu vadītāju uzlabotu tiešo redzamību. Turpinot šo</w:t>
      </w:r>
      <w:r>
        <w:rPr>
          <w:rFonts w:ascii="Times New Roman" w:hAnsi="Times New Roman"/>
          <w:noProof/>
          <w:sz w:val="24"/>
        </w:rPr>
        <w:t xml:space="preserve"> darbu, būs svarīgi padarīt par prioritāti ES un Apvienoto Nāciju Organizācijas darbu jaunu transportlīdzekļu drošības noteikumu izstrādē (piemēram, attiecībā uz autonomu avārijas bremzēšanas sistēmu kravas automobiļiem, ieskaitot gājēju un riteņbraucēju a</w:t>
      </w:r>
      <w:r>
        <w:rPr>
          <w:rFonts w:ascii="Times New Roman" w:hAnsi="Times New Roman"/>
          <w:noProof/>
          <w:sz w:val="24"/>
        </w:rPr>
        <w:t xml:space="preserve">tpazīšanu, un tiešās redzamības standartiem). Labu iespēju pozitīvi ietekmēt drošības tehnoloģiju ieviešanas tempu rada </w:t>
      </w:r>
      <w:r>
        <w:rPr>
          <w:rFonts w:ascii="Times New Roman" w:hAnsi="Times New Roman"/>
          <w:b/>
          <w:noProof/>
          <w:sz w:val="24"/>
        </w:rPr>
        <w:t>publiskais iepirkums</w:t>
      </w:r>
      <w:r>
        <w:rPr>
          <w:rFonts w:ascii="Times New Roman" w:hAnsi="Times New Roman"/>
          <w:noProof/>
          <w:sz w:val="24"/>
        </w:rPr>
        <w:t xml:space="preserve">. </w:t>
      </w:r>
    </w:p>
    <w:p w:rsidR="003A3574" w:rsidRDefault="006C629D">
      <w:pPr>
        <w:spacing w:before="240" w:after="0" w:line="240" w:lineRule="auto"/>
        <w:jc w:val="both"/>
        <w:outlineLvl w:val="0"/>
        <w:rPr>
          <w:rFonts w:ascii="Times New Roman" w:hAnsi="Times New Roman"/>
          <w:noProof/>
          <w:sz w:val="24"/>
          <w:szCs w:val="24"/>
        </w:rPr>
      </w:pPr>
      <w:r>
        <w:rPr>
          <w:rFonts w:ascii="Times New Roman" w:hAnsi="Times New Roman"/>
          <w:noProof/>
          <w:sz w:val="24"/>
        </w:rPr>
        <w:t>Komisija arī ierosina pārskatīt Riepu marķēšanas regulu, lai uzlabotu patērētājiem paredzēto informāciju, īpaši p</w:t>
      </w:r>
      <w:r>
        <w:rPr>
          <w:rFonts w:ascii="Times New Roman" w:hAnsi="Times New Roman"/>
          <w:noProof/>
          <w:sz w:val="24"/>
        </w:rPr>
        <w:t xml:space="preserve">ar </w:t>
      </w:r>
      <w:r>
        <w:rPr>
          <w:rFonts w:ascii="Times New Roman" w:hAnsi="Times New Roman"/>
          <w:b/>
          <w:noProof/>
          <w:sz w:val="24"/>
        </w:rPr>
        <w:t>riepu drošības rādītājiem</w:t>
      </w:r>
      <w:r>
        <w:rPr>
          <w:rFonts w:ascii="Times New Roman" w:hAnsi="Times New Roman"/>
          <w:noProof/>
          <w:sz w:val="24"/>
        </w:rPr>
        <w:t>.</w:t>
      </w:r>
    </w:p>
    <w:p w:rsidR="003A3574" w:rsidRDefault="003A3574">
      <w:pPr>
        <w:spacing w:after="0" w:line="240" w:lineRule="auto"/>
        <w:jc w:val="both"/>
        <w:rPr>
          <w:rFonts w:ascii="Times New Roman" w:hAnsi="Times New Roman"/>
          <w:b/>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240" w:line="240" w:lineRule="auto"/>
        <w:jc w:val="center"/>
        <w:outlineLvl w:val="0"/>
        <w:rPr>
          <w:rFonts w:ascii="Times New Roman" w:hAnsi="Times New Roman"/>
          <w:b/>
          <w:noProof/>
          <w:sz w:val="24"/>
          <w:szCs w:val="24"/>
        </w:rPr>
      </w:pPr>
      <w:r>
        <w:rPr>
          <w:rFonts w:ascii="Times New Roman" w:hAnsi="Times New Roman"/>
          <w:b/>
          <w:noProof/>
          <w:sz w:val="24"/>
        </w:rPr>
        <w:t>Galvenās darbības attiecībā uz drošiem transportlīdzekļiem</w:t>
      </w:r>
    </w:p>
    <w:p w:rsidR="003A3574" w:rsidRDefault="006C629D">
      <w:pPr>
        <w:pBdr>
          <w:top w:val="single" w:sz="4" w:space="1" w:color="auto"/>
          <w:left w:val="single" w:sz="4" w:space="4" w:color="auto"/>
          <w:bottom w:val="single" w:sz="4" w:space="1" w:color="auto"/>
          <w:right w:val="single" w:sz="4" w:space="4" w:color="auto"/>
        </w:pBdr>
        <w:spacing w:after="240" w:line="240" w:lineRule="auto"/>
        <w:outlineLvl w:val="0"/>
        <w:rPr>
          <w:rFonts w:ascii="Times New Roman" w:hAnsi="Times New Roman"/>
          <w:b/>
          <w:noProof/>
          <w:sz w:val="24"/>
          <w:szCs w:val="24"/>
        </w:rPr>
      </w:pPr>
      <w:r>
        <w:rPr>
          <w:rFonts w:ascii="Times New Roman" w:hAnsi="Times New Roman"/>
          <w:b/>
          <w:noProof/>
          <w:sz w:val="24"/>
        </w:rPr>
        <w:t>Komisija</w:t>
      </w:r>
      <w:r>
        <w:rPr>
          <w:rFonts w:ascii="Times New Roman" w:hAnsi="Times New Roman"/>
          <w:noProof/>
          <w:sz w:val="24"/>
        </w:rPr>
        <w:t xml:space="preserve"> </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sāks izvērtēt, vai esošā autoparka (īpaši autobusu un kravas automobiļu) modernizācija ar progresīvām autovadītāja atbalsta sistēmām ir iespējama un </w:t>
      </w:r>
      <w:r>
        <w:rPr>
          <w:rFonts w:ascii="Times New Roman" w:hAnsi="Times New Roman"/>
          <w:noProof/>
          <w:sz w:val="24"/>
        </w:rPr>
        <w:t>izmaksefektīva [2018. g. 4. cet.]; kā arī</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mudinās dalībvalstis apsvērt valsts līmeņa stimulus – izmantojot dažādus līdzekļus, piemēram, iepirkumu, drošas pārvietošanās politiku, nodokļu un apdrošināšanas stimulus – pārbaudītu tehnoloģiju ātrākai ieviešanai</w:t>
      </w:r>
      <w:r>
        <w:rPr>
          <w:rFonts w:ascii="Times New Roman" w:hAnsi="Times New Roman"/>
          <w:noProof/>
          <w:sz w:val="24"/>
        </w:rPr>
        <w:t>, vienlaikus saglabājot konkurenci iekšējā tirgū [2018. g. 2. cet.].</w:t>
      </w:r>
    </w:p>
    <w:p w:rsidR="003A3574" w:rsidRDefault="003A35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b/>
          <w:noProof/>
          <w:sz w:val="24"/>
          <w:szCs w:val="24"/>
        </w:rPr>
      </w:pPr>
      <w:r>
        <w:rPr>
          <w:rFonts w:ascii="Times New Roman" w:hAnsi="Times New Roman"/>
          <w:b/>
          <w:noProof/>
          <w:sz w:val="24"/>
        </w:rPr>
        <w:t>Komisija lūgs brīvprātīgi uzņemties saistības</w:t>
      </w:r>
      <w:r>
        <w:rPr>
          <w:rFonts w:ascii="Times New Roman" w:hAnsi="Times New Roman"/>
          <w:noProof/>
          <w:sz w:val="24"/>
        </w:rPr>
        <w:t>, piemēram,</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darba devējus/kravas autopārvadātāju asociācijas (piemēram, izmantot transportlīdzekļus, kuriem ir jaunākie drošības elementi, vēl pirms tas ir paredzēts tiesību aktos), </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publiskā sektora iestādes (piemēram, pilsētas publiskajā iepirkumā dot priekšroku ne </w:t>
      </w:r>
      <w:r>
        <w:rPr>
          <w:rFonts w:ascii="Times New Roman" w:hAnsi="Times New Roman"/>
          <w:noProof/>
          <w:sz w:val="24"/>
        </w:rPr>
        <w:t xml:space="preserve">tikai ekoloģiski tīrākajiem, bet arī drošākajiem automobiļiem savam autoparkam),  </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ražotājus (piemēram, ieviest drošības elementus plašāk, nekā paredzēts minimālajās prasībās, visos cenu segmentos),  </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apdrošinātājus (piemēram, mainīt prēmiju struktūru, lai</w:t>
      </w:r>
      <w:r>
        <w:rPr>
          <w:rFonts w:ascii="Times New Roman" w:hAnsi="Times New Roman"/>
          <w:noProof/>
          <w:sz w:val="24"/>
        </w:rPr>
        <w:t xml:space="preserve"> atbalstītu drošākus transportlīdzekļus),  </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automobiļu nomas un koplietošanas sektoru (piemēram, veicināt drošu automobiļu izmantošanu automobiļu nomā un izpirkumnomā, kā arī regulāru apkopi), </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autoskolas (piemēram, apmācīt jaunus un pieredzējušus autovadī</w:t>
      </w:r>
      <w:r>
        <w:rPr>
          <w:rFonts w:ascii="Times New Roman" w:hAnsi="Times New Roman"/>
          <w:noProof/>
          <w:sz w:val="24"/>
        </w:rPr>
        <w:t>tājus un braucējus, kā izmantot jaunus transportlīdzekļu drošības elementus).</w:t>
      </w:r>
    </w:p>
    <w:p w:rsidR="003A3574" w:rsidRDefault="003A35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Komisija izvērtēs, vai ir vajadzīga turpmāka rīcība, citstarp attiecībā uz noteikumiem par nolietotu riepu saķeres pārbaudi, tiesisko regulējumu par automobiļu tehnisko apskati,</w:t>
      </w:r>
      <w:r>
        <w:rPr>
          <w:rFonts w:ascii="Times New Roman" w:hAnsi="Times New Roman"/>
          <w:noProof/>
          <w:sz w:val="24"/>
        </w:rPr>
        <w:t xml:space="preserve"> arī darbībām, kas novērstu īpašnieku/turētāju potenciālu nesankcionētu manipulāciju ar transportlīdzekļiem, un attiecībā uz lielākas nozīmes piešķiršanu drošības apsvērumiem ES publiskā iepirkuma tiesību aktos.</w:t>
      </w:r>
    </w:p>
    <w:p w:rsidR="003A3574" w:rsidRDefault="006C629D">
      <w:pPr>
        <w:spacing w:before="360" w:after="0" w:line="240" w:lineRule="auto"/>
        <w:jc w:val="both"/>
        <w:outlineLvl w:val="0"/>
        <w:rPr>
          <w:rFonts w:ascii="Times New Roman" w:hAnsi="Times New Roman"/>
          <w:b/>
          <w:noProof/>
          <w:sz w:val="24"/>
          <w:szCs w:val="24"/>
        </w:rPr>
      </w:pPr>
      <w:r>
        <w:rPr>
          <w:rFonts w:ascii="Times New Roman" w:hAnsi="Times New Roman"/>
          <w:b/>
          <w:noProof/>
          <w:sz w:val="24"/>
        </w:rPr>
        <w:t xml:space="preserve">5.  </w:t>
      </w:r>
      <w:r>
        <w:rPr>
          <w:noProof/>
        </w:rPr>
        <w:tab/>
      </w:r>
      <w:r>
        <w:rPr>
          <w:rFonts w:ascii="Times New Roman" w:hAnsi="Times New Roman"/>
          <w:b/>
          <w:noProof/>
          <w:sz w:val="24"/>
        </w:rPr>
        <w:t>Droša ceļu izmantošana</w:t>
      </w:r>
    </w:p>
    <w:p w:rsidR="003A3574" w:rsidRDefault="006C629D">
      <w:pPr>
        <w:spacing w:before="240" w:after="240" w:line="240" w:lineRule="auto"/>
        <w:jc w:val="both"/>
        <w:outlineLvl w:val="0"/>
        <w:rPr>
          <w:rFonts w:ascii="Times New Roman" w:hAnsi="Times New Roman"/>
          <w:noProof/>
          <w:sz w:val="24"/>
          <w:szCs w:val="24"/>
        </w:rPr>
      </w:pPr>
      <w:r>
        <w:rPr>
          <w:rFonts w:ascii="Times New Roman" w:hAnsi="Times New Roman"/>
          <w:noProof/>
          <w:sz w:val="24"/>
        </w:rPr>
        <w:t xml:space="preserve">Satiksmes dalībnieku ar drošību saistītā </w:t>
      </w:r>
      <w:r>
        <w:rPr>
          <w:rFonts w:ascii="Times New Roman" w:hAnsi="Times New Roman"/>
          <w:b/>
          <w:noProof/>
          <w:sz w:val="24"/>
        </w:rPr>
        <w:t>rīcība</w:t>
      </w:r>
      <w:r>
        <w:rPr>
          <w:rFonts w:ascii="Times New Roman" w:hAnsi="Times New Roman"/>
          <w:noProof/>
          <w:sz w:val="24"/>
        </w:rPr>
        <w:t xml:space="preserve"> (ātrums, aizsargaprīkojuma – piemēram, drošības jostu vai ķiveru – izmantošana, transportlīdzekļa vadīšana, nelietojot alkoholu un citas apreibinošas vielas, transportlīdzekļa vadīšana, braukšana ar velosipēd</w:t>
      </w:r>
      <w:r>
        <w:rPr>
          <w:rFonts w:ascii="Times New Roman" w:hAnsi="Times New Roman"/>
          <w:noProof/>
          <w:sz w:val="24"/>
        </w:rPr>
        <w:t xml:space="preserve">u un iešana, nenovēršot uzmanību no ceļa) un šādas rīcības </w:t>
      </w:r>
      <w:r>
        <w:rPr>
          <w:rFonts w:ascii="Times New Roman" w:hAnsi="Times New Roman"/>
          <w:b/>
          <w:noProof/>
          <w:sz w:val="24"/>
        </w:rPr>
        <w:t>panākšana</w:t>
      </w:r>
      <w:r>
        <w:rPr>
          <w:rFonts w:ascii="Times New Roman" w:hAnsi="Times New Roman"/>
          <w:noProof/>
          <w:sz w:val="24"/>
        </w:rPr>
        <w:t xml:space="preserve"> arī ir būtiska smagu sadursmju novēršanā un sadursmju seku mazināšanā. Priekšlikums pārskatīt Vispārējās drošības regulu un Gājēju drošības regulu ietver dažus elementus, kas varētu radīt</w:t>
      </w:r>
      <w:r>
        <w:rPr>
          <w:rFonts w:ascii="Times New Roman" w:hAnsi="Times New Roman"/>
          <w:noProof/>
          <w:sz w:val="24"/>
        </w:rPr>
        <w:t xml:space="preserve"> lielus ieguvumus drošības ziņā (intelektiska ātruma pielāgošana, miegainības atpazīšanas tehnoloģija, standartizētas saskarnes alkometriskam autobloķētājam). </w:t>
      </w:r>
    </w:p>
    <w:p w:rsidR="003A3574" w:rsidRDefault="006C629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Galvenās darbības attiecībā uz ceļu drošu izmantošanu</w:t>
      </w:r>
    </w:p>
    <w:p w:rsidR="003A3574" w:rsidRDefault="006C629D">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Komisija</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sāks novērtēt iespējas uzlabot di</w:t>
      </w:r>
      <w:r>
        <w:rPr>
          <w:rFonts w:ascii="Times New Roman" w:hAnsi="Times New Roman"/>
          <w:noProof/>
          <w:sz w:val="24"/>
        </w:rPr>
        <w:t>rektīvas par satiksmes noteikumu pārkāpumu apkarošanu pāri robežām efektivitāti, pamatojoties uz 2016. gadā veiktu novērtējumu [2018. g. 1. cet.];</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sāks pētījumu par to, cik iespējama ir likumdošanas iniciatīva, kas attiecas uz vadītāja tiesību atņemšanas s</w:t>
      </w:r>
      <w:r>
        <w:rPr>
          <w:rFonts w:ascii="Times New Roman" w:hAnsi="Times New Roman"/>
          <w:noProof/>
          <w:sz w:val="24"/>
        </w:rPr>
        <w:t>avstarpēju atzīšanu [2019. g. 4. cet.];</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transponēs Apvienoto Nāciju Organizācijas Eiropas Ekonomikas komisijas (ANO EEK) regulējumu, ar ko nosaka obligātus drošības jostas lietošanas atgādinājumus attiecībā uz visiem sēdekļiem [2018. g. 4. cet.];</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sadarbosies ar dalībvalstīm, lai radītu vajadzīgos apstākļus ignorējamas intelektiskās ātrumregulēšanas sistēmas funkcionēšanai, ieskaitot attiecībā uz digitālām ātruma ierobežojumu zīmēm, un apsvērs ignorējamas intelektiskās ātrumregulēšanas sistēmas iesp</w:t>
      </w:r>
      <w:r>
        <w:rPr>
          <w:rFonts w:ascii="Times New Roman" w:hAnsi="Times New Roman"/>
          <w:noProof/>
          <w:sz w:val="24"/>
        </w:rPr>
        <w:t>ējamību un pieņemamību nākotnē [2019. g. 3. cet.]; kā arī</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sāks novērtēt, kā pastiprināt ES ieteikumu par pieļaujamo alkohola daudzumu asinīs, piemēram, iesakot stingrākus ierobežojumus profesionāliem autovadītājiem un/vai autovadītājiem iesācējiem un snied</w:t>
      </w:r>
      <w:r>
        <w:rPr>
          <w:rFonts w:ascii="Times New Roman" w:hAnsi="Times New Roman"/>
          <w:noProof/>
          <w:sz w:val="24"/>
        </w:rPr>
        <w:t>zot norādes par alkometrisko autobloķētāju izmantošanu [2018. g. 3. cet.].</w:t>
      </w:r>
    </w:p>
    <w:p w:rsidR="003A3574" w:rsidRDefault="003A35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240" w:line="240" w:lineRule="auto"/>
        <w:rPr>
          <w:rFonts w:ascii="Times New Roman" w:hAnsi="Times New Roman"/>
          <w:noProof/>
          <w:sz w:val="24"/>
          <w:szCs w:val="24"/>
        </w:rPr>
      </w:pPr>
      <w:r>
        <w:rPr>
          <w:rFonts w:ascii="Times New Roman" w:hAnsi="Times New Roman"/>
          <w:b/>
          <w:noProof/>
          <w:sz w:val="24"/>
        </w:rPr>
        <w:t>Komisija lūgs brīvprātīgi uzņemties saistības</w:t>
      </w:r>
      <w:r>
        <w:rPr>
          <w:rFonts w:ascii="Times New Roman" w:hAnsi="Times New Roman"/>
          <w:noProof/>
          <w:sz w:val="24"/>
        </w:rPr>
        <w:t xml:space="preserve">, piemēram, </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darba devējus/kravas autopārvadātāju asociācijas (piemēram, attiecībā uz profesionālo autovadītāju pastiprinātu apmācību u</w:t>
      </w:r>
      <w:r>
        <w:rPr>
          <w:rFonts w:ascii="Times New Roman" w:hAnsi="Times New Roman"/>
          <w:noProof/>
          <w:sz w:val="24"/>
        </w:rPr>
        <w:t>n informētības palielināšanu, kas pārsniedz tiesību aktos noteiktās prasības profesionāliem autovadītājiem),</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izglītības nozari (piemēram, iekļaut ceļu satiksmes drošību mācību pamatprogrammā) un satiksmes dalībnieku organizācijas (piemēram, veicināt drošu </w:t>
      </w:r>
      <w:r>
        <w:rPr>
          <w:rFonts w:ascii="Times New Roman" w:hAnsi="Times New Roman"/>
          <w:noProof/>
          <w:sz w:val="24"/>
        </w:rPr>
        <w:t xml:space="preserve">rīcību, ņemot vērā vecuma un dzimuma faktorus), </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publiskā sektora iestādes (piemēram, publiskajā iepirkumā iekļaut prasību uzstādīt alkometriskos autobloķētājus), </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tālsatiksmes autobusa pārvadājumu pakalpojumu sniedzējus (piemēram, veikt informatīvās </w:t>
      </w:r>
      <w:r>
        <w:rPr>
          <w:rFonts w:ascii="Times New Roman" w:hAnsi="Times New Roman"/>
          <w:noProof/>
          <w:sz w:val="24"/>
        </w:rPr>
        <w:t>kampaņas par drošības jostām) un</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taksometru un kopbraukšanas uzņēmumus (piemēram, nodrošināt autoparku ar bērnu sēdekļiem).</w:t>
      </w:r>
    </w:p>
    <w:p w:rsidR="003A3574" w:rsidRDefault="003A35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Komisija nākamajā pētniecības un inovāciju programmā centīsies veicināt un atbalstīt pētījumus par narkotiku reibuma atklāšanas met</w:t>
      </w:r>
      <w:r>
        <w:rPr>
          <w:rFonts w:ascii="Times New Roman" w:hAnsi="Times New Roman"/>
          <w:noProof/>
          <w:sz w:val="24"/>
        </w:rPr>
        <w:t>odēm un testēšanas rīkiem un par to, kā automātiski novērtēt vadīšanas spējas un kā panākt, lai netiktu novērsta uzmanība, arī transportlīdzekļos integrēto elektronisko sistēmu dēļ. Tā izvērtēs, vai noteikt par obligātiem individuālus elektroniskos drošība</w:t>
      </w:r>
      <w:r>
        <w:rPr>
          <w:rFonts w:ascii="Times New Roman" w:hAnsi="Times New Roman"/>
          <w:noProof/>
          <w:sz w:val="24"/>
        </w:rPr>
        <w:t>s jostu lietošanas atgādinājumus tālsatiksmes autobusos un vai kopā ar nozari izstrādāt labas prakses kodeksu, lai nodrošinātu, ka automobiļu informācijas sistēmas un tālruņi tiek izstrādāti tā, lai tos varētu lietot droši. Komisija noteiks, vai ir vajadzī</w:t>
      </w:r>
      <w:r>
        <w:rPr>
          <w:rFonts w:ascii="Times New Roman" w:hAnsi="Times New Roman"/>
          <w:noProof/>
          <w:sz w:val="24"/>
        </w:rPr>
        <w:t>ga turpmāka rīcība, piemēram, attiecībā uz jēdziena “drošs ātrums” definēšanu un ieviešanu, riteņbraucēju ķiverēm un motociklistu aizsargapģērbu un/vai vairāku pakāpju autovadītāja apliecībām autovadītājiem iesācējiem.</w:t>
      </w:r>
    </w:p>
    <w:p w:rsidR="003A3574" w:rsidRDefault="006C629D">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 xml:space="preserve">6.  </w:t>
      </w:r>
      <w:r>
        <w:rPr>
          <w:noProof/>
        </w:rPr>
        <w:tab/>
      </w:r>
      <w:r>
        <w:rPr>
          <w:rFonts w:ascii="Times New Roman" w:hAnsi="Times New Roman"/>
          <w:b/>
          <w:noProof/>
          <w:sz w:val="24"/>
        </w:rPr>
        <w:t>Ātra un efektīva ārkārtas reaģēš</w:t>
      </w:r>
      <w:r>
        <w:rPr>
          <w:rFonts w:ascii="Times New Roman" w:hAnsi="Times New Roman"/>
          <w:b/>
          <w:noProof/>
          <w:sz w:val="24"/>
        </w:rPr>
        <w:t>ana</w:t>
      </w:r>
    </w:p>
    <w:p w:rsidR="003A3574" w:rsidRDefault="006C629D">
      <w:pPr>
        <w:spacing w:line="240" w:lineRule="auto"/>
        <w:jc w:val="both"/>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rPr>
        <w:t xml:space="preserve">Efektīva aprūpe pēc autoavārijas, arī kvalificēta personāla veikta ātra pārvietošana uz pareizo iestādi, samazina traumu sekas. Šajā sakarā būtu cieši jāuzrauga </w:t>
      </w:r>
      <w:r>
        <w:rPr>
          <w:rFonts w:ascii="Times New Roman" w:hAnsi="Times New Roman"/>
          <w:b/>
          <w:i/>
          <w:noProof/>
          <w:sz w:val="24"/>
        </w:rPr>
        <w:t>eCall</w:t>
      </w:r>
      <w:r>
        <w:rPr>
          <w:rFonts w:ascii="Times New Roman" w:hAnsi="Times New Roman"/>
          <w:noProof/>
          <w:sz w:val="24"/>
        </w:rPr>
        <w:t xml:space="preserve"> (automātiska neatliekamās palīdzības izsaukšana autoavārijas gadījumā) izvēršanas ietekme.</w:t>
      </w:r>
    </w:p>
    <w:p w:rsidR="003A3574" w:rsidRDefault="006C629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Galvenās darbības attiecībā uz ārkārtas reaģēšanu</w:t>
      </w:r>
    </w:p>
    <w:p w:rsidR="003A3574" w:rsidRDefault="006C629D">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b/>
          <w:noProof/>
          <w:sz w:val="24"/>
          <w:szCs w:val="24"/>
        </w:rPr>
      </w:pPr>
      <w:r>
        <w:rPr>
          <w:rFonts w:ascii="Times New Roman" w:hAnsi="Times New Roman"/>
          <w:b/>
          <w:noProof/>
          <w:sz w:val="24"/>
        </w:rPr>
        <w:t>Komisija</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 xml:space="preserve">sāks novērtēt </w:t>
      </w:r>
      <w:r>
        <w:rPr>
          <w:rFonts w:ascii="Times New Roman" w:hAnsi="Times New Roman"/>
          <w:i/>
          <w:noProof/>
          <w:sz w:val="24"/>
        </w:rPr>
        <w:t>eCall</w:t>
      </w:r>
      <w:r>
        <w:rPr>
          <w:rFonts w:ascii="Times New Roman" w:hAnsi="Times New Roman"/>
          <w:noProof/>
          <w:sz w:val="24"/>
        </w:rPr>
        <w:t xml:space="preserve"> ietekmi un šīs sistēmas iespējamo attiecināšanu uz citām transportlīdzekļu kategorijām (smagie kravas transportlīdzekļi, autobusi, tālsatiksmes autobusi, motocikli un lauksaimniecības traktori) [2019. g. 3. cet.] un</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veicinās ciešāku kontaktu veidošanu sta</w:t>
      </w:r>
      <w:r>
        <w:rPr>
          <w:rFonts w:ascii="Times New Roman" w:hAnsi="Times New Roman"/>
          <w:noProof/>
          <w:sz w:val="24"/>
        </w:rPr>
        <w:t>rp ceļu satiksmes drošības iestādēm un veselības nozari, lai novērtētu turpmākās praktiskās un pētniecības vajadzības (piemēram, kā nodrošināt kvalificētu speciālistu un atbilstīgo medicīnas iestāžu piemeklēšanu attiecīgām traumām) [2018. g. 3. cet.].</w:t>
      </w:r>
    </w:p>
    <w:p w:rsidR="003A3574" w:rsidRDefault="003A35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noProof/>
          <w:sz w:val="24"/>
          <w:szCs w:val="24"/>
        </w:rPr>
      </w:pPr>
      <w:r>
        <w:rPr>
          <w:rFonts w:ascii="Times New Roman" w:hAnsi="Times New Roman"/>
          <w:b/>
          <w:noProof/>
          <w:sz w:val="24"/>
        </w:rPr>
        <w:t>Kom</w:t>
      </w:r>
      <w:r>
        <w:rPr>
          <w:rFonts w:ascii="Times New Roman" w:hAnsi="Times New Roman"/>
          <w:b/>
          <w:noProof/>
          <w:sz w:val="24"/>
        </w:rPr>
        <w:t>isija lūgs brīvprātīgi uzņemties saistības</w:t>
      </w:r>
      <w:r>
        <w:rPr>
          <w:rFonts w:ascii="Times New Roman" w:hAnsi="Times New Roman"/>
          <w:noProof/>
          <w:sz w:val="24"/>
        </w:rPr>
        <w:t xml:space="preserve">, piemēram, </w:t>
      </w:r>
    </w:p>
    <w:p w:rsidR="003A3574" w:rsidRDefault="006C629D">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komerciālā un sabiedriskā transporta pakalpojumu sniedzējus (piemēram, rīkot pirmās palīdzības mācības autovadītājiem),</w:t>
      </w:r>
    </w:p>
    <w:p w:rsidR="003A3574" w:rsidRDefault="006C629D">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 xml:space="preserve">ražotājus (piemēram, uzstādīt </w:t>
      </w:r>
      <w:r>
        <w:rPr>
          <w:rFonts w:ascii="Times New Roman" w:hAnsi="Times New Roman"/>
          <w:i/>
          <w:noProof/>
          <w:sz w:val="24"/>
        </w:rPr>
        <w:t>eCall</w:t>
      </w:r>
      <w:r>
        <w:rPr>
          <w:rFonts w:ascii="Times New Roman" w:hAnsi="Times New Roman"/>
          <w:noProof/>
          <w:sz w:val="24"/>
        </w:rPr>
        <w:t xml:space="preserve"> jaunos esošo tipu automobiļos vai modernizēt lietošanā esošos automobiļus),</w:t>
      </w:r>
    </w:p>
    <w:p w:rsidR="003A3574" w:rsidRDefault="006C629D">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 xml:space="preserve">apdrošinātājus (piemēram, samazināt apdrošināšanas prēmijas automobiļiem, kuros ir uzstādīts </w:t>
      </w:r>
      <w:r>
        <w:rPr>
          <w:rFonts w:ascii="Times New Roman" w:hAnsi="Times New Roman"/>
          <w:i/>
          <w:noProof/>
          <w:sz w:val="24"/>
        </w:rPr>
        <w:t>eCall</w:t>
      </w:r>
      <w:r>
        <w:rPr>
          <w:rFonts w:ascii="Times New Roman" w:hAnsi="Times New Roman"/>
          <w:noProof/>
          <w:sz w:val="24"/>
        </w:rPr>
        <w:t>).</w:t>
      </w:r>
    </w:p>
    <w:p w:rsidR="003A3574" w:rsidRDefault="006C629D">
      <w:pPr>
        <w:spacing w:before="360" w:after="0" w:line="240" w:lineRule="auto"/>
        <w:jc w:val="both"/>
        <w:outlineLvl w:val="0"/>
        <w:rPr>
          <w:rFonts w:ascii="Times New Roman" w:hAnsi="Times New Roman"/>
          <w:b/>
          <w:noProof/>
          <w:sz w:val="24"/>
          <w:szCs w:val="24"/>
        </w:rPr>
      </w:pPr>
      <w:r>
        <w:rPr>
          <w:rFonts w:ascii="Times New Roman" w:hAnsi="Times New Roman"/>
          <w:b/>
          <w:noProof/>
          <w:sz w:val="24"/>
        </w:rPr>
        <w:t>7.</w:t>
      </w:r>
      <w:r>
        <w:rPr>
          <w:noProof/>
        </w:rPr>
        <w:tab/>
      </w:r>
      <w:r>
        <w:rPr>
          <w:rFonts w:ascii="Times New Roman" w:hAnsi="Times New Roman"/>
          <w:b/>
          <w:noProof/>
          <w:sz w:val="24"/>
        </w:rPr>
        <w:t>Nākotnes prasībām atbilstoša ceļu satiksmes drošība</w:t>
      </w:r>
    </w:p>
    <w:p w:rsidR="003A3574" w:rsidRDefault="006C629D">
      <w:pPr>
        <w:pStyle w:val="DefaultText"/>
        <w:rPr>
          <w:noProof/>
        </w:rPr>
      </w:pPr>
      <w:r>
        <w:rPr>
          <w:b/>
          <w:noProof/>
        </w:rPr>
        <w:t>Savienojamībai un autom</w:t>
      </w:r>
      <w:r>
        <w:rPr>
          <w:b/>
          <w:noProof/>
        </w:rPr>
        <w:t>atizācijai</w:t>
      </w:r>
      <w:r>
        <w:rPr>
          <w:noProof/>
        </w:rPr>
        <w:t xml:space="preserve"> ir milzīgs ceļu satiksmes drošības potenciāls ilgtermiņā, taču ir jānovērš riski, piemēram, saistībā ar </w:t>
      </w:r>
      <w:r>
        <w:rPr>
          <w:b/>
          <w:noProof/>
        </w:rPr>
        <w:t>kiberdrošību</w:t>
      </w:r>
      <w:r>
        <w:rPr>
          <w:noProof/>
        </w:rPr>
        <w:t xml:space="preserve"> un augstā pakāpē automatizētu transportlīdzekļu darbību </w:t>
      </w:r>
      <w:r>
        <w:rPr>
          <w:b/>
          <w:noProof/>
        </w:rPr>
        <w:t>jauktā satiksmē</w:t>
      </w:r>
      <w:r>
        <w:rPr>
          <w:noProof/>
        </w:rPr>
        <w:t>. Tāpēc Komisija mobilitātes paketē ierosina visaptverošu</w:t>
      </w:r>
      <w:r>
        <w:rPr>
          <w:noProof/>
        </w:rPr>
        <w:t xml:space="preserve"> stratēģiju attiecībā uz satīklotu un automatizētu mobilitāti. </w:t>
      </w:r>
    </w:p>
    <w:p w:rsidR="003A3574" w:rsidRDefault="006C629D">
      <w:pPr>
        <w:pStyle w:val="DefaultText"/>
        <w:rPr>
          <w:noProof/>
        </w:rPr>
      </w:pPr>
      <w:r>
        <w:rPr>
          <w:b/>
          <w:noProof/>
        </w:rPr>
        <w:t>Sadarbīgā ekonomika</w:t>
      </w:r>
      <w:r>
        <w:rPr>
          <w:noProof/>
        </w:rPr>
        <w:t xml:space="preserve"> (piemēram, automobiļu vai velosipēdu koplietošanas shēmas) un daži </w:t>
      </w:r>
      <w:r>
        <w:rPr>
          <w:b/>
          <w:noProof/>
        </w:rPr>
        <w:t>vidiskie pasākumi</w:t>
      </w:r>
      <w:r>
        <w:rPr>
          <w:noProof/>
        </w:rPr>
        <w:t xml:space="preserve"> rada savstarpēju ieguvumu iespējas, ja tiek apvienoti ar ceļu satiksmes drošības pasāku</w:t>
      </w:r>
      <w:r>
        <w:rPr>
          <w:noProof/>
        </w:rPr>
        <w:t xml:space="preserve">miem (piemēram, drošāka un pievilcīgāka vide staigāšanai un riteņbraukšanai), taču tiem ir arī riski, piemēram, mazāk aizsargāti satiksmes dalībnieki uz ceļiem. </w:t>
      </w:r>
    </w:p>
    <w:p w:rsidR="003A3574" w:rsidRDefault="006C629D">
      <w:pPr>
        <w:pStyle w:val="DefaultText"/>
        <w:rPr>
          <w:noProof/>
        </w:rPr>
      </w:pPr>
      <w:r>
        <w:rPr>
          <w:noProof/>
        </w:rPr>
        <w:t xml:space="preserve">Nākamajās iniciatīvās būs jāņem vērā </w:t>
      </w:r>
      <w:r>
        <w:rPr>
          <w:b/>
          <w:noProof/>
        </w:rPr>
        <w:t>vieglāk ievainojamu satiksmes dalībnieku</w:t>
      </w:r>
      <w:r>
        <w:rPr>
          <w:noProof/>
        </w:rPr>
        <w:t xml:space="preserve"> un dažādu </w:t>
      </w:r>
      <w:r>
        <w:rPr>
          <w:b/>
          <w:noProof/>
        </w:rPr>
        <w:t>satiks</w:t>
      </w:r>
      <w:r>
        <w:rPr>
          <w:b/>
          <w:noProof/>
        </w:rPr>
        <w:t>mes dalībnieku grupu</w:t>
      </w:r>
      <w:r>
        <w:rPr>
          <w:noProof/>
        </w:rPr>
        <w:t xml:space="preserve"> (vecums, dzimums, invaliditāte) īpašās vajadzības. Turklāt rīcība var būt jāpastiprina arī </w:t>
      </w:r>
      <w:r>
        <w:rPr>
          <w:b/>
          <w:noProof/>
        </w:rPr>
        <w:t>darba drošības jomā</w:t>
      </w:r>
      <w:r>
        <w:rPr>
          <w:noProof/>
        </w:rPr>
        <w:t>.</w:t>
      </w:r>
    </w:p>
    <w:p w:rsidR="003A3574" w:rsidRDefault="006C629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Galvenās darbības attiecībā uz jauniem izaicinājumiem</w:t>
      </w:r>
    </w:p>
    <w:p w:rsidR="003A3574" w:rsidRDefault="006C629D">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Komisija</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pieņems specifikācijas attiecībā uz sadarbīgām intelektiskām</w:t>
      </w:r>
      <w:r>
        <w:rPr>
          <w:rFonts w:ascii="Times New Roman" w:hAnsi="Times New Roman"/>
          <w:noProof/>
          <w:sz w:val="24"/>
        </w:rPr>
        <w:t xml:space="preserve"> transporta sistēmām (deleģēts akts saskaņā ar Intelektisko transporta sistēmu direktīvu), ieskaitot transportlīdzekļa–transportlīdzekļa un transportlīdzekļa–infrastruktūras sakarus</w:t>
      </w:r>
      <w:r>
        <w:rPr>
          <w:rStyle w:val="FootnoteReference"/>
          <w:rFonts w:ascii="Times New Roman" w:hAnsi="Times New Roman"/>
          <w:noProof/>
          <w:sz w:val="24"/>
        </w:rPr>
        <w:footnoteReference w:id="3"/>
      </w:r>
      <w:r>
        <w:rPr>
          <w:rFonts w:ascii="Times New Roman" w:hAnsi="Times New Roman"/>
          <w:noProof/>
          <w:sz w:val="24"/>
        </w:rPr>
        <w:t xml:space="preserve"> [2018. g. 4. cet.]; </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cieši sadarbosies ar ieinteresētajām personām, lai s</w:t>
      </w:r>
      <w:r>
        <w:rPr>
          <w:rFonts w:ascii="Times New Roman" w:hAnsi="Times New Roman"/>
          <w:noProof/>
          <w:sz w:val="24"/>
        </w:rPr>
        <w:t>āktu procesu ceļā uz tāda rīcības kodeksa izstrādi, kas paredzēts drošai pārejai uz augstākiem automatizācijas līmeņiem, lai panāktu, ka prasībās un procedūrās pilnībā ņemti vērā ceļu satiksmes drošības apsvērumi (jaukta satiksme, mijiedarbība ar citiem sa</w:t>
      </w:r>
      <w:r>
        <w:rPr>
          <w:rFonts w:ascii="Times New Roman" w:hAnsi="Times New Roman"/>
          <w:noProof/>
          <w:sz w:val="24"/>
        </w:rPr>
        <w:t>tiksmes dalībniekiem, braukšana kolonnā), īpaši nodrošinot saskaņotību starp valstu satiksmes noteikumiem un izvairoties no pretrunām ar ES noteikumiem par transportlīdzekļiem [2019. g. 3. cet.]; kā arī</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izveidos konkursu vai balvu “Droša pilsēta” [2019. g.</w:t>
      </w:r>
      <w:r>
        <w:rPr>
          <w:rFonts w:ascii="Times New Roman" w:hAnsi="Times New Roman"/>
          <w:noProof/>
          <w:sz w:val="24"/>
        </w:rPr>
        <w:t xml:space="preserve"> 3. cet.].</w:t>
      </w:r>
    </w:p>
    <w:p w:rsidR="003A3574" w:rsidRDefault="003A35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noProof/>
          <w:sz w:val="24"/>
          <w:szCs w:val="24"/>
        </w:rPr>
      </w:pPr>
      <w:r>
        <w:rPr>
          <w:rFonts w:ascii="Times New Roman" w:hAnsi="Times New Roman"/>
          <w:b/>
          <w:noProof/>
          <w:sz w:val="24"/>
        </w:rPr>
        <w:t>Komisija lūgs brīvprātīgi uzņemties saistības</w:t>
      </w:r>
      <w:r>
        <w:rPr>
          <w:rFonts w:ascii="Times New Roman" w:hAnsi="Times New Roman"/>
          <w:noProof/>
          <w:sz w:val="24"/>
        </w:rPr>
        <w:t>, piemēram,</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pārvadātājus, autoparka vadītājus un kravas pārvadātājus (piemēram, pieņemt korporatīvo ceļu satiksmes drošības politiku);</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arodapvienības (piemēram, sniegt norādes MVU, īpaši par vieglo </w:t>
      </w:r>
      <w:r>
        <w:rPr>
          <w:rFonts w:ascii="Times New Roman" w:hAnsi="Times New Roman"/>
          <w:noProof/>
          <w:sz w:val="24"/>
        </w:rPr>
        <w:t>kravas furgonu drošību pilsētas teritorijās); kā arī</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valsts iestādes (piemēram, pārņemt labu praksi cīņā un kampaņās pret nesankcionētām manipulācijām ar transportlīdzekļiem).</w:t>
      </w:r>
    </w:p>
    <w:p w:rsidR="003A3574" w:rsidRDefault="003A35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Visā regulējuma periodā Komisija izvērtēs vajadzību pēc turpmākas ES rīcības, p</w:t>
      </w:r>
      <w:r>
        <w:rPr>
          <w:rFonts w:ascii="Times New Roman" w:hAnsi="Times New Roman"/>
          <w:noProof/>
          <w:sz w:val="24"/>
        </w:rPr>
        <w:t>iemēram, attiecībā uz transportlīdzekļos uzstādīto cilvēka–mašīnas saskarņu saskaņošanas veicināšanu, lai nodrošinātu, ka visi autovadītāji un satiksmes dalībnieki var mijiedarboties ar transportlīdzekļiem, neapdraudot drošību, un attiecībā uz jautājumu pa</w:t>
      </w:r>
      <w:r>
        <w:rPr>
          <w:rFonts w:ascii="Times New Roman" w:hAnsi="Times New Roman"/>
          <w:noProof/>
          <w:sz w:val="24"/>
        </w:rPr>
        <w:t>r piekļuvi transportlīdzekļa datiem. Komisija izvērtēs, vai jāpārskata tiesību akti par autovadītāju apliecībām, tehnisko apskati, profesionālu autovadītāju apmācību un transportlīdzekļa vadīšanas laiku, lai ņemtu vērā norises sadarbīgā, satīklotā un auton</w:t>
      </w:r>
      <w:r>
        <w:rPr>
          <w:rFonts w:ascii="Times New Roman" w:hAnsi="Times New Roman"/>
          <w:noProof/>
          <w:sz w:val="24"/>
        </w:rPr>
        <w:t>omā mobilitātē. Komisija arī pētīs pilsētu ceļu satiksmes drošības aspektus mobilitātes plānošanā, darba drošības jomā, piemērotībā transportlīdzekļa vadīšanai vai riteņbraukšanai un jaunos darījumdarbības modeļos, kas attiecas uz personiskiem transportlīd</w:t>
      </w:r>
      <w:r>
        <w:rPr>
          <w:rFonts w:ascii="Times New Roman" w:hAnsi="Times New Roman"/>
          <w:noProof/>
          <w:sz w:val="24"/>
        </w:rPr>
        <w:t>zekļiem.</w:t>
      </w:r>
    </w:p>
    <w:p w:rsidR="003A3574" w:rsidRDefault="003A35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Komisija rosinās un atbalstīs pētniecību un inovāciju nākamajā pamatprogrammā, lai tās varētu dot ieguldījumu ceļu satiksmes drošības politikā, ieskaitot attiecībā uz jauniem mobilitātes modeļiem un pārmaiņām sabiedrībā, mijiedarbību starp cilvēk</w:t>
      </w:r>
      <w:r>
        <w:rPr>
          <w:rFonts w:ascii="Times New Roman" w:hAnsi="Times New Roman"/>
          <w:noProof/>
          <w:sz w:val="24"/>
        </w:rPr>
        <w:t xml:space="preserve">iem un tehnoloģijām, īpaši cilvēka–mašīnas saskarnēm un drošu pāreju uz automatizāciju, izpildi un drošību. </w:t>
      </w:r>
    </w:p>
    <w:p w:rsidR="003A3574" w:rsidRDefault="003A3574">
      <w:pPr>
        <w:spacing w:line="240" w:lineRule="auto"/>
        <w:rPr>
          <w:rFonts w:ascii="Times New Roman" w:hAnsi="Times New Roman"/>
          <w:b/>
          <w:noProof/>
          <w:sz w:val="24"/>
          <w:szCs w:val="24"/>
          <w:u w:val="single"/>
        </w:rPr>
      </w:pPr>
    </w:p>
    <w:p w:rsidR="003A3574" w:rsidRDefault="006C629D">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 xml:space="preserve">8.  </w:t>
      </w:r>
      <w:r>
        <w:rPr>
          <w:noProof/>
        </w:rPr>
        <w:tab/>
      </w:r>
      <w:r>
        <w:rPr>
          <w:rFonts w:ascii="Times New Roman" w:hAnsi="Times New Roman"/>
          <w:b/>
          <w:noProof/>
          <w:sz w:val="24"/>
        </w:rPr>
        <w:t>ES loma pasaules mērogā: ceļu satiksmes drošības eksports</w:t>
      </w:r>
    </w:p>
    <w:p w:rsidR="003A3574" w:rsidRDefault="006C629D">
      <w:pPr>
        <w:spacing w:line="240" w:lineRule="auto"/>
        <w:jc w:val="both"/>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rPr>
        <w:t xml:space="preserve">Ārpus Eiropas Savienības Komisija ceļu satiksmes drošības jomā pievēršas saviem tiešajiem kaimiņiem, īpaši </w:t>
      </w:r>
      <w:r>
        <w:rPr>
          <w:rFonts w:ascii="Times New Roman" w:hAnsi="Times New Roman"/>
          <w:b/>
          <w:noProof/>
          <w:sz w:val="24"/>
        </w:rPr>
        <w:t>Rietumbalkānu</w:t>
      </w:r>
      <w:r>
        <w:rPr>
          <w:rFonts w:ascii="Times New Roman" w:hAnsi="Times New Roman"/>
          <w:noProof/>
          <w:sz w:val="24"/>
        </w:rPr>
        <w:t xml:space="preserve"> un </w:t>
      </w:r>
      <w:r>
        <w:rPr>
          <w:rFonts w:ascii="Times New Roman" w:hAnsi="Times New Roman"/>
          <w:b/>
          <w:noProof/>
          <w:sz w:val="24"/>
        </w:rPr>
        <w:t>Austrumu partnerības</w:t>
      </w:r>
      <w:r>
        <w:rPr>
          <w:rFonts w:ascii="Times New Roman" w:hAnsi="Times New Roman"/>
          <w:noProof/>
          <w:sz w:val="24"/>
        </w:rPr>
        <w:t xml:space="preserve"> valstīm, kas gatavojas 2018. gada laikā parakstīt ceļu satiksmes drošības deklarācijas, un Turcijai.</w:t>
      </w:r>
    </w:p>
    <w:p w:rsidR="003A3574" w:rsidRDefault="006C629D">
      <w:pPr>
        <w:spacing w:line="240" w:lineRule="auto"/>
        <w:jc w:val="both"/>
        <w:rPr>
          <w:rFonts w:ascii="Times New Roman" w:hAnsi="Times New Roman"/>
          <w:noProof/>
          <w:sz w:val="24"/>
          <w:szCs w:val="24"/>
        </w:rPr>
      </w:pPr>
      <w:r>
        <w:rPr>
          <w:rFonts w:ascii="Times New Roman" w:hAnsi="Times New Roman"/>
          <w:noProof/>
          <w:sz w:val="24"/>
        </w:rPr>
        <w:t>Arī jāizvē</w:t>
      </w:r>
      <w:r>
        <w:rPr>
          <w:rFonts w:ascii="Times New Roman" w:hAnsi="Times New Roman"/>
          <w:noProof/>
          <w:sz w:val="24"/>
        </w:rPr>
        <w:t xml:space="preserve">rtē ES loma ceļu satiksmes drošības jomā, ņemot vērā </w:t>
      </w:r>
      <w:r>
        <w:rPr>
          <w:rFonts w:ascii="Times New Roman" w:hAnsi="Times New Roman"/>
          <w:b/>
          <w:noProof/>
          <w:sz w:val="24"/>
        </w:rPr>
        <w:t>Apvienoto Nāciju Organizāciju</w:t>
      </w:r>
      <w:r>
        <w:rPr>
          <w:rFonts w:ascii="Times New Roman" w:hAnsi="Times New Roman"/>
          <w:noProof/>
          <w:sz w:val="24"/>
        </w:rPr>
        <w:t xml:space="preserve"> un jo īpaši Apvienoto Nāciju Organizācijas Eiropas Ekonomikas komisiju.</w:t>
      </w:r>
    </w:p>
    <w:p w:rsidR="003A3574" w:rsidRDefault="003A3574">
      <w:pPr>
        <w:spacing w:line="240" w:lineRule="auto"/>
        <w:jc w:val="both"/>
        <w:rPr>
          <w:rFonts w:ascii="Times New Roman" w:hAnsi="Times New Roman"/>
          <w:noProof/>
          <w:sz w:val="24"/>
          <w:szCs w:val="24"/>
        </w:rPr>
      </w:pPr>
    </w:p>
    <w:p w:rsidR="003A3574" w:rsidRDefault="006C629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Galvenās darbības ceļu satiksmes drošības uzlabošanai ārpus Eiropas Savienības</w:t>
      </w:r>
    </w:p>
    <w:p w:rsidR="003A3574" w:rsidRDefault="006C629D">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Komisija</w:t>
      </w:r>
    </w:p>
    <w:p w:rsidR="003A3574" w:rsidRDefault="006C629D">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turpinās att</w:t>
      </w:r>
      <w:r>
        <w:rPr>
          <w:rFonts w:ascii="Times New Roman" w:hAnsi="Times New Roman"/>
          <w:noProof/>
          <w:sz w:val="24"/>
        </w:rPr>
        <w:t>īstīt sadarbību ceļu satiksmes drošības jomā ar ES kaimiņiem, īpaši Rietumbalkāniem un Austrumu partnerību, pamatojoties uz ceļu satiksmes drošības deklarācijām, kas tiek pieņemtas 2018. gadā, un jo īpaši apmainoties ar labāko praksi un atbalstot spēju vei</w:t>
      </w:r>
      <w:r>
        <w:rPr>
          <w:rFonts w:ascii="Times New Roman" w:hAnsi="Times New Roman"/>
          <w:noProof/>
          <w:sz w:val="24"/>
        </w:rPr>
        <w:t>došanu [2018. g. 3. cet.].</w:t>
      </w:r>
    </w:p>
    <w:p w:rsidR="003A3574" w:rsidRDefault="003A35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3A3574" w:rsidRPr="006C629D" w:rsidRDefault="006C629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u w:val="single"/>
        </w:rPr>
      </w:pPr>
      <w:r>
        <w:rPr>
          <w:rFonts w:ascii="Times New Roman" w:hAnsi="Times New Roman"/>
          <w:noProof/>
          <w:sz w:val="24"/>
        </w:rPr>
        <w:t xml:space="preserve">Komisija arī izvērtēs, kā varētu stiprināt satiksmes noteikumu koordināciju (ANO Ženēvas un Vīnes konvencija), arī ES līmenī, lai ceļu satiksmes noteikumus varētu saskaņotā veidā pielāgot sadarbīgai, satīklotai un autonomai </w:t>
      </w:r>
      <w:r>
        <w:rPr>
          <w:rFonts w:ascii="Times New Roman" w:hAnsi="Times New Roman"/>
          <w:noProof/>
          <w:sz w:val="24"/>
        </w:rPr>
        <w:t>mobilitātei. Komisija izpētīs sadarbības iespējas ar starptautiskām finansēšanas iniciatīvām, piemēram, ANO Satiksmes drošības trasta fondu.</w:t>
      </w:r>
    </w:p>
    <w:sectPr w:rsidR="003A3574" w:rsidRPr="006C629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74" w:rsidRDefault="006C629D">
      <w:pPr>
        <w:spacing w:after="0" w:line="240" w:lineRule="auto"/>
      </w:pPr>
      <w:r>
        <w:separator/>
      </w:r>
    </w:p>
  </w:endnote>
  <w:endnote w:type="continuationSeparator" w:id="0">
    <w:p w:rsidR="003A3574" w:rsidRDefault="006C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D" w:rsidRPr="006C629D" w:rsidRDefault="006C629D" w:rsidP="006C6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D" w:rsidRPr="006C629D" w:rsidRDefault="006C629D" w:rsidP="006C629D">
    <w:pPr>
      <w:pStyle w:val="FooterCoverPage"/>
      <w:rPr>
        <w:rFonts w:ascii="Arial" w:hAnsi="Arial" w:cs="Arial"/>
        <w:b/>
        <w:sz w:val="48"/>
      </w:rPr>
    </w:pPr>
    <w:r w:rsidRPr="006C629D">
      <w:rPr>
        <w:rFonts w:ascii="Arial" w:hAnsi="Arial" w:cs="Arial"/>
        <w:b/>
        <w:sz w:val="48"/>
      </w:rPr>
      <w:t>LV</w:t>
    </w:r>
    <w:r w:rsidRPr="006C629D">
      <w:rPr>
        <w:rFonts w:ascii="Arial" w:hAnsi="Arial" w:cs="Arial"/>
        <w:b/>
        <w:sz w:val="48"/>
      </w:rPr>
      <w:tab/>
    </w:r>
    <w:r w:rsidRPr="006C629D">
      <w:rPr>
        <w:rFonts w:ascii="Arial" w:hAnsi="Arial" w:cs="Arial"/>
        <w:b/>
        <w:sz w:val="48"/>
      </w:rPr>
      <w:tab/>
    </w:r>
    <w:r w:rsidRPr="006C629D">
      <w:tab/>
    </w:r>
    <w:r w:rsidRPr="006C629D">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D" w:rsidRPr="006C629D" w:rsidRDefault="006C629D" w:rsidP="006C629D">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74" w:rsidRDefault="003A35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60127"/>
      <w:docPartObj>
        <w:docPartGallery w:val="Page Numbers (Bottom of Page)"/>
        <w:docPartUnique/>
      </w:docPartObj>
    </w:sdtPr>
    <w:sdtEndPr>
      <w:rPr>
        <w:noProof/>
      </w:rPr>
    </w:sdtEndPr>
    <w:sdtContent>
      <w:p w:rsidR="003A3574" w:rsidRDefault="006C62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74" w:rsidRDefault="003A3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74" w:rsidRDefault="006C629D">
      <w:pPr>
        <w:spacing w:after="0" w:line="240" w:lineRule="auto"/>
      </w:pPr>
      <w:r>
        <w:separator/>
      </w:r>
    </w:p>
  </w:footnote>
  <w:footnote w:type="continuationSeparator" w:id="0">
    <w:p w:rsidR="003A3574" w:rsidRDefault="006C629D">
      <w:pPr>
        <w:spacing w:after="0" w:line="240" w:lineRule="auto"/>
      </w:pPr>
      <w:r>
        <w:continuationSeparator/>
      </w:r>
    </w:p>
  </w:footnote>
  <w:footnote w:id="1">
    <w:p w:rsidR="003A3574" w:rsidRDefault="006C629D">
      <w:pPr>
        <w:pStyle w:val="FootnoteText"/>
        <w:tabs>
          <w:tab w:val="left" w:pos="284"/>
        </w:tabs>
        <w:ind w:left="284" w:hanging="284"/>
        <w:jc w:val="both"/>
      </w:pPr>
      <w:r>
        <w:rPr>
          <w:rStyle w:val="FootnoteReference"/>
        </w:rPr>
        <w:footnoteRef/>
      </w:r>
      <w:r>
        <w:tab/>
        <w:t xml:space="preserve">Eiropas Ceļu satiksmes drošības harta ir pilsoniskās sabiedrības </w:t>
      </w:r>
      <w:r>
        <w:t>platforma, kas veltīta ceļu satiksmes drošībai un ko izveidojusi Eiropas Komisija, un pašlaik tai ir pievienojušies 3500 dalībnieku.</w:t>
      </w:r>
    </w:p>
  </w:footnote>
  <w:footnote w:id="2">
    <w:p w:rsidR="003A3574" w:rsidRDefault="006C629D">
      <w:pPr>
        <w:pStyle w:val="FootnoteText"/>
        <w:tabs>
          <w:tab w:val="left" w:pos="284"/>
        </w:tabs>
      </w:pPr>
      <w:r>
        <w:rPr>
          <w:rStyle w:val="FootnoteReference"/>
        </w:rPr>
        <w:footnoteRef/>
      </w:r>
      <w:r>
        <w:tab/>
      </w:r>
      <w:hyperlink r:id="rId1">
        <w:r>
          <w:rPr>
            <w:rStyle w:val="Hyperlink"/>
          </w:rPr>
          <w:t>http://www.eib.org/projects/s</w:t>
        </w:r>
        <w:r>
          <w:rPr>
            <w:rStyle w:val="Hyperlink"/>
          </w:rPr>
          <w:t>ectors/transport/cleaner-transport-facility.</w:t>
        </w:r>
      </w:hyperlink>
      <w:r>
        <w:t xml:space="preserve"> </w:t>
      </w:r>
    </w:p>
  </w:footnote>
  <w:footnote w:id="3">
    <w:p w:rsidR="003A3574" w:rsidRDefault="006C629D">
      <w:pPr>
        <w:pStyle w:val="FootnoteText"/>
        <w:tabs>
          <w:tab w:val="left" w:pos="284"/>
        </w:tabs>
        <w:ind w:left="284" w:hanging="284"/>
      </w:pPr>
      <w:r>
        <w:rPr>
          <w:rStyle w:val="FootnoteReference"/>
        </w:rPr>
        <w:footnoteRef/>
      </w:r>
      <w:r>
        <w:tab/>
        <w:t>Sk</w:t>
      </w:r>
      <w:r w:rsidRPr="006C629D">
        <w:t xml:space="preserve">. </w:t>
      </w:r>
      <w:r w:rsidRPr="006C629D">
        <w:t>COM(2018) 28</w:t>
      </w:r>
      <w:r>
        <w:t>3</w:t>
      </w:r>
      <w:r>
        <w:t xml:space="preserve"> – paziņojums “Pretim automatizēto transportlīdzekļu mobilitātei. ES nākamības mobilitātes stratēģija”.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D" w:rsidRPr="006C629D" w:rsidRDefault="006C629D" w:rsidP="006C6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D" w:rsidRPr="006C629D" w:rsidRDefault="006C629D" w:rsidP="006C629D">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D" w:rsidRPr="006C629D" w:rsidRDefault="006C629D" w:rsidP="006C629D">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74" w:rsidRDefault="003A35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74" w:rsidRDefault="003A35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74" w:rsidRDefault="003A3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457"/>
    <w:multiLevelType w:val="hybridMultilevel"/>
    <w:tmpl w:val="41328A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7126540"/>
    <w:multiLevelType w:val="hybridMultilevel"/>
    <w:tmpl w:val="213C7D64"/>
    <w:lvl w:ilvl="0" w:tplc="D5B647DC">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C3CD4"/>
    <w:multiLevelType w:val="hybridMultilevel"/>
    <w:tmpl w:val="C444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39656B"/>
    <w:multiLevelType w:val="hybridMultilevel"/>
    <w:tmpl w:val="FF7E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B8567F"/>
    <w:multiLevelType w:val="hybridMultilevel"/>
    <w:tmpl w:val="8856C138"/>
    <w:lvl w:ilvl="0" w:tplc="D46602A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26713"/>
    <w:multiLevelType w:val="hybridMultilevel"/>
    <w:tmpl w:val="229AD49A"/>
    <w:lvl w:ilvl="0" w:tplc="08090001">
      <w:start w:val="1"/>
      <w:numFmt w:val="bullet"/>
      <w:lvlText w:val=""/>
      <w:lvlJc w:val="left"/>
      <w:pPr>
        <w:ind w:left="720" w:hanging="360"/>
      </w:pPr>
      <w:rPr>
        <w:rFonts w:ascii="Symbol" w:hAnsi="Symbol" w:hint="default"/>
      </w:rPr>
    </w:lvl>
    <w:lvl w:ilvl="1" w:tplc="CF32659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A4BA5"/>
    <w:multiLevelType w:val="hybridMultilevel"/>
    <w:tmpl w:val="769C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C57C9"/>
    <w:multiLevelType w:val="hybridMultilevel"/>
    <w:tmpl w:val="EA6A8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E566AC"/>
    <w:multiLevelType w:val="hybridMultilevel"/>
    <w:tmpl w:val="2AE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02C04"/>
    <w:multiLevelType w:val="hybridMultilevel"/>
    <w:tmpl w:val="7EAC0B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55F2D"/>
    <w:multiLevelType w:val="hybridMultilevel"/>
    <w:tmpl w:val="60AABF30"/>
    <w:lvl w:ilvl="0" w:tplc="08090001">
      <w:start w:val="1"/>
      <w:numFmt w:val="bullet"/>
      <w:lvlText w:val=""/>
      <w:lvlJc w:val="left"/>
      <w:pPr>
        <w:ind w:left="720" w:hanging="360"/>
      </w:pPr>
      <w:rPr>
        <w:rFonts w:ascii="Symbol" w:hAnsi="Symbol" w:hint="default"/>
      </w:rPr>
    </w:lvl>
    <w:lvl w:ilvl="1" w:tplc="16589068">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C56C8"/>
    <w:multiLevelType w:val="hybridMultilevel"/>
    <w:tmpl w:val="1DD03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5D32FD"/>
    <w:multiLevelType w:val="hybridMultilevel"/>
    <w:tmpl w:val="A51C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CD3953"/>
    <w:multiLevelType w:val="hybridMultilevel"/>
    <w:tmpl w:val="AFF8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0049D6"/>
    <w:multiLevelType w:val="hybridMultilevel"/>
    <w:tmpl w:val="B3D2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92DC9"/>
    <w:multiLevelType w:val="hybridMultilevel"/>
    <w:tmpl w:val="F69E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6463DA"/>
    <w:multiLevelType w:val="hybridMultilevel"/>
    <w:tmpl w:val="E9A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EF7687"/>
    <w:multiLevelType w:val="hybridMultilevel"/>
    <w:tmpl w:val="D3724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FC2916"/>
    <w:multiLevelType w:val="hybridMultilevel"/>
    <w:tmpl w:val="E37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712CC7"/>
    <w:multiLevelType w:val="hybridMultilevel"/>
    <w:tmpl w:val="746A9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F601E1"/>
    <w:multiLevelType w:val="hybridMultilevel"/>
    <w:tmpl w:val="89BA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F95BF3"/>
    <w:multiLevelType w:val="hybridMultilevel"/>
    <w:tmpl w:val="A90E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18"/>
  </w:num>
  <w:num w:numId="6">
    <w:abstractNumId w:val="14"/>
  </w:num>
  <w:num w:numId="7">
    <w:abstractNumId w:val="15"/>
  </w:num>
  <w:num w:numId="8">
    <w:abstractNumId w:val="22"/>
  </w:num>
  <w:num w:numId="9">
    <w:abstractNumId w:val="7"/>
  </w:num>
  <w:num w:numId="10">
    <w:abstractNumId w:val="9"/>
  </w:num>
  <w:num w:numId="11">
    <w:abstractNumId w:val="17"/>
  </w:num>
  <w:num w:numId="12">
    <w:abstractNumId w:val="11"/>
  </w:num>
  <w:num w:numId="13">
    <w:abstractNumId w:val="8"/>
  </w:num>
  <w:num w:numId="14">
    <w:abstractNumId w:val="20"/>
  </w:num>
  <w:num w:numId="15">
    <w:abstractNumId w:val="1"/>
  </w:num>
  <w:num w:numId="16">
    <w:abstractNumId w:val="10"/>
  </w:num>
  <w:num w:numId="17">
    <w:abstractNumId w:val="21"/>
  </w:num>
  <w:num w:numId="18">
    <w:abstractNumId w:val="24"/>
  </w:num>
  <w:num w:numId="19">
    <w:abstractNumId w:val="23"/>
  </w:num>
  <w:num w:numId="20">
    <w:abstractNumId w:val="6"/>
  </w:num>
  <w:num w:numId="21">
    <w:abstractNumId w:val="16"/>
  </w:num>
  <w:num w:numId="22">
    <w:abstractNumId w:val="13"/>
  </w:num>
  <w:num w:numId="23">
    <w:abstractNumId w:val="2"/>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1"/>
    <w:docVar w:name="LW_ANNEX_UNIQUE" w:val="0"/>
    <w:docVar w:name="LW_CORRIGENDUM" w:val="&lt;UNUSED&gt;"/>
    <w:docVar w:name="LW_COVERPAGE_EXISTS" w:val="True"/>
    <w:docVar w:name="LW_COVERPAGE_GUID" w:val="FB62BEFB-4E8F-4B24-8DB4-781C97B0EFFF"/>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isel\u275?,"/>
    <w:docVar w:name="LW_EMISSION_SUFFIX" w:val="."/>
    <w:docVar w:name="LW_ID_DOCTYPE_NONLW" w:val="CP-039"/>
    <w:docVar w:name="LW_LANGUE" w:val="LV"/>
    <w:docVar w:name="LW_LEVEL_OF_SENSITIVITY" w:val="Standard treatment"/>
    <w:docVar w:name="LW_NOM.INST" w:val="EIROPAS KOMISIJA"/>
    <w:docVar w:name="LW_NOM.INST_JOINTDOC" w:val="&lt;EMPTY&gt;"/>
    <w:docVar w:name="LW_OBJETACTEPRINCIPAL.CP" w:val="EIROPA KUST\u298?B\u256?_x000b_Ilgtsp\u275?j\u299?ga mobilit\u257?te Eiropai: dro\u353?a, sat\u299?klota un t\u299?ra"/>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IELIKUMS_x000b_"/>
    <w:docVar w:name="LW_TYPEACTEPRINCIPAL.CP" w:val="KOMISIJAS PAZI\u325?OJUMS EIROPAS PARLAMENTAM, PADOMEI, EIROPAS EKONOMIKAS UN SOCI\u256?LO LIETU KOMITEJAI UN RE\u290?IONU KOMITEJAI"/>
  </w:docVars>
  <w:rsids>
    <w:rsidRoot w:val="003A3574"/>
    <w:rsid w:val="003A3574"/>
    <w:rsid w:val="006C629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6C6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62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62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62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lv-LV"/>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rPr>
  </w:style>
  <w:style w:type="character" w:customStyle="1" w:styleId="DefaultTextChar">
    <w:name w:val="Default Text Char"/>
    <w:basedOn w:val="DefaultParagraphFont"/>
    <w:link w:val="DefaultText"/>
    <w:rPr>
      <w:rFonts w:ascii="Times New Roman" w:eastAsia="Times New Roman" w:hAnsi="Times New Roman" w:cs="Times New Roman"/>
      <w:lang w:eastAsia="lv-LV"/>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6C62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C62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62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629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6C6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62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62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62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lv-LV"/>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rPr>
  </w:style>
  <w:style w:type="character" w:customStyle="1" w:styleId="DefaultTextChar">
    <w:name w:val="Default Text Char"/>
    <w:basedOn w:val="DefaultParagraphFont"/>
    <w:link w:val="DefaultText"/>
    <w:rPr>
      <w:rFonts w:ascii="Times New Roman" w:eastAsia="Times New Roman" w:hAnsi="Times New Roman" w:cs="Times New Roman"/>
      <w:lang w:eastAsia="lv-LV"/>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6C62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C62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62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629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680">
      <w:bodyDiv w:val="1"/>
      <w:marLeft w:val="0"/>
      <w:marRight w:val="0"/>
      <w:marTop w:val="0"/>
      <w:marBottom w:val="0"/>
      <w:divBdr>
        <w:top w:val="none" w:sz="0" w:space="0" w:color="auto"/>
        <w:left w:val="none" w:sz="0" w:space="0" w:color="auto"/>
        <w:bottom w:val="none" w:sz="0" w:space="0" w:color="auto"/>
        <w:right w:val="none" w:sz="0" w:space="0" w:color="auto"/>
      </w:divBdr>
    </w:div>
    <w:div w:id="18778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projects/sectors/transport/cleaner-transport-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DA40-4402-4E73-BC51-1F86802B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2183</Words>
  <Characters>16050</Characters>
  <Application>Microsoft Office Word</Application>
  <DocSecurity>0</DocSecurity>
  <Lines>274</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2018-04-30T18:22:00Z</dcterms:created>
  <dcterms:modified xsi:type="dcterms:W3CDTF">2018-06-15T15:08:00Z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ies>
</file>