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D8D19C8-FBC9-4650-BFA2-97C0E024E38F" style="width:450.75pt;height:369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spacing w:before="0"/>
        <w:rPr>
          <w:noProof/>
        </w:rPr>
      </w:pPr>
      <w:bookmarkStart w:id="0" w:name="_GoBack"/>
      <w:bookmarkEnd w:id="0"/>
      <w:r>
        <w:rPr>
          <w:noProof/>
        </w:rPr>
        <w:lastRenderedPageBreak/>
        <w:t>IARSCRÍBHINN I</w:t>
      </w:r>
    </w:p>
    <w:p>
      <w:pPr>
        <w:spacing w:before="0"/>
        <w:jc w:val="center"/>
        <w:rPr>
          <w:b/>
          <w:noProof/>
          <w:szCs w:val="24"/>
        </w:rPr>
      </w:pPr>
      <w:r>
        <w:rPr>
          <w:b/>
          <w:noProof/>
        </w:rPr>
        <w:t>Gníomhaíochtaí an chláir</w:t>
      </w:r>
    </w:p>
    <w:p>
      <w:pPr>
        <w:spacing w:before="0"/>
        <w:rPr>
          <w:i/>
          <w:noProof/>
        </w:rPr>
      </w:pPr>
      <w:r>
        <w:rPr>
          <w:noProof/>
        </w:rPr>
        <w:t>Déanfar cuspóirí sonracha an Chláir dá dtagraítear in Airteagal 3 (2) a shaothrú go háirithe trí thacaíocht a thabhairt do na gníomhaíochtaí a leanas:</w:t>
      </w:r>
    </w:p>
    <w:p>
      <w:pPr>
        <w:pStyle w:val="NumPar1"/>
        <w:numPr>
          <w:ilvl w:val="0"/>
          <w:numId w:val="9"/>
        </w:numPr>
        <w:spacing w:before="0"/>
        <w:rPr>
          <w:noProof/>
        </w:rPr>
      </w:pPr>
      <w:r>
        <w:rPr>
          <w:noProof/>
        </w:rPr>
        <w:t>múscailt feasachta, faisnéis a scaipeadh chun eolas a fheabhsú ar bheartais an Aontais agus ar dhlí an Aontais lena n</w:t>
      </w:r>
      <w:r>
        <w:rPr>
          <w:noProof/>
        </w:rPr>
        <w:noBreakHyphen/>
        <w:t>áirítear dlí substainteach agus dlí nós imeachta, ionstraimí comhair bhreithiúnaigh, cásdlí ábhartha Chúirt Bhreithiúnais an Aontais Eorpaigh, agus dlí comparáideach agus caighdeáin Eorpacha agus idirnáisiúnta;</w:t>
      </w:r>
    </w:p>
    <w:p>
      <w:pPr>
        <w:pStyle w:val="NumPar1"/>
        <w:numPr>
          <w:ilvl w:val="0"/>
          <w:numId w:val="9"/>
        </w:numPr>
        <w:spacing w:before="0"/>
        <w:rPr>
          <w:noProof/>
        </w:rPr>
      </w:pPr>
      <w:r>
        <w:rPr>
          <w:noProof/>
        </w:rPr>
        <w:t>foghlaim fhrithpháirteach trí dhea-chleachtais a mhalartú i measc na bpáirtithe leasmhara chun feabhas a chur ar an eolas agus ar an tuiscint fhrithpháirteach ar an dlí sibhialta agus ar an dlí choiriúil agus ar chórais dhlíthiúla agus bhreithiúnacha na mBallstát, lena n</w:t>
      </w:r>
      <w:r>
        <w:rPr>
          <w:noProof/>
        </w:rPr>
        <w:noBreakHyphen/>
        <w:t>áirítear an smacht reachta, agus feabhas a chur ar mhuinín fhrithpháirteach;</w:t>
      </w:r>
    </w:p>
    <w:p>
      <w:pPr>
        <w:pStyle w:val="NumPar1"/>
        <w:numPr>
          <w:ilvl w:val="0"/>
          <w:numId w:val="9"/>
        </w:numPr>
        <w:spacing w:before="0"/>
        <w:rPr>
          <w:noProof/>
        </w:rPr>
      </w:pPr>
      <w:r>
        <w:rPr>
          <w:noProof/>
        </w:rPr>
        <w:t>gníomhaíochtaí anailíse agus faireacháin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chun feabhas a chur ar an eolas agus ar an tuiscint ar na constaicí a d'fhéadfadh a bheith ar dhea-fheidhmiú an limistéir Eorpaigh cheartais agus chun cur chun feidhme dhlí an Aontais agus beartais sna Ballstáit a fheabhsú;</w:t>
      </w:r>
    </w:p>
    <w:p>
      <w:pPr>
        <w:pStyle w:val="NumPar1"/>
        <w:numPr>
          <w:ilvl w:val="0"/>
          <w:numId w:val="9"/>
        </w:numPr>
        <w:spacing w:before="0"/>
        <w:rPr>
          <w:noProof/>
        </w:rPr>
      </w:pPr>
      <w:r>
        <w:rPr>
          <w:noProof/>
        </w:rPr>
        <w:t>páirtithe leasmhara ábhartha a chur faoi oiliúint chun eolas ar bheartais an Aontais agus ar dhlí an Aontais a fheabhsú, lena n</w:t>
      </w:r>
      <w:r>
        <w:rPr>
          <w:noProof/>
        </w:rPr>
        <w:noBreakHyphen/>
        <w:t xml:space="preserve">áirítear </w:t>
      </w:r>
      <w:r>
        <w:rPr>
          <w:i/>
          <w:noProof/>
        </w:rPr>
        <w:t xml:space="preserve">inter alia </w:t>
      </w:r>
      <w:r>
        <w:rPr>
          <w:noProof/>
        </w:rPr>
        <w:t>an dlí substainteach agus an dlí nós imeachta, úsáid ionstraimí comhair bhreithiúnaigh an Aontais, cás-dlí ábhartha Chúirt Bhreithiúnais an Aontais Eorpaigh, an dlítheangeolaíocht agus an dlí comparáideach.</w:t>
      </w:r>
    </w:p>
    <w:p>
      <w:pPr>
        <w:pStyle w:val="NumPar1"/>
        <w:numPr>
          <w:ilvl w:val="0"/>
          <w:numId w:val="9"/>
        </w:numPr>
        <w:spacing w:before="0"/>
        <w:rPr>
          <w:noProof/>
        </w:rPr>
      </w:pPr>
      <w:r>
        <w:rPr>
          <w:noProof/>
        </w:rPr>
        <w:t>forbairt agus cothabháil a dhéanamh ar uirlisí Theicneolaíocht Faisnéise agus Cumarsáide (TFC) chun feabhas a chur ar éifeachtúlacht córas breithiúnach agus ar an gcomhar eatarthu trí bhíthin theicneolaíocht faisnéise agus cumarsáide, lena n</w:t>
      </w:r>
      <w:r>
        <w:rPr>
          <w:noProof/>
        </w:rPr>
        <w:noBreakHyphen/>
        <w:t>áirítear trí idir-inoibritheacht thrasteorann córas agus feidhmeanna.</w:t>
      </w:r>
    </w:p>
    <w:p>
      <w:pPr>
        <w:pStyle w:val="NumPar1"/>
        <w:numPr>
          <w:ilvl w:val="0"/>
          <w:numId w:val="9"/>
        </w:numPr>
        <w:spacing w:before="0"/>
        <w:rPr>
          <w:noProof/>
        </w:rPr>
      </w:pPr>
      <w:r>
        <w:rPr>
          <w:noProof/>
        </w:rPr>
        <w:t>forbairt acmhainní a dhéanamh ar líonraí tábhachtacha ar an leibhéal Eorpach agus ar líonraí breithiúnacha Eorpacha, lena n</w:t>
      </w:r>
      <w:r>
        <w:rPr>
          <w:noProof/>
        </w:rPr>
        <w:noBreakHyphen/>
        <w:t>áirítear líonraí arna mbunú le dlí an Aontais chun cur i bhfeidhm agus forfheidhmiú éifeachtach dhlí an Aontais a áirithiú, chun dlí an Aontais, spriocanna beartais agus straitéisí i réimsí an chláir a chur chun cinn agus a fhorbairt tuilleadh agus chun tacú le heagraíochtaí na sochaí sibhialta atá gníomhach sna réimsí a chumhdaítear leis an gClár.</w:t>
      </w:r>
    </w:p>
    <w:p>
      <w:pPr>
        <w:pStyle w:val="NumPar1"/>
        <w:numPr>
          <w:ilvl w:val="0"/>
          <w:numId w:val="9"/>
        </w:numPr>
        <w:spacing w:before="0"/>
        <w:rPr>
          <w:noProof/>
        </w:rPr>
      </w:pPr>
      <w:r>
        <w:rPr>
          <w:noProof/>
        </w:rPr>
        <w:t>eolas ar an gclár, scaipeadh agus inaistritheacht a thorthaí a fheabhsú agus for-rochtain saoránach a chothú, lena n</w:t>
      </w:r>
      <w:r>
        <w:rPr>
          <w:noProof/>
        </w:rPr>
        <w:noBreakHyphen/>
        <w:t>áirítear deasca cláir/líonra teagmhála náisiúnta a bhunú agus tacú leo.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spacing w:before="0"/>
        <w:rPr>
          <w:noProof/>
        </w:rPr>
      </w:pPr>
      <w:r>
        <w:rPr>
          <w:noProof/>
        </w:rPr>
        <w:lastRenderedPageBreak/>
        <w:t>IARSCRÍBHINN II</w:t>
      </w:r>
    </w:p>
    <w:p>
      <w:pPr>
        <w:spacing w:before="0"/>
        <w:jc w:val="center"/>
        <w:rPr>
          <w:b/>
          <w:noProof/>
        </w:rPr>
      </w:pPr>
      <w:r>
        <w:rPr>
          <w:b/>
          <w:noProof/>
        </w:rPr>
        <w:t>Táscairí</w:t>
      </w:r>
    </w:p>
    <w:p>
      <w:pPr>
        <w:rPr>
          <w:noProof/>
        </w:rPr>
      </w:pPr>
      <w:r>
        <w:rPr>
          <w:noProof/>
        </w:rPr>
        <w:t>Déanfar faireachán ar an gClár ar bhonn sraith táscairí atá beartaithe tomhas a dhéanamh ar a mhéid atá cuspóirí ginearálta agus sonracha an Chláir bainte amach agus d'fhonn na hualaí agus na costais riaracháin a íoslaghdú. Chuige sin, baileofar sonraí maidir leis an tsraith a leanas de tháscairí ríthábhachtacha.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umPar1"/>
              <w:numPr>
                <w:ilvl w:val="0"/>
                <w:numId w:val="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Líon comhaltaí na mbreithiúna agus na foirne breithiúnaí a ghlac páirt i ngníomhaíochtaí oiliúna (lena n</w:t>
            </w:r>
            <w:r>
              <w:rPr>
                <w:noProof/>
                <w:sz w:val="18"/>
              </w:rPr>
              <w:noBreakHyphen/>
              <w:t>áirítear malartuithe foirne, cuairteanna staidéir, ceardlanna agus seimineáir) arna gcistiú ag an gClár, lena n</w:t>
            </w:r>
            <w:r>
              <w:rPr>
                <w:noProof/>
                <w:sz w:val="18"/>
              </w:rPr>
              <w:noBreakHyphen/>
              <w:t>áirítear deontas oibriúcháin an GEOB</w:t>
            </w:r>
          </w:p>
        </w:tc>
      </w:tr>
      <w:t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umPar1"/>
              <w:numPr>
                <w:ilvl w:val="0"/>
                <w:numId w:val="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Líon na malartuithe faisnéise sa Chóras Faisnéise Eorpach um Thaifid Choiriúla (ECRIS) </w:t>
            </w:r>
          </w:p>
        </w:tc>
      </w:tr>
      <w:t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umPar1"/>
              <w:numPr>
                <w:ilvl w:val="0"/>
                <w:numId w:val="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Líon na n</w:t>
            </w:r>
            <w:r>
              <w:rPr>
                <w:noProof/>
                <w:sz w:val="18"/>
              </w:rPr>
              <w:noBreakHyphen/>
              <w:t>amas ar thairseach an ríomhcheartais / ar na leathanaigh a thugann aghaidh ar an ngá atá le faisnéis maidir le cásanna sibhialta trasteorann</w:t>
            </w:r>
          </w:p>
        </w:tc>
      </w:tr>
      <w:tr>
        <w:tc>
          <w:tcPr>
            <w:tcW w:w="9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umPar1"/>
              <w:numPr>
                <w:ilvl w:val="0"/>
                <w:numId w:val="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Líon na ndaoine a thairbhigh ó na gníomhaíochtaí a leanas:</w:t>
            </w:r>
          </w:p>
          <w:p>
            <w:pPr>
              <w:pStyle w:val="NumPar1"/>
              <w:numPr>
                <w:ilvl w:val="0"/>
                <w:numId w:val="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(i) foghlaim fhrithpháirteach agus malartú gníomhaíochtaí dea-chleachtas;</w:t>
            </w:r>
          </w:p>
          <w:p>
            <w:pPr>
              <w:pStyle w:val="NumPar1"/>
              <w:numPr>
                <w:ilvl w:val="0"/>
                <w:numId w:val="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(ii) gníomhaíochtaí ar mhaithe le múscailt feasachta, le faisnéis agus le scaipeadh na faisnéise </w:t>
            </w:r>
          </w:p>
        </w:tc>
      </w:tr>
    </w:tbl>
    <w:p>
      <w:pPr>
        <w:ind w:left="709" w:hanging="709"/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  <w:t>Áirítear ar na gníomhaíochtaí sin, mar shampla, bailiú sonraí agus staidrimh; forbairt modheolaíochtaí coiteanna agus, i gcás inarb iomchuí, táscairí nó tagarmharcanna; staidéir, taighde, anailísí agus suirbhéanna; meastóireachtaí; measúnú tionchair; forbairt agus foilsiú treoracha, tuarascálacha agus ábhair oideachais.</w:t>
      </w:r>
    </w:p>
    <w:p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54A89D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9980A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4A82B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F780A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B74A1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18459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F044D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7AC6B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3 12:35:2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ghabhann leis an Togra le haghaidh"/>
    <w:docVar w:name="LW_ACCOMPAGNANT.CP" w:val="a ghabhann leis an Togra le haghaidh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1D8D19C8-FBC9-4650-BFA2-97C0E024E38F"/>
    <w:docVar w:name="LW_COVERPAGE_TYPE" w:val="1"/>
    <w:docVar w:name="LW_CROSSREFERENCE" w:val="&lt;UNUSED&gt;"/>
    <w:docVar w:name="LW_DocType" w:val="ANNEX"/>
    <w:docVar w:name="LW_EMISSION" w:val="30.5.2018"/>
    <w:docVar w:name="LW_EMISSION_ISODATE" w:val="2018-05-30"/>
    <w:docVar w:name="LW_EMISSION_LOCATION" w:val="BRX"/>
    <w:docVar w:name="LW_EMISSION_PREFIX" w:val="An Bhruiséil,"/>
    <w:docVar w:name="LW_EMISSION_SUFFIX" w:val="&lt;EMPTY&gt;"/>
    <w:docVar w:name="LW_ID_DOCSTRUCTURE" w:val="COM/ANNEX"/>
    <w:docVar w:name="LW_ID_DOCTYPE" w:val="SG-017"/>
    <w:docVar w:name="LW_LANGUE" w:val="GA"/>
    <w:docVar w:name="LW_LEVEL_OF_SENSITIVITY" w:val="Standard treatment"/>
    <w:docVar w:name="LW_NOM.INST" w:val="AN COIMISIÚN EORPACH"/>
    <w:docVar w:name="LW_NOM.INST_JOINTDOC" w:val="&lt;EMPTY&gt;"/>
    <w:docVar w:name="LW_OBJETACTEPRINCIPAL" w:val="lena mbunaítear an Clár um Cheartas "/>
    <w:docVar w:name="LW_OBJETACTEPRINCIPAL.CP" w:val="lena mbunaítear an Clár um Cheartas 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IARSCRÍBHINNÍ"/>
    <w:docVar w:name="LW_TYPE.DOC.CP" w:val="IARSCRÍBHINNÍ"/>
    <w:docVar w:name="LW_TYPEACTEPRINCIPAL" w:val="RIALACHÁN Ó PHARLAIMINT NA hEORPA AGUS ÓN gCOMHAIRLE"/>
    <w:docVar w:name="LW_TYPEACTEPRINCIPAL.CP" w:val="RIALACHÁN Ó PHARLAIMINT NA hEORPA AGUS ÓN gCOMHAIRL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before="0" w:after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ga-IE" w:eastAsia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before="0" w:after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ga-IE" w:eastAsia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17C5-32C7-4CF4-B2CF-22EE75F3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518</Words>
  <Characters>3021</Characters>
  <Application>Microsoft Office Word</Application>
  <DocSecurity>0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SMITHAM Emma (JUST)</dc:creator>
  <cp:lastModifiedBy>DIGIT/A3</cp:lastModifiedBy>
  <cp:revision>9</cp:revision>
  <cp:lastPrinted>2018-05-14T14:22:00Z</cp:lastPrinted>
  <dcterms:created xsi:type="dcterms:W3CDTF">2018-06-11T14:18:00Z</dcterms:created>
  <dcterms:modified xsi:type="dcterms:W3CDTF">2018-06-13T10:35:00Z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