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FED97F13-B230-4B6B-A0E1-E85BA826B4B0" style="width:450pt;height:397.5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 I</w:t>
      </w:r>
      <w:r>
        <w:rPr>
          <w:noProof/>
        </w:rPr>
        <w:br/>
        <w:t xml:space="preserve">WYKAZ PAŃSTW I TERYTORIÓW NALEŻĄCYCH DO OBSZARU OBJĘTEGO POLITYKĄ SĄSIEDZTWA </w:t>
      </w:r>
    </w:p>
    <w:p>
      <w:pPr>
        <w:spacing w:before="0" w:after="0"/>
        <w:rPr>
          <w:noProof/>
        </w:rPr>
      </w:pPr>
    </w:p>
    <w:p>
      <w:pPr>
        <w:spacing w:before="0" w:after="0"/>
        <w:rPr>
          <w:noProof/>
        </w:rPr>
      </w:pPr>
      <w:r>
        <w:rPr>
          <w:noProof/>
        </w:rPr>
        <w:t>Algieria</w:t>
      </w:r>
    </w:p>
    <w:p>
      <w:pPr>
        <w:spacing w:before="0" w:after="0"/>
        <w:rPr>
          <w:noProof/>
        </w:rPr>
      </w:pPr>
      <w:r>
        <w:rPr>
          <w:noProof/>
        </w:rPr>
        <w:t>Armenia</w:t>
      </w:r>
    </w:p>
    <w:p>
      <w:pPr>
        <w:spacing w:before="0" w:after="0"/>
        <w:rPr>
          <w:noProof/>
        </w:rPr>
      </w:pPr>
      <w:r>
        <w:rPr>
          <w:noProof/>
        </w:rPr>
        <w:t>Azerbejdżan</w:t>
      </w:r>
    </w:p>
    <w:p>
      <w:pPr>
        <w:spacing w:before="0" w:after="0"/>
        <w:rPr>
          <w:noProof/>
        </w:rPr>
      </w:pPr>
      <w:r>
        <w:rPr>
          <w:noProof/>
        </w:rPr>
        <w:t>Białoruś</w:t>
      </w:r>
    </w:p>
    <w:p>
      <w:pPr>
        <w:spacing w:before="0" w:after="0"/>
        <w:rPr>
          <w:noProof/>
        </w:rPr>
      </w:pPr>
      <w:r>
        <w:rPr>
          <w:noProof/>
        </w:rPr>
        <w:t>Egipt</w:t>
      </w:r>
    </w:p>
    <w:p>
      <w:pPr>
        <w:spacing w:before="0" w:after="0"/>
        <w:rPr>
          <w:noProof/>
        </w:rPr>
      </w:pPr>
      <w:r>
        <w:rPr>
          <w:noProof/>
        </w:rPr>
        <w:t>Gruzja</w:t>
      </w:r>
    </w:p>
    <w:p>
      <w:pPr>
        <w:spacing w:before="0" w:after="0"/>
        <w:rPr>
          <w:noProof/>
        </w:rPr>
      </w:pPr>
      <w:r>
        <w:rPr>
          <w:noProof/>
        </w:rPr>
        <w:t>Izrael</w:t>
      </w:r>
    </w:p>
    <w:p>
      <w:pPr>
        <w:spacing w:before="0" w:after="0"/>
        <w:rPr>
          <w:noProof/>
        </w:rPr>
      </w:pPr>
      <w:r>
        <w:rPr>
          <w:noProof/>
        </w:rPr>
        <w:t>Jordania</w:t>
      </w:r>
    </w:p>
    <w:p>
      <w:pPr>
        <w:spacing w:before="0" w:after="0"/>
        <w:rPr>
          <w:noProof/>
        </w:rPr>
      </w:pPr>
      <w:r>
        <w:rPr>
          <w:noProof/>
        </w:rPr>
        <w:t>Liban</w:t>
      </w:r>
    </w:p>
    <w:p>
      <w:pPr>
        <w:spacing w:before="0" w:after="0"/>
        <w:rPr>
          <w:noProof/>
        </w:rPr>
      </w:pPr>
      <w:r>
        <w:rPr>
          <w:noProof/>
        </w:rPr>
        <w:t>Libia</w:t>
      </w:r>
    </w:p>
    <w:p>
      <w:pPr>
        <w:spacing w:before="0" w:after="0"/>
        <w:rPr>
          <w:noProof/>
        </w:rPr>
      </w:pPr>
      <w:r>
        <w:rPr>
          <w:noProof/>
        </w:rPr>
        <w:t>Republika Mołdawii</w:t>
      </w:r>
    </w:p>
    <w:p>
      <w:pPr>
        <w:spacing w:before="0" w:after="0"/>
        <w:rPr>
          <w:noProof/>
        </w:rPr>
      </w:pPr>
      <w:r>
        <w:rPr>
          <w:noProof/>
        </w:rPr>
        <w:t>Maroko</w:t>
      </w:r>
    </w:p>
    <w:p>
      <w:pPr>
        <w:spacing w:before="0" w:after="0"/>
        <w:rPr>
          <w:noProof/>
        </w:rPr>
      </w:pPr>
      <w:r>
        <w:rPr>
          <w:noProof/>
        </w:rPr>
        <w:t>okupowane terytoria palestyńskie</w:t>
      </w:r>
    </w:p>
    <w:p>
      <w:pPr>
        <w:spacing w:before="0" w:after="0"/>
        <w:rPr>
          <w:noProof/>
        </w:rPr>
      </w:pPr>
      <w:r>
        <w:rPr>
          <w:noProof/>
        </w:rPr>
        <w:t>Syria</w:t>
      </w:r>
    </w:p>
    <w:p>
      <w:pPr>
        <w:spacing w:before="0" w:after="0"/>
        <w:rPr>
          <w:noProof/>
        </w:rPr>
      </w:pPr>
      <w:r>
        <w:rPr>
          <w:noProof/>
        </w:rPr>
        <w:t>Tunezja</w:t>
      </w:r>
    </w:p>
    <w:p>
      <w:pPr>
        <w:spacing w:before="0" w:after="0"/>
        <w:rPr>
          <w:noProof/>
        </w:rPr>
      </w:pPr>
      <w:r>
        <w:rPr>
          <w:noProof/>
        </w:rPr>
        <w:t>Ukraina</w:t>
      </w:r>
    </w:p>
    <w:p>
      <w:pPr>
        <w:spacing w:before="0" w:after="0"/>
        <w:rPr>
          <w:noProof/>
          <w:szCs w:val="24"/>
        </w:rPr>
      </w:pPr>
    </w:p>
    <w:p>
      <w:pPr>
        <w:spacing w:before="0" w:after="0"/>
        <w:rPr>
          <w:noProof/>
        </w:rPr>
      </w:pPr>
      <w:r>
        <w:rPr>
          <w:noProof/>
        </w:rPr>
        <w:t>Unijne wsparcie udzielane w tym obszarze można również wykorzystać w celu umożliwienia Federacji Rosyjskiej uczestnictwa w programach współpracy transgranicznej, a także w innych stosownych programach wielokrajowych.</w:t>
      </w:r>
    </w:p>
    <w:p>
      <w:pPr>
        <w:rPr>
          <w:noProof/>
        </w:rPr>
      </w:pPr>
    </w:p>
    <w:p>
      <w:pPr>
        <w:rPr>
          <w:noProof/>
        </w:rPr>
        <w:sectPr>
          <w:footerReference w:type="default" r:id="rId19"/>
          <w:footerReference w:type="first" r:id="rId20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rFonts w:eastAsia="Calibri"/>
          <w:noProof/>
          <w:szCs w:val="24"/>
        </w:rPr>
      </w:pPr>
      <w:r>
        <w:rPr>
          <w:noProof/>
        </w:rPr>
        <w:t xml:space="preserve">ZAŁĄCZNIK II </w:t>
      </w:r>
      <w:r>
        <w:rPr>
          <w:noProof/>
        </w:rPr>
        <w:br/>
        <w:t>OBSZARY WSPÓŁPRACY W RAMACH PROGRAMÓW O OKREŚLONYM ZASIĘGU GEOGRAFICZNYM</w:t>
      </w:r>
    </w:p>
    <w:p>
      <w:pPr>
        <w:autoSpaceDE w:val="0"/>
        <w:autoSpaceDN w:val="0"/>
        <w:adjustRightInd w:val="0"/>
        <w:spacing w:before="0" w:after="0"/>
        <w:rPr>
          <w:rFonts w:eastAsia="Calibri"/>
          <w:i/>
          <w:noProof/>
          <w:szCs w:val="24"/>
        </w:rPr>
      </w:pPr>
    </w:p>
    <w:p>
      <w:pPr>
        <w:pStyle w:val="ManualHeading3"/>
        <w:rPr>
          <w:b/>
          <w:noProof/>
        </w:rPr>
      </w:pPr>
      <w:r>
        <w:rPr>
          <w:b/>
          <w:noProof/>
        </w:rPr>
        <w:t xml:space="preserve">A. </w:t>
      </w:r>
      <w:r>
        <w:rPr>
          <w:noProof/>
        </w:rPr>
        <w:tab/>
      </w:r>
      <w:r>
        <w:rPr>
          <w:b/>
          <w:noProof/>
        </w:rPr>
        <w:t>Dla wszystkich regionów geograficznych</w:t>
      </w:r>
    </w:p>
    <w:p>
      <w:pPr>
        <w:autoSpaceDE w:val="0"/>
        <w:autoSpaceDN w:val="0"/>
        <w:adjustRightInd w:val="0"/>
        <w:spacing w:before="0" w:after="0"/>
        <w:ind w:left="426" w:hanging="426"/>
        <w:rPr>
          <w:rFonts w:eastAsia="Calibri"/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ind w:left="426" w:hanging="426"/>
        <w:rPr>
          <w:rFonts w:eastAsia="Calibri"/>
          <w:noProof/>
          <w:szCs w:val="24"/>
          <w:u w:val="single"/>
        </w:rPr>
      </w:pPr>
      <w:r>
        <w:rPr>
          <w:noProof/>
          <w:u w:val="single"/>
        </w:rPr>
        <w:t>LUDNOŚĆ</w:t>
      </w: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1. </w:t>
      </w:r>
      <w:r>
        <w:rPr>
          <w:noProof/>
        </w:rPr>
        <w:tab/>
      </w:r>
      <w:r>
        <w:rPr>
          <w:b/>
          <w:noProof/>
        </w:rPr>
        <w:t>Dobre rządy, demokracja, praworządność i prawa człowieka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wzmocnienie demokracji i procesów demokratycznych, sprawowania rządów i nadzoru, w tym przejrzystych i wiarygodnych procesów wyborczych;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wzmocnienie ochrony praw człowieka i podstawowych wolności;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promowanie zwalczania wszelkich form dyskryminacji oraz promowanie zasady równości, zwłaszcza równości kobiet i mężczyzn oraz praw osób należących do mniejszości;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wspieranie dobrze prosperującego społeczeństwa obywatelskiego i jego roli w procesie reform i przemian demokratycznych oraz p</w:t>
      </w:r>
      <w:r>
        <w:rPr>
          <w:noProof/>
          <w:color w:val="000000"/>
        </w:rPr>
        <w:t>romowanie prorozwojowej przestrzeni dla społeczeństwa obywatelskiego i zaangażowania obywateli w podejmowanie decyzji politycznych;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zwiększenie pluralizmu, niezależności i profesjonalizmu wolnych i niezależnych mediów;</w:t>
      </w:r>
    </w:p>
    <w:p>
      <w:pPr>
        <w:pStyle w:val="Point0"/>
        <w:rPr>
          <w:rFonts w:eastAsia="Calibri"/>
          <w:noProof/>
        </w:rPr>
      </w:pPr>
      <w:r>
        <w:rPr>
          <w:noProof/>
        </w:rPr>
        <w:t>f)</w:t>
      </w:r>
      <w:r>
        <w:rPr>
          <w:noProof/>
        </w:rPr>
        <w:tab/>
        <w:t>wzmocnienie odporności państw, społeczeństw, społeczności i osób fizycznych na naciski i wstrząsy polityczne, gospodarcze, środowiskowe, żywnościowe, demograficzne i społeczne;</w:t>
      </w:r>
    </w:p>
    <w:p>
      <w:pPr>
        <w:pStyle w:val="Point0"/>
        <w:rPr>
          <w:noProof/>
        </w:rPr>
      </w:pPr>
      <w:r>
        <w:rPr>
          <w:noProof/>
        </w:rPr>
        <w:t>g)</w:t>
      </w:r>
      <w:r>
        <w:rPr>
          <w:noProof/>
        </w:rPr>
        <w:tab/>
        <w:t>wzmocnienie rozwoju demokratycznych instytucji publicznych na szczeblu krajowym i szczeblach niższych niż krajowy, w tym niezależnego, skutecznego, wydajnego i odpowiedzialnego systemu sądowego, promowanie praworządności oraz ogólnodostępnego wymiaru sprawiedliwości;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>wspieranie procesu reform administracji publicznej, między innymi stosując strategie skoncentrowanej na obywatelu administracji elektronicznej, wzmocnienie ram prawnych i struktury instytucjonalnej, krajowych systemów statystycznych, potencjału, należytego zarządzania finansami publicznymi oraz przyczynianie się do zwalczania korupcji;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promowanie wyważonych i zintegrowanych polityk terytorialnych i miejskich sprzyjających włączeniu społecznemu przez wzmocnienie instytucji i organów publicznych na szczeblu krajowym i szczeblach niższych niż krajowy oraz wsparcie skutecznych procesów decentralizacyjnych i restrukturyzacyjnych państwa;</w:t>
      </w:r>
    </w:p>
    <w:p>
      <w:pPr>
        <w:pStyle w:val="Point0"/>
        <w:rPr>
          <w:noProof/>
        </w:rPr>
      </w:pPr>
      <w:r>
        <w:rPr>
          <w:noProof/>
        </w:rPr>
        <w:t>j)</w:t>
      </w:r>
      <w:r>
        <w:rPr>
          <w:noProof/>
        </w:rPr>
        <w:tab/>
        <w:t>zwiększenie przejrzystości i rozliczalności instytucji publicznych, wzmocnienie zarządzania w zakresie zamówień i finansów publicznych, rozwój administracji elektronicznej oraz wzmocnienie świadczenia usług;</w:t>
      </w:r>
    </w:p>
    <w:p>
      <w:pPr>
        <w:pStyle w:val="Point0"/>
        <w:rPr>
          <w:rFonts w:eastAsia="Calibri"/>
          <w:noProof/>
        </w:rPr>
      </w:pPr>
      <w:r>
        <w:rPr>
          <w:noProof/>
        </w:rPr>
        <w:t>k)</w:t>
      </w:r>
      <w:r>
        <w:rPr>
          <w:noProof/>
        </w:rPr>
        <w:tab/>
        <w:t>wspieranie zrównoważonego, odpowiedzialnego i przejrzystego zarządzania sektorami zasobów naturalnych i powiązanymi przychodami oraz reform w celu zapewnienia uczciwych, sprawiedliwych i zrównoważonych polityk podatkowych.</w:t>
      </w:r>
    </w:p>
    <w:p>
      <w:pPr>
        <w:autoSpaceDE w:val="0"/>
        <w:autoSpaceDN w:val="0"/>
        <w:adjustRightInd w:val="0"/>
        <w:spacing w:before="0" w:after="0"/>
        <w:ind w:left="426" w:hanging="426"/>
        <w:rPr>
          <w:rFonts w:eastAsia="Calibri"/>
          <w:noProof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2. </w:t>
      </w:r>
      <w:r>
        <w:rPr>
          <w:noProof/>
        </w:rPr>
        <w:tab/>
      </w:r>
      <w:r>
        <w:rPr>
          <w:b/>
          <w:noProof/>
        </w:rPr>
        <w:t>Eliminacja ubóstwa, zwalczanie nierówności i rozwój społeczny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eliminacja ubóstwa we wszystkich aspektach tego zjawiska, zwalczanie dyskryminacji i nierówności oraz niepomijanie nikogo; </w:t>
      </w:r>
    </w:p>
    <w:p>
      <w:pPr>
        <w:pStyle w:val="Point0"/>
        <w:rPr>
          <w:rFonts w:eastAsia="Times New Roman"/>
          <w:noProof/>
          <w:color w:val="000000"/>
        </w:rPr>
      </w:pPr>
      <w:r>
        <w:rPr>
          <w:noProof/>
        </w:rPr>
        <w:t>b)</w:t>
      </w:r>
      <w:r>
        <w:rPr>
          <w:noProof/>
        </w:rPr>
        <w:tab/>
        <w:t>wzmożenie działań ukierunkowanych na przyjęcie polityk i właściwych inwestycji na rzecz promowania praw kobiet i młodzieży, ułatwiania ich udziału w życiu społecznym, obywatelskim i gospodarczym oraz zapewnienia ich pełnego wkładu do sprzyjającego włączeniu społecznemu wzrostu gospodarczego i zrównoważonego rozwoju;</w:t>
      </w:r>
    </w:p>
    <w:p>
      <w:pPr>
        <w:pStyle w:val="Point0"/>
        <w:rPr>
          <w:rFonts w:eastAsia="Times New Roman"/>
          <w:noProof/>
          <w:color w:val="000000"/>
        </w:rPr>
      </w:pPr>
      <w:r>
        <w:rPr>
          <w:noProof/>
        </w:rPr>
        <w:t>c)</w:t>
      </w:r>
      <w:r>
        <w:rPr>
          <w:noProof/>
        </w:rPr>
        <w:tab/>
        <w:t>promowanie ochrony i przestrzegania praw kobiet i dziewcząt, w tym praw gospodarczych, pracowniczych i społecznych, zdrowia reprodukcyjnego i seksualnego oraz praw w tej dziedzinie oraz zapobiegania przemocy na tle seksualnym i płciowym we wszystkich formach;</w:t>
      </w:r>
    </w:p>
    <w:p>
      <w:pPr>
        <w:pStyle w:val="Point0"/>
        <w:rPr>
          <w:rFonts w:eastAsia="Times New Roman"/>
          <w:noProof/>
          <w:color w:val="000000"/>
        </w:rPr>
      </w:pPr>
      <w:r>
        <w:rPr>
          <w:noProof/>
        </w:rPr>
        <w:t>d)</w:t>
      </w:r>
      <w:r>
        <w:rPr>
          <w:noProof/>
        </w:rPr>
        <w:tab/>
        <w:t>zwracanie szczególnej uwagi na osoby znajdujące się w niekorzystnej sytuacji, podatne na zagrożenia i marginalizowane, w tym dzieci, osoby starsze, osoby niepełnosprawne, osoby LGBTI i ludy tubylcze, w tym promowanie przejścia od instytucjonalnych do lokalnych form opieki nad dziećmi;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promowanie zintegrowanego podejścia do wspierania społeczności, zwłaszcza najuboższych, w zakresie poprawy dostępu do podstawowych potrzeb i usług;</w:t>
      </w:r>
    </w:p>
    <w:p>
      <w:pPr>
        <w:pStyle w:val="Point0"/>
        <w:rPr>
          <w:rFonts w:eastAsia="Times New Roman"/>
          <w:noProof/>
          <w:color w:val="000000"/>
        </w:rPr>
      </w:pPr>
      <w:r>
        <w:rPr>
          <w:noProof/>
        </w:rPr>
        <w:t>f)</w:t>
      </w:r>
      <w:r>
        <w:rPr>
          <w:noProof/>
        </w:rPr>
        <w:tab/>
        <w:t xml:space="preserve">wspieranie zapewnienia dzieciom bezpiecznego i wzbogacającego środowiska, które jest ważnym elementem sprzyjającym tworzeniu się zdrowego pokolenia młodych ludzi zdolnych w pełni wykorzystać swój potencjał; </w:t>
      </w:r>
    </w:p>
    <w:p>
      <w:pPr>
        <w:pStyle w:val="Point0"/>
        <w:rPr>
          <w:noProof/>
        </w:rPr>
      </w:pPr>
      <w:r>
        <w:rPr>
          <w:noProof/>
        </w:rPr>
        <w:t>g)</w:t>
      </w:r>
      <w:r>
        <w:rPr>
          <w:noProof/>
        </w:rPr>
        <w:tab/>
        <w:t>wspieranie powszechnego dostępu do wystarczającej ilości przystępnej cenowo, bezpiecznej i pożywnej żywności, zwłaszcza dla osób w najtrudniejszej sytuacji, oraz zwiększenia bezpieczeństwa żywnościowego i żywieniowego, szczególnie w państwach borykających się z przedłużającymi się lub powtarzającymi się kryzysami;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>wspieranie powszechnego dostępu do bezpiecznej wody pitnej w wystarczającej ilości, infrastruktury sanitarnej, higieny oraz zrównoważonej i zintegrowanej gospodarki wodnej;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zapewnienie powszechnej opieki zdrowotnej, z równym dostępem do przystępnych cenowo świadczeń zdrowotnych wysokiej jakości, w tym przez wsparcie dla tworzenia silnych, odpornych systemów opieki zdrowotnej wysokiej jakości, oraz zwiększenie zdolności w zakresie wczesnego ostrzegania, zmniejszenia ryzyka, zarządzania nim i powrotu do stanu pierwotnego;</w:t>
      </w:r>
    </w:p>
    <w:p>
      <w:pPr>
        <w:pStyle w:val="Point0"/>
        <w:rPr>
          <w:noProof/>
        </w:rPr>
      </w:pPr>
      <w:r>
        <w:rPr>
          <w:noProof/>
        </w:rPr>
        <w:t>j)</w:t>
      </w:r>
      <w:r>
        <w:rPr>
          <w:noProof/>
        </w:rPr>
        <w:tab/>
        <w:t>wspieranie powszechnej i sprawiedliwej ochrony socjalnej oraz wzmocnienie siatek bezpieczeństwa socjalnego w celu zapewniania bezwarunkowego dochodu podstawowego, zapobiegania powrotom do skrajnego ubóstwa oraz budowania odporności;</w:t>
      </w:r>
    </w:p>
    <w:p>
      <w:pPr>
        <w:pStyle w:val="Point0"/>
        <w:rPr>
          <w:noProof/>
        </w:rPr>
      </w:pPr>
      <w:r>
        <w:rPr>
          <w:noProof/>
        </w:rPr>
        <w:t>k)</w:t>
      </w:r>
      <w:r>
        <w:rPr>
          <w:noProof/>
        </w:rPr>
        <w:tab/>
        <w:t xml:space="preserve">promowanie zrównoważonego rozwoju obszarów miejskich sprzyjającego włączeniu społecznemu, aby zmierzyć się z problemem nierówności społecznej w miastach, kładąc nacisk na najbardziej potrzebujących; </w:t>
      </w:r>
    </w:p>
    <w:p>
      <w:pPr>
        <w:pStyle w:val="Point0"/>
        <w:rPr>
          <w:rFonts w:eastAsia="Times New Roman"/>
          <w:noProof/>
          <w:color w:val="000000"/>
          <w:szCs w:val="24"/>
        </w:rPr>
      </w:pPr>
      <w:r>
        <w:rPr>
          <w:noProof/>
        </w:rPr>
        <w:t>l)</w:t>
      </w:r>
      <w:r>
        <w:rPr>
          <w:noProof/>
        </w:rPr>
        <w:tab/>
        <w:t>wspieranie samorządów terytorialnych, aby usprawnić na szczeblu miejskim świadczenie podstawowych usług i zapewnić sprawiedliwy dostęp do bezpieczeństwa żywnościowego, dostępne, godziwe i przystępne cenowo mieszkania oraz jakość życia, zwłaszcza w odniesieniu do osób mieszkających w nieformalnych osadach i slumsach;</w:t>
      </w:r>
    </w:p>
    <w:p>
      <w:pPr>
        <w:pStyle w:val="Point0"/>
        <w:rPr>
          <w:noProof/>
        </w:rPr>
      </w:pPr>
      <w:r>
        <w:rPr>
          <w:noProof/>
        </w:rPr>
        <w:t>m)</w:t>
      </w:r>
      <w:r>
        <w:rPr>
          <w:noProof/>
        </w:rPr>
        <w:tab/>
        <w:t>promowanie sprzyjającego włączeniu społecznemu, sprawiedliwego i ogólnodostępnego formalnego, nieformalnego i pozaformalnego kształcenia wysokiej jakości, na wszystkich szczeblach, w tym szkolenia technicznego i zawodowego, z uwzględnieniem sytuacji nadzwyczajnych i kryzysowych, w tym przy wykorzystaniu technologii cyfrowych w celu poprawy nauczania i uczenia się;</w:t>
      </w:r>
    </w:p>
    <w:p>
      <w:pPr>
        <w:pStyle w:val="Point0"/>
        <w:rPr>
          <w:noProof/>
        </w:rPr>
      </w:pPr>
      <w:r>
        <w:rPr>
          <w:noProof/>
        </w:rPr>
        <w:t>n)</w:t>
      </w:r>
      <w:r>
        <w:rPr>
          <w:noProof/>
        </w:rPr>
        <w:tab/>
        <w:t>wspieranie działań w zakresie budowania zdolności, mobilności edukacyjnej do krajów partnerskich, z tych krajów lub pomiędzy nimi, a także współpraca i dialog polityczny z instytucjami, organizacjami, lokalnymi organami wykonawczymi i władzami tych krajów;</w:t>
      </w:r>
    </w:p>
    <w:p>
      <w:pPr>
        <w:pStyle w:val="Point0"/>
        <w:rPr>
          <w:noProof/>
        </w:rPr>
      </w:pPr>
      <w:r>
        <w:rPr>
          <w:noProof/>
        </w:rPr>
        <w:t>o)</w:t>
      </w:r>
      <w:r>
        <w:rPr>
          <w:noProof/>
        </w:rPr>
        <w:tab/>
        <w:t xml:space="preserve">promowanie współpracy w dziedzinie nauki, technologii i badań, a także otwartych danych i innowacji; </w:t>
      </w:r>
    </w:p>
    <w:p>
      <w:pPr>
        <w:pStyle w:val="Point0"/>
        <w:rPr>
          <w:rFonts w:eastAsia="Times New Roman"/>
          <w:noProof/>
          <w:color w:val="000000"/>
        </w:rPr>
      </w:pPr>
      <w:r>
        <w:rPr>
          <w:noProof/>
        </w:rPr>
        <w:t>p)</w:t>
      </w:r>
      <w:r>
        <w:rPr>
          <w:noProof/>
        </w:rPr>
        <w:tab/>
        <w:t>zwiększenie koordynacji wśród wszystkich właściwych podmiotów, aby pomóc w przejściu od sytuacji nadzwyczajnej do fazy rozwoju;</w:t>
      </w:r>
    </w:p>
    <w:p>
      <w:pPr>
        <w:pStyle w:val="Point0"/>
        <w:rPr>
          <w:noProof/>
        </w:rPr>
      </w:pPr>
      <w:r>
        <w:rPr>
          <w:noProof/>
        </w:rPr>
        <w:t>q)</w:t>
      </w:r>
      <w:r>
        <w:rPr>
          <w:noProof/>
        </w:rPr>
        <w:tab/>
        <w:t>promowanie wszelkich form dialogu międzykulturowego i różnorodności kulturowej oraz zachowanie i promowanie dziedzictwa kulturowego, a także uwolnienie potencjału branży twórczej na rzecz zrównoważonego rozwoju społecznego i gospodarczego;</w:t>
      </w:r>
    </w:p>
    <w:p>
      <w:pPr>
        <w:pStyle w:val="Point0"/>
        <w:rPr>
          <w:noProof/>
        </w:rPr>
      </w:pPr>
      <w:r>
        <w:rPr>
          <w:noProof/>
        </w:rPr>
        <w:t>r)</w:t>
      </w:r>
      <w:r>
        <w:rPr>
          <w:noProof/>
        </w:rPr>
        <w:tab/>
        <w:t xml:space="preserve">działania na rzecz godności i odporności osób wysiedlonych przymusowo i długoterminowo oraz ich włączenia w życie gospodarcze i społeczne krajów i społeczności przyjmujących. </w:t>
      </w:r>
    </w:p>
    <w:p>
      <w:pPr>
        <w:autoSpaceDE w:val="0"/>
        <w:autoSpaceDN w:val="0"/>
        <w:adjustRightInd w:val="0"/>
        <w:spacing w:before="0" w:after="0"/>
        <w:ind w:left="426" w:hanging="426"/>
        <w:rPr>
          <w:rFonts w:eastAsia="Calibri"/>
          <w:noProof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3. </w:t>
      </w:r>
      <w:r>
        <w:rPr>
          <w:noProof/>
        </w:rPr>
        <w:tab/>
      </w:r>
      <w:r>
        <w:rPr>
          <w:b/>
          <w:noProof/>
        </w:rPr>
        <w:t>Migracja i mobilność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wzmocnienie partnerstw w zakresie migracji i mobilności opartych na zintegrowanym i zrównoważonym podejściu uwzględniającym wszystkie aspekty migracji, w tym pomoc we wdrażaniu umów i układów dwustronnych i regionalnych zawartych przez Unię, w tym partnerstw na rzecz mobilności;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wspieranie trwałej reintegracji powracających migrantów;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eliminacja i zmniejszenie podstawowych przyczyn nielegalnej migracji i przymusowego wysiedlenia;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zwalczanie nielegalnej migracji, handlu ludźmi, przemytu migrantów, wzmożenie współpracy w zakresie zintegrowanego zarządzania granicami;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wzmocnienie potencjału naukowego, technicznego, ludzkiego i instytucjonalnego na potrzeby zarządzania migracją;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>wspieranie skutecznych polityk migracyjnych opartych na prawach człowieka, w tym programów ochrony;</w:t>
      </w:r>
    </w:p>
    <w:p>
      <w:pPr>
        <w:pStyle w:val="Point0"/>
        <w:rPr>
          <w:noProof/>
        </w:rPr>
      </w:pPr>
      <w:r>
        <w:rPr>
          <w:noProof/>
        </w:rPr>
        <w:t>g)</w:t>
      </w:r>
      <w:r>
        <w:rPr>
          <w:noProof/>
        </w:rPr>
        <w:tab/>
        <w:t>promowanie warunków ułatwiających legalną migrację i dobrze zarządzaną mobilność, kontakty międzyludzkie, maksymalizację wpływu migracji na rozwój;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>zapewnienie ochrony migrantom i osobom przymusowo przesiedlonym;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wspieranie opartych na rozwoju rozwiązań dla przymusowo przesiedlonych osób i społeczności przyjmujących je; </w:t>
      </w:r>
    </w:p>
    <w:p>
      <w:pPr>
        <w:pStyle w:val="Point0"/>
        <w:rPr>
          <w:noProof/>
        </w:rPr>
      </w:pPr>
      <w:r>
        <w:rPr>
          <w:noProof/>
        </w:rPr>
        <w:t>j)</w:t>
      </w:r>
      <w:r>
        <w:rPr>
          <w:noProof/>
        </w:rPr>
        <w:tab/>
        <w:t xml:space="preserve">wspieranie zaangażowania diaspory w państwach pochodzenia; </w:t>
      </w:r>
    </w:p>
    <w:p>
      <w:pPr>
        <w:pStyle w:val="Point0"/>
        <w:rPr>
          <w:noProof/>
          <w:szCs w:val="24"/>
        </w:rPr>
      </w:pPr>
      <w:r>
        <w:rPr>
          <w:noProof/>
        </w:rPr>
        <w:t>k)</w:t>
      </w:r>
      <w:r>
        <w:rPr>
          <w:noProof/>
        </w:rPr>
        <w:tab/>
        <w:t>promowanie szybszych, tańszych i bezpieczniejszych przekazów pieniężnych zarówno w krajach nadania, jak i w krajach docelowych, wykorzystując tym samym ich potencjał rozwoju.</w:t>
      </w:r>
    </w:p>
    <w:p>
      <w:pPr>
        <w:autoSpaceDE w:val="0"/>
        <w:autoSpaceDN w:val="0"/>
        <w:adjustRightInd w:val="0"/>
        <w:spacing w:before="0" w:after="0"/>
        <w:ind w:left="426" w:hanging="426"/>
        <w:rPr>
          <w:rFonts w:eastAsia="Calibri"/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ind w:left="426" w:hanging="426"/>
        <w:rPr>
          <w:rFonts w:eastAsia="Calibri"/>
          <w:noProof/>
          <w:szCs w:val="24"/>
          <w:u w:val="single"/>
        </w:rPr>
      </w:pPr>
      <w:r>
        <w:rPr>
          <w:noProof/>
          <w:u w:val="single"/>
        </w:rPr>
        <w:t>PLANETA</w:t>
      </w: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4. </w:t>
      </w:r>
      <w:r>
        <w:rPr>
          <w:noProof/>
        </w:rPr>
        <w:tab/>
      </w:r>
      <w:r>
        <w:rPr>
          <w:b/>
          <w:noProof/>
        </w:rPr>
        <w:t>Środowisko i zmiana klimatu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zwiększenie naukowej i technicznej zdolności osób i instytucji do zarządzania, uwzględniania i monitorowania klimatu i środowiska; wzmocnienie zarządzania w zakresie klimatu na poziomie regionalnym i krajowym;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współudział w dążeniach partnerów do realizacji zobowiązań w zakresie zmiany klimatu zgodnie z porozumieniem paryskim, w tym do </w:t>
      </w:r>
      <w:r>
        <w:rPr>
          <w:noProof/>
          <w:color w:val="000000"/>
        </w:rPr>
        <w:t>wdrożenia ustalonych na poziomie krajowym wkładów oraz planów działania dotyczących łagodzenia zmiany klimatu i dostosowania się do niej, z uwzględnieniem synergii między</w:t>
      </w:r>
      <w:r>
        <w:rPr>
          <w:noProof/>
        </w:rPr>
        <w:t xml:space="preserve"> dostosowaniem a łagodzeniem;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opracowanie lub wzmocnienie zrównoważonego zielonego i niebieskiego wzrostu odpornego na zmianę klimatu we wszystkich sektorach gospodarki;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wzmocnienie współpracy w zakresie zrównoważonej energii. promowanie i zacieśnienie współpracy w zakresie efektywności energetycznej oraz wykorzystania odnawialnych źródeł energii;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 xml:space="preserve">usprawnienie lokalnych, krajowych, regionalnych i kontynentalnych sieci i usług transportu multimodalnego w celu zwiększenia dalszych możliwości w zakresie zrównoważonego rozwoju gospodarczego odpornego na zmianę klimatu oraz tworzenia miejsc pracy, z uwzględnieniem niskoemisyjnego rozwoju odpornego na zmianę klimatu. Dalsze ułatwienie i liberalizacja transportu, poprawa zrównoważonego rozwoju, bezpieczeństwa ruchu drogowego oraz odporności w dziedzinie transportu; 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>zwiększenie zaangażowania lokalnych społeczności w przeciwdziałanie zmianie klimatu, ochronę ekosystemów oraz zarządzanie zasobami naturalnymi. Promowanie zrównoważonego rozwoju obszarów miejskich i odporności w obszarach miejskich;</w:t>
      </w:r>
    </w:p>
    <w:p>
      <w:pPr>
        <w:pStyle w:val="Point0"/>
        <w:rPr>
          <w:noProof/>
        </w:rPr>
      </w:pPr>
      <w:r>
        <w:rPr>
          <w:noProof/>
        </w:rPr>
        <w:t>g)</w:t>
      </w:r>
      <w:r>
        <w:rPr>
          <w:noProof/>
        </w:rPr>
        <w:tab/>
        <w:t>promowanie ochrony, zrównoważonego wykorzystywania i odnawiania zasobów naturalnych, zdrowych ekosystemów i zatrzymania procesu utraty bioróżnorodności, a także ochrona dzikiej fauny i flory;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>promowanie zintegrowanego i zrównoważonego zarządzania zasobami wodnymi oraz współpracy w dziedzinie wód transgranicznych;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promowanie oszczędzania i zwiększania zasobów węgla przez zrównoważone zarządzanie użytkowaniem gruntów, zmianę użytkowania gruntów, leśnictwo oraz zwalczanie degradacji środowiska, pustynnienia i degradacji gleby;</w:t>
      </w:r>
    </w:p>
    <w:p>
      <w:pPr>
        <w:pStyle w:val="Point0"/>
        <w:rPr>
          <w:noProof/>
        </w:rPr>
      </w:pPr>
      <w:r>
        <w:rPr>
          <w:noProof/>
        </w:rPr>
        <w:t>j)</w:t>
      </w:r>
      <w:r>
        <w:rPr>
          <w:noProof/>
        </w:rPr>
        <w:tab/>
        <w:t>ograniczenie wylesiania i promowanie egzekwowania prawa, zarządzania i handlu w dziedzinie leśnictwa (FLEGT) oraz zwalczanie nielegalnego pozyskiwania drewna, handlu nielegalnymi wyrobami z surowca drzewnego i drewna;</w:t>
      </w:r>
    </w:p>
    <w:p>
      <w:pPr>
        <w:pStyle w:val="Point0"/>
        <w:rPr>
          <w:rFonts w:eastAsia="Times New Roman"/>
          <w:noProof/>
          <w:color w:val="000000"/>
        </w:rPr>
      </w:pPr>
      <w:r>
        <w:rPr>
          <w:noProof/>
        </w:rPr>
        <w:t>k)</w:t>
      </w:r>
      <w:r>
        <w:rPr>
          <w:noProof/>
        </w:rPr>
        <w:tab/>
        <w:t>wspieranie zarządzania oceanami, w tym ochrony i restytucji obszarów przybrzeżnych i morskich we wszystkich formach, w tym ekosystemów, walka z odpadami morskimi, zwalczanie nielegalnych, nieraportowanych i nieuregulowanych połowów (NNN) oraz ochrona morskiej różnorodności biologicznej;</w:t>
      </w:r>
    </w:p>
    <w:p>
      <w:pPr>
        <w:pStyle w:val="Point0"/>
        <w:rPr>
          <w:noProof/>
        </w:rPr>
      </w:pPr>
      <w:r>
        <w:rPr>
          <w:noProof/>
        </w:rPr>
        <w:t>l)</w:t>
      </w:r>
      <w:r>
        <w:rPr>
          <w:noProof/>
        </w:rPr>
        <w:tab/>
        <w:t>zmniejszenie ryzyka związanego z klęskami żywiołowymi oraz zwiększenie odporności w ramach synergii z politykami i działaniami w zakresie przystosowania do zmiany klimatu;</w:t>
      </w:r>
    </w:p>
    <w:p>
      <w:pPr>
        <w:pStyle w:val="Point0"/>
        <w:rPr>
          <w:rFonts w:eastAsia="Times New Roman"/>
          <w:noProof/>
          <w:color w:val="000000"/>
        </w:rPr>
      </w:pPr>
      <w:r>
        <w:rPr>
          <w:noProof/>
        </w:rPr>
        <w:t>m)</w:t>
      </w:r>
      <w:r>
        <w:rPr>
          <w:noProof/>
        </w:rPr>
        <w:tab/>
        <w:t>promowanie oszczędnego gospodarowania zasobami oraz zrównoważonej konsumpcji i produkcji, w tym walki z zanieczyszczeniami i zrównoważonego gospodarowania chemikaliami i odpadami;</w:t>
      </w:r>
    </w:p>
    <w:p>
      <w:pPr>
        <w:pStyle w:val="Point0"/>
        <w:rPr>
          <w:noProof/>
        </w:rPr>
      </w:pPr>
      <w:r>
        <w:rPr>
          <w:noProof/>
        </w:rPr>
        <w:t>n)</w:t>
      </w:r>
      <w:r>
        <w:rPr>
          <w:noProof/>
        </w:rPr>
        <w:tab/>
        <w:t>wspieranie starań na rzecz poprawy zrównoważonej dywersyfikacji gospodarczej, konkurencyjności i handlu, rozwoju sektora prywatnego ze szczególnym uwzględnieniem niskoemisyjnego zielonego wzrostu odpornego na zmianę klimatu, mikroprzedsiębiorstw oraz małych i średnich przedsiębiorstw, a także spółdzielni, z wykorzystaniem istniejących umów handlowych z UE.</w:t>
      </w:r>
    </w:p>
    <w:p>
      <w:pPr>
        <w:autoSpaceDE w:val="0"/>
        <w:autoSpaceDN w:val="0"/>
        <w:adjustRightInd w:val="0"/>
        <w:spacing w:before="0" w:after="0"/>
        <w:ind w:left="426" w:hanging="426"/>
        <w:rPr>
          <w:rFonts w:eastAsia="Calibri"/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ind w:left="426" w:hanging="426"/>
        <w:rPr>
          <w:rFonts w:eastAsia="Calibri"/>
          <w:noProof/>
          <w:szCs w:val="24"/>
        </w:rPr>
      </w:pPr>
      <w:r>
        <w:rPr>
          <w:noProof/>
          <w:u w:val="single"/>
        </w:rPr>
        <w:t>DOBROBYT</w:t>
      </w: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5. </w:t>
      </w:r>
      <w:r>
        <w:rPr>
          <w:noProof/>
        </w:rPr>
        <w:tab/>
      </w:r>
      <w:r>
        <w:rPr>
          <w:b/>
          <w:noProof/>
        </w:rPr>
        <w:t xml:space="preserve">Zrównoważony wzrost gospodarczy sprzyjający włączeniu społecznemu oraz godne zatrudnienie 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wspieranie przedsiębiorczości, godnego zatrudnienia i zdolności do zatrudnienia poprzez rozwój umiejętności i kompetencji, w tym edukację, poprawę norm i warunków pracy oraz zapewnianie możliwości zwłaszcza młodzieży;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wspieranie krajowych ścieżek rozwoju przynoszących największe pozytywne rezultaty i zmiany społeczne oraz promowanie opodatkowania progresywnego i publicznych polityk redystrybucyjnych;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poprawa klimatu biznesowego i inwestycyjnego, stworzenie otoczenia regulacyjnego sprzyjającego rozwojowi gospodarczemu oraz wspieranie przedsiębiorstw, zwłaszcza mikroprzedsiębiorstw oraz małych i średnich przedsiębiorstw, w rozszerzaniu działalności i tworzeniu miejsc pracy;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zwiększenie społecznej i środowiskowej odpowiedzialności przedsiębiorstw i wzmocnienie odpowiedzialnych praktyk biznesowych w całym łańcuchu wartości;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zwiększenie wydajności wydatków publicznych i promowanie korzystania w bardziej strategiczny sposób z finansów publicznych, w tym z wykorzystaniem instrumentów łączonych, aby przyciągnąć dodatkowe publiczne i prywatne inwestycje;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 xml:space="preserve">pobudzenie potencjału dużych miast jako ośrodków zrównoważonego i sprzyjającego włączeniu społecznemu wzrostu gospodarczego i innowacyjności; </w:t>
      </w:r>
    </w:p>
    <w:p>
      <w:pPr>
        <w:pStyle w:val="Point0"/>
        <w:rPr>
          <w:noProof/>
        </w:rPr>
      </w:pPr>
      <w:r>
        <w:rPr>
          <w:noProof/>
        </w:rPr>
        <w:t>g)</w:t>
      </w:r>
      <w:r>
        <w:rPr>
          <w:noProof/>
        </w:rPr>
        <w:tab/>
        <w:t>promowanie wewnętrznej spójności gospodarczej, społecznej i terytorialnej; tworzenie silniejszych więzi pomiędzy obszarami miejskimi i wiejskimi oraz ułatwianie rozwoju sektora turystyki jako dźwigni zrównoważonego rozwoju;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>pobudzenie i zróżnicowanie łańcuchów wartości w sektorze rolno-spożywczym, promowanie dywersyfikacji gospodarczej, wartości dodanej i integracji regionalnej, konkurencyjności i handlu oraz wzmocnienie zrównoważonych, niskoemisyjnych innowacji zdolnych do adaptacji do zmian klimatu;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wspieranie zrównoważonego zarządzania rybołówstwem i zrównoważonej akwakultury;</w:t>
      </w:r>
    </w:p>
    <w:p>
      <w:pPr>
        <w:pStyle w:val="Point0"/>
        <w:rPr>
          <w:noProof/>
        </w:rPr>
      </w:pPr>
      <w:r>
        <w:rPr>
          <w:noProof/>
        </w:rPr>
        <w:t>j)</w:t>
      </w:r>
      <w:r>
        <w:rPr>
          <w:noProof/>
        </w:rPr>
        <w:tab/>
        <w:t>poprawa powszechnego dostępu do zrównoważonej energii, promowanie gospodarki niskoemisyjnej, odpornej na zmianę klimatu, zasobooszczędnej, o obiegu zamkniętym, zgodnej z porozumieniem paryskim;</w:t>
      </w:r>
    </w:p>
    <w:p>
      <w:pPr>
        <w:pStyle w:val="Point0"/>
        <w:rPr>
          <w:noProof/>
        </w:rPr>
      </w:pPr>
      <w:r>
        <w:rPr>
          <w:noProof/>
        </w:rPr>
        <w:t>k)</w:t>
      </w:r>
      <w:r>
        <w:rPr>
          <w:noProof/>
        </w:rPr>
        <w:tab/>
        <w:t xml:space="preserve">promowanie inteligentnej, zrównoważonej i bezpiecznej mobilności sprzyjającej włączeniu społecznemu oraz poprawa łączności transportowej z Unią; </w:t>
      </w:r>
    </w:p>
    <w:p>
      <w:pPr>
        <w:pStyle w:val="Point0"/>
        <w:rPr>
          <w:noProof/>
        </w:rPr>
      </w:pPr>
      <w:r>
        <w:rPr>
          <w:noProof/>
        </w:rPr>
        <w:t>l)</w:t>
      </w:r>
      <w:r>
        <w:rPr>
          <w:noProof/>
        </w:rPr>
        <w:tab/>
        <w:t>promowanie przystępnej cenowo, sprzyjającej włączeniu społecznemu i niezawodnej łączności cyfrowej oraz wzmocnienie gospodarki cyfrowej;</w:t>
      </w:r>
    </w:p>
    <w:p>
      <w:pPr>
        <w:pStyle w:val="Point0"/>
        <w:rPr>
          <w:noProof/>
        </w:rPr>
      </w:pPr>
      <w:r>
        <w:rPr>
          <w:noProof/>
        </w:rPr>
        <w:t>m)</w:t>
      </w:r>
      <w:r>
        <w:rPr>
          <w:noProof/>
        </w:rPr>
        <w:tab/>
        <w:t>rozwijanie i wzmacnianie rynków i sektorów w sposób umacniający trwały wzrost gospodarczy sprzyjający włączeniu społecznemu;</w:t>
      </w:r>
    </w:p>
    <w:p>
      <w:pPr>
        <w:pStyle w:val="Point0"/>
        <w:rPr>
          <w:noProof/>
        </w:rPr>
      </w:pPr>
      <w:r>
        <w:rPr>
          <w:noProof/>
        </w:rPr>
        <w:t>n)</w:t>
      </w:r>
      <w:r>
        <w:rPr>
          <w:noProof/>
        </w:rPr>
        <w:tab/>
        <w:t>wspieranie agendy integracji regionalnej i polityk optymalnego handlu oraz wspieranie konsolidacji i wdrażania umów handlowych zawartych między UE a jej partnerami;</w:t>
      </w:r>
    </w:p>
    <w:p>
      <w:pPr>
        <w:pStyle w:val="Point0"/>
        <w:rPr>
          <w:noProof/>
        </w:rPr>
      </w:pPr>
      <w:r>
        <w:rPr>
          <w:noProof/>
        </w:rPr>
        <w:t>o)</w:t>
      </w:r>
      <w:r>
        <w:rPr>
          <w:noProof/>
        </w:rPr>
        <w:tab/>
        <w:t>promowanie współpracy w dziedzinie nauki, technologii i badań, a także otwartych danych i innowacji;</w:t>
      </w:r>
    </w:p>
    <w:p>
      <w:pPr>
        <w:pStyle w:val="Point0"/>
        <w:rPr>
          <w:noProof/>
        </w:rPr>
      </w:pPr>
      <w:r>
        <w:rPr>
          <w:noProof/>
        </w:rPr>
        <w:t>p)</w:t>
      </w:r>
      <w:r>
        <w:rPr>
          <w:noProof/>
        </w:rPr>
        <w:tab/>
        <w:t>promowanie wszelkich form dialogu międzykulturowego i różnorodności kulturowej oraz zachowanie i promowanie dziedzictwa kulturowego;</w:t>
      </w:r>
    </w:p>
    <w:p>
      <w:pPr>
        <w:pStyle w:val="Point0"/>
        <w:rPr>
          <w:noProof/>
        </w:rPr>
      </w:pPr>
      <w:r>
        <w:rPr>
          <w:noProof/>
        </w:rPr>
        <w:t>q)</w:t>
      </w:r>
      <w:r>
        <w:rPr>
          <w:noProof/>
        </w:rPr>
        <w:tab/>
        <w:t>wzmocnienie pozycji kobiet, umożliwiające im odgrywanie ważniejszej roli gospodarczej i w procesie decyzyjnym;</w:t>
      </w:r>
    </w:p>
    <w:p>
      <w:pPr>
        <w:pStyle w:val="Point0"/>
        <w:rPr>
          <w:noProof/>
        </w:rPr>
      </w:pPr>
      <w:r>
        <w:rPr>
          <w:noProof/>
        </w:rPr>
        <w:t>r)</w:t>
      </w:r>
      <w:r>
        <w:rPr>
          <w:noProof/>
        </w:rPr>
        <w:tab/>
        <w:t>poprawa dostępu do godnej pracy i stworzenie dobrze funkcjonujących rynków pracy i polityk zatrudnienia, które w większym stopniu sprzyjają włączeniu społecznemu, ukierunkowanych na zapewnienie godnej pracy dla wszystkich, zwłaszcza dla młodzieży.</w:t>
      </w:r>
    </w:p>
    <w:p>
      <w:pPr>
        <w:pStyle w:val="Point0"/>
        <w:rPr>
          <w:noProof/>
        </w:rPr>
      </w:pPr>
      <w:r>
        <w:rPr>
          <w:noProof/>
        </w:rPr>
        <w:t>s)</w:t>
      </w:r>
      <w:r>
        <w:rPr>
          <w:noProof/>
        </w:rPr>
        <w:tab/>
        <w:t xml:space="preserve">propagowanie sprawiedliwego, zrównoważonego i niezakłóconego dostępu do sektorów wydobywczych. </w:t>
      </w:r>
    </w:p>
    <w:p>
      <w:pPr>
        <w:autoSpaceDE w:val="0"/>
        <w:autoSpaceDN w:val="0"/>
        <w:adjustRightInd w:val="0"/>
        <w:spacing w:before="0" w:after="0"/>
        <w:ind w:left="426" w:hanging="426"/>
        <w:rPr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ind w:left="426" w:hanging="426"/>
        <w:rPr>
          <w:noProof/>
          <w:szCs w:val="24"/>
        </w:rPr>
      </w:pPr>
      <w:r>
        <w:rPr>
          <w:noProof/>
          <w:u w:val="single"/>
        </w:rPr>
        <w:t>POKÓJ</w:t>
      </w: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6. </w:t>
      </w:r>
      <w:r>
        <w:rPr>
          <w:noProof/>
        </w:rPr>
        <w:tab/>
      </w:r>
      <w:r>
        <w:rPr>
          <w:b/>
          <w:noProof/>
        </w:rPr>
        <w:t>Bezpieczeństwo, stabilność i trwały pokój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budowanie pokoju i sprawiedliwości przez wzmacnianie odporności państw, społeczeństw, społeczności i osób fizycznych na naciski i wstrząsy polityczne, gospodarcze, środowiskowe, demograficzne i społeczne;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wspieranie zapobiegania konfliktom, wczesnego ostrzegania i budowania pokoju poprzez mediację, zarządzanie kryzysowe i stabilizację;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wspieranie reformy sektora bezpieczeństwa, która będzie stopniowo coraz skuteczniej i w sposób bardziej odpowiedzialny zapewniać osobom fizycznym i państwu bezpieczeństwo na rzecz zrównoważonego rozwoju; 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wspieranie budowania zdolności podmiotów wojskowych na rzecz bezpieczeństwa i rozwoju;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wspieranie regionalnych i międzynarodowych inicjatyw przyczyniających się do zapewnienia bezpieczeństwa, stabilności i pokoju;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>zapobieganie i zwalczanie radykalizacji postaw, która prowadzi do brutalnego ekstremizmu i terroryzmu;</w:t>
      </w:r>
    </w:p>
    <w:p>
      <w:pPr>
        <w:pStyle w:val="Point0"/>
        <w:rPr>
          <w:rFonts w:eastAsia="Times New Roman"/>
          <w:noProof/>
          <w:color w:val="000000"/>
        </w:rPr>
      </w:pPr>
      <w:r>
        <w:rPr>
          <w:noProof/>
        </w:rPr>
        <w:t>g)</w:t>
      </w:r>
      <w:r>
        <w:rPr>
          <w:noProof/>
        </w:rPr>
        <w:tab/>
        <w:t xml:space="preserve">zwalczanie wszelkich form przemocy, korupcji, przestępczości zorganizowanej i prania pieniędzy; 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 xml:space="preserve">promowanie współpracy transgranicznej w zakresie zrównoważonego zarządzania wspólnymi zasobami naturalnymi;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współpraca z krajami trzecimi w zakresie pokojowego wykorzystania energii jądrowej, w szczególności za pomocą budowania zdolności krajów trzecich i rozwoju infrastruktury w tych krajach w obszarze zdrowia, rolnictwa i bezpieczeństwa żywności; oraz wspieranie działań społecznych mających na celu zaradzenie skutkom dla grup ludności najbardziej narażonych na jakiekolwiek wypadki radiologiczne oraz poprawę ich warunków życia; promowanie zarządzania wiedzą, szkoleń i kształcenia w dziedzinach związanych z energią jądrową;</w:t>
      </w:r>
    </w:p>
    <w:p>
      <w:pPr>
        <w:pStyle w:val="Point0"/>
        <w:rPr>
          <w:rFonts w:eastAsia="Calibri"/>
          <w:noProof/>
        </w:rPr>
      </w:pPr>
      <w:r>
        <w:rPr>
          <w:noProof/>
        </w:rPr>
        <w:t>j)</w:t>
      </w:r>
      <w:r>
        <w:rPr>
          <w:noProof/>
        </w:rPr>
        <w:tab/>
        <w:t xml:space="preserve">zwiększenie bezpieczeństwa morskiego w celu zapewnienia bezpiecznych i czystych, zarządzanych w sposób zrównoważony oceanów; </w:t>
      </w:r>
    </w:p>
    <w:p>
      <w:pPr>
        <w:pStyle w:val="Point0"/>
        <w:rPr>
          <w:rFonts w:eastAsia="Calibri"/>
          <w:noProof/>
        </w:rPr>
      </w:pPr>
      <w:r>
        <w:rPr>
          <w:noProof/>
        </w:rPr>
        <w:t>k)</w:t>
      </w:r>
      <w:r>
        <w:rPr>
          <w:noProof/>
        </w:rPr>
        <w:tab/>
        <w:t>wspieranie budowania zdolności w dziedzinie cyberbezpieczeństwa, odpornych sieci cyfrowych, ochrony danych i prywatności.</w:t>
      </w:r>
    </w:p>
    <w:p>
      <w:pPr>
        <w:autoSpaceDE w:val="0"/>
        <w:autoSpaceDN w:val="0"/>
        <w:adjustRightInd w:val="0"/>
        <w:spacing w:before="0" w:after="0"/>
        <w:ind w:left="426" w:hanging="426"/>
        <w:rPr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ind w:left="426" w:hanging="426"/>
        <w:rPr>
          <w:noProof/>
          <w:szCs w:val="24"/>
        </w:rPr>
      </w:pPr>
      <w:r>
        <w:rPr>
          <w:noProof/>
          <w:u w:val="single"/>
        </w:rPr>
        <w:t>PARTNERSTWO</w:t>
      </w:r>
    </w:p>
    <w:p>
      <w:pPr>
        <w:pStyle w:val="ManualNumPar1"/>
        <w:rPr>
          <w:rFonts w:eastAsia="Calibri"/>
          <w:b/>
          <w:noProof/>
        </w:rPr>
      </w:pPr>
      <w:r>
        <w:rPr>
          <w:b/>
          <w:noProof/>
        </w:rPr>
        <w:t>7.</w:t>
      </w:r>
      <w:r>
        <w:rPr>
          <w:noProof/>
        </w:rPr>
        <w:tab/>
      </w:r>
      <w:r>
        <w:rPr>
          <w:b/>
          <w:noProof/>
        </w:rPr>
        <w:t>Partnerstwo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zwiększenie odpowiedzialności państw, partnerstwa i dialogu, aby przyczynić się do zwiększenia skuteczności współpracy na rzecz rozwoju we wszystkich jej wymiarach (ze szczególnym uwzględnieniem konkretnych wyzwań stojących przed krajami najsłabiej rozwiniętymi oraz państwami dotkniętymi konfliktami, a także określonych wyzwań przejściowych stojących przed bardziej zaawansowanymi państwami rozwijającymi się);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pogłębienie dialogu politycznego, gospodarczego, środowiskowego, społecznego i kulturowego między Unią a państwami trzecimi i organizacjami regionalnymi oraz wspieranie realizacji zobowiązań dwustronnych i międzynarodowych;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zachęcanie do relacji dobrosąsiedzkich, integracji regionalnej, lepszej połączalności, współpracy i dialogu;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promowanie środowiska sprzyjającego rozwojowi organizacji społeczeństwa obywatelskiego, w tym fundacji, wzmocnienie ich istotnego i uporządkowanego udziału w politykach krajowych oraz ich zdolności do wykonywania swoich zadań w charakterze niezależnych podmiotów podejmujących działania w dziedzinie rozwoju i zarządzania; oraz wzmocnienie nowych sposobów realizacji partnerstw z organizacjami społeczeństwa obywatelskiego, propagowanie merytorycznego i uporządkowanego dialogu z Unią i efektywnego korzystania z krajowych planów działania w zakresie współpracy UE ze społeczeństwem obywatelskim;</w:t>
      </w:r>
    </w:p>
    <w:p>
      <w:pPr>
        <w:pStyle w:val="Point0"/>
        <w:rPr>
          <w:rFonts w:eastAsia="Calibri"/>
          <w:noProof/>
        </w:rPr>
      </w:pPr>
      <w:r>
        <w:rPr>
          <w:noProof/>
        </w:rPr>
        <w:t>e)</w:t>
      </w:r>
      <w:r>
        <w:rPr>
          <w:noProof/>
        </w:rPr>
        <w:tab/>
        <w:t>nawiązywanie kontaktów z samorządami terytorialnymi i wspieranie ich w pełnieniu funkcji decydentów w celu pobudzenia lokalnego rozwoju i usprawnionego sprawowania rządów;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>skuteczniejsze nawiązywanie kontaktów z obywatelami państw trzecich, w tym przez wykorzystywanie w pełni dyplomacji gospodarczej, kulturowej i publicznej;</w:t>
      </w:r>
    </w:p>
    <w:p>
      <w:pPr>
        <w:pStyle w:val="Point0"/>
        <w:rPr>
          <w:noProof/>
        </w:rPr>
      </w:pPr>
      <w:r>
        <w:rPr>
          <w:noProof/>
        </w:rPr>
        <w:t>g)</w:t>
      </w:r>
      <w:r>
        <w:rPr>
          <w:noProof/>
        </w:rPr>
        <w:tab/>
        <w:t xml:space="preserve">zaangażowanie krajów uprzemysłowionych i bardziej zaawansowanych państw rozwijających się w realizację agendy na rzecz zrównoważonego rozwoju 2030, programu „Globalne dobra publiczne i wyzwania o skali światowej”, w tym w dziedzinie współpracy południe-południe i trójstronnej; </w:t>
      </w:r>
    </w:p>
    <w:p>
      <w:pPr>
        <w:pStyle w:val="Point0"/>
        <w:rPr>
          <w:rFonts w:eastAsia="Calibri"/>
          <w:noProof/>
        </w:rPr>
      </w:pPr>
      <w:r>
        <w:rPr>
          <w:noProof/>
        </w:rPr>
        <w:t>h)</w:t>
      </w:r>
      <w:r>
        <w:rPr>
          <w:noProof/>
        </w:rPr>
        <w:tab/>
        <w:t>zachęcanie do integracji i współpracy regionalnej w sposób zorientowany na wyniki przez wspieranie integracji regionalnej i dialogu regionalnego.</w:t>
      </w:r>
    </w:p>
    <w:p>
      <w:pPr>
        <w:autoSpaceDE w:val="0"/>
        <w:autoSpaceDN w:val="0"/>
        <w:adjustRightInd w:val="0"/>
        <w:spacing w:before="0" w:after="0"/>
        <w:ind w:left="426" w:hanging="426"/>
        <w:rPr>
          <w:rFonts w:eastAsia="Calibri"/>
          <w:noProof/>
          <w:szCs w:val="24"/>
        </w:rPr>
      </w:pPr>
    </w:p>
    <w:p>
      <w:pPr>
        <w:pStyle w:val="ManualHeading3"/>
        <w:rPr>
          <w:b/>
          <w:noProof/>
        </w:rPr>
      </w:pPr>
      <w:r>
        <w:rPr>
          <w:b/>
          <w:noProof/>
        </w:rPr>
        <w:t>B.</w:t>
      </w:r>
      <w:r>
        <w:rPr>
          <w:noProof/>
        </w:rPr>
        <w:tab/>
      </w:r>
      <w:r>
        <w:rPr>
          <w:b/>
          <w:noProof/>
        </w:rPr>
        <w:t>Konkretne cele w obszarze objętym polityką sąsiedztwa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promowanie ściślejszej współpracy politycznej;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wspieranie realizacji układów o stowarzyszeniu lub innych istniejących lub przyszłych porozumień oraz wspólnie uzgodnionych programów stowarzyszeniowych i priorytetów partnerstwa lub równoważnych dokumentów;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promowanie zacieśnionego partnerstwa ze społeczeństwami między Unią a krajami partnerskimi, w tym za pośrednictwem kontaktów międzyludzkich;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zacieśnienie współpracy regionalnej, zwłaszcza w ramach Partnerstwa Wschodniego, Unii dla Śródziemnomorza i współpracy obejmującej całe europejskie sąsiedztwo, a także współpracy transgranicznej;</w:t>
      </w:r>
    </w:p>
    <w:p>
      <w:pPr>
        <w:pStyle w:val="Point0"/>
        <w:rPr>
          <w:noProof/>
          <w:color w:val="000000"/>
          <w:szCs w:val="24"/>
        </w:rPr>
      </w:pPr>
      <w:r>
        <w:rPr>
          <w:noProof/>
        </w:rPr>
        <w:t>e)</w:t>
      </w:r>
      <w:r>
        <w:rPr>
          <w:noProof/>
        </w:rPr>
        <w:tab/>
        <w:t>osiągnięcie stopniowej integracji z unijnym rynkiem wewnętrznym oraz zacieśnionej współpracy sektorowej i międzysektorowej, również za sprawą zbliżenia przepisów i konwergencji regulacyjnej z unijnymi normami oraz innymi stosownymi normami międzynarodowymi, a także lepszego dostępu do rynku między innymi przez pogłębione i kompleksowe strefy wolnego handlu, powiązany rozwój instytucjonalny i inwestycje.</w:t>
      </w:r>
    </w:p>
    <w:p>
      <w:pPr>
        <w:rPr>
          <w:noProof/>
          <w:color w:val="000000"/>
        </w:rPr>
      </w:pPr>
      <w:r>
        <w:rPr>
          <w:noProof/>
        </w:rPr>
        <w:t xml:space="preserve"> </w:t>
      </w: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ZAŁĄCZNIK III</w:t>
      </w:r>
      <w:r>
        <w:rPr>
          <w:noProof/>
        </w:rPr>
        <w:br/>
        <w:t>OBSZARY INTERWENCJI W RAMACH PROGRAMÓW TEMATYCZNYCH</w:t>
      </w:r>
    </w:p>
    <w:p>
      <w:pPr>
        <w:tabs>
          <w:tab w:val="left" w:pos="4252"/>
        </w:tabs>
        <w:spacing w:before="0" w:after="0"/>
        <w:jc w:val="left"/>
        <w:rPr>
          <w:b/>
          <w:noProof/>
          <w:color w:val="000000" w:themeColor="text1"/>
        </w:rPr>
      </w:pPr>
    </w:p>
    <w:p>
      <w:pPr>
        <w:pStyle w:val="ManualHeading3"/>
        <w:rPr>
          <w:i w:val="0"/>
          <w:noProof/>
        </w:rPr>
      </w:pPr>
      <w:r>
        <w:rPr>
          <w:b/>
          <w:i w:val="0"/>
          <w:noProof/>
          <w:color w:val="000000" w:themeColor="text1"/>
        </w:rPr>
        <w:t>1. OBSZARY INTERWENCJI NA RZECZ PRAW CZŁOWIEKA I DEMOKRACJI</w:t>
      </w:r>
    </w:p>
    <w:p>
      <w:pPr>
        <w:pStyle w:val="Bullet0"/>
        <w:numPr>
          <w:ilvl w:val="0"/>
          <w:numId w:val="9"/>
        </w:numPr>
        <w:rPr>
          <w:noProof/>
        </w:rPr>
      </w:pPr>
      <w:r>
        <w:rPr>
          <w:noProof/>
        </w:rPr>
        <w:t xml:space="preserve">współudział w propagowaniu podstawowych wartości demokracji, praworządności, powszechności i niepodzielności praw człowieka, poszanowania godności ludzkiej, zasad niedyskryminacji, równości i solidarności oraz poszanowania zasad Karty Narodów Zjednoczonych oraz prawa międzynarodowego; </w:t>
      </w:r>
    </w:p>
    <w:p>
      <w:pPr>
        <w:pStyle w:val="Bullet0"/>
        <w:rPr>
          <w:noProof/>
        </w:rPr>
      </w:pPr>
      <w:r>
        <w:rPr>
          <w:noProof/>
        </w:rPr>
        <w:t>umożliwienie współpracy i partnerstwa ze społeczeństwem obywatelskim w zakresie praw człowieka i demokracji, w tym we wrażliwych i naglących sytuacjach. Opracowanie spójnej i całościowej strategii na wszystkich poziomach, aby osiągnąć poniższe cele;</w:t>
      </w:r>
    </w:p>
    <w:p>
      <w:pPr>
        <w:pStyle w:val="Bullet0"/>
        <w:rPr>
          <w:noProof/>
        </w:rPr>
      </w:pPr>
      <w:r>
        <w:rPr>
          <w:noProof/>
        </w:rPr>
        <w:t>stanie na straży praw człowieka i podstawowych wolności wszystkich ludzi, przyczyniając się do tworzenia społeczeństw, w których panują wartości uczestnictwa, niedyskryminacji, tolerancji sprawiedliwości i odpowiedzialności, solidarności oraz równości. Monitorowanie, promowanie i zwiększanie poszanowania i przestrzegania praw człowieka i podstawowych wolności wszystkich ludzi zgodnie z zasadami powszechności, niepodzielności i współzależności praw człowieka. Zakres programu obejmuje prawa obywatelskie, polityczne, gospodarcze, społeczne i kulturowe. Zaradzenie wyzwaniom dotyczącym praw człowieka, pobudzając społeczeństwo obywatelskie oraz chroniąc i wzmacniając pozycję obrońców praw człowieka, również w związku z kurczącą się przestrzenią dla ich działań;</w:t>
      </w:r>
    </w:p>
    <w:p>
      <w:pPr>
        <w:pStyle w:val="Bullet0"/>
        <w:rPr>
          <w:noProof/>
        </w:rPr>
      </w:pPr>
      <w:r>
        <w:rPr>
          <w:noProof/>
        </w:rPr>
        <w:t>rozwijanie, wzmacnianie i ochrona demokracji, kompleksowe podjęcie kwestii związanych ze wszystkimi aspektami demokratycznych rządów, w tym wzmocnienie pluralizmu demokratycznego, zwiększenie aktywności obywatelskiej oraz wspieranie wiarygodnych i przejrzystych procesów wyborczych sprzyjających włączeniu społecznemu. Wzmocnienie demokracji przez stanie na straży głównych filarów systemów demokratycznych, w tym praworządności, norm i wartości demokratycznych, niezależnych mediów, odpowiedzialnych instytucji sprzyjających włączeniu społecznemu, a także takich partii politycznych i parlamentów, oraz zwalczanie korupcji. Obserwacja wyborów odgrywa znaczącą rolę w szerszym wsparciu procesów demokratycznych. W tym kontekście unijne obserwacje wyborów będą nadal stanowić główny element programu, podobnie jak działania następcze podejmowane w wyniku zaleceń unijnych misji obserwacji wyborów;</w:t>
      </w:r>
    </w:p>
    <w:p>
      <w:pPr>
        <w:pStyle w:val="Bullet0"/>
        <w:rPr>
          <w:noProof/>
        </w:rPr>
      </w:pPr>
      <w:r>
        <w:rPr>
          <w:noProof/>
        </w:rPr>
        <w:t>promowanie skutecznego multilateralizmu i partnerstwa strategicznego, przyczynianie się do zwiększania potencjału ram międzynarodowych, regionalnych i krajowych</w:t>
      </w:r>
      <w:r>
        <w:rPr>
          <w:i/>
          <w:noProof/>
        </w:rPr>
        <w:t xml:space="preserve"> </w:t>
      </w:r>
      <w:r>
        <w:rPr>
          <w:noProof/>
        </w:rPr>
        <w:t>w</w:t>
      </w:r>
      <w:r>
        <w:rPr>
          <w:i/>
          <w:noProof/>
        </w:rPr>
        <w:t> </w:t>
      </w:r>
      <w:r>
        <w:rPr>
          <w:noProof/>
        </w:rPr>
        <w:t>zakresie promowania i ochrony praw człowieka, demokracji i praworządności. Wzmocnienie partnerstw strategicznych, ze szczególnym uwzględnieniem Biura Wysokiego Komisarza Narodów Zjednoczonych ds. Praw Człowieka (OHCHR), Międzynarodowego Trybunału Karnego (MTK) oraz właściwych, regionalnych i krajowych mechanizmów ochrony praw człowieka. Ponadto program promuje edukację i badania w zakresie praw człowieka i demokracji, w tym za pośrednictwem sieci Global Campus for Human Rights and Democracy.</w:t>
      </w:r>
    </w:p>
    <w:p>
      <w:pPr>
        <w:rPr>
          <w:noProof/>
        </w:rPr>
      </w:pPr>
    </w:p>
    <w:p>
      <w:pPr>
        <w:spacing w:before="0" w:after="200" w:line="276" w:lineRule="auto"/>
        <w:jc w:val="left"/>
        <w:rPr>
          <w:i/>
          <w:noProof/>
        </w:rPr>
      </w:pPr>
      <w:r>
        <w:rPr>
          <w:noProof/>
        </w:rPr>
        <w:br w:type="page"/>
      </w:r>
    </w:p>
    <w:p>
      <w:pPr>
        <w:pStyle w:val="ManualHeading3"/>
        <w:rPr>
          <w:b/>
          <w:noProof/>
          <w:color w:val="000000" w:themeColor="text1"/>
        </w:rPr>
      </w:pPr>
      <w:r>
        <w:rPr>
          <w:b/>
          <w:i w:val="0"/>
          <w:noProof/>
          <w:color w:val="000000" w:themeColor="text1"/>
        </w:rPr>
        <w:t xml:space="preserve">2. OBSZARY INTERWENCJI NA RZECZ ORGANIZACJI SPOŁECZEŃSTWA OBYWATELSKIEGO </w:t>
      </w: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1. </w:t>
      </w:r>
      <w:r>
        <w:rPr>
          <w:noProof/>
        </w:rPr>
        <w:tab/>
      </w:r>
      <w:r>
        <w:rPr>
          <w:b/>
          <w:noProof/>
        </w:rPr>
        <w:t xml:space="preserve">Partycypacyjna, samostanowiąca i niezależna przestrzeń społeczeństwa obywatelskiego w krajach partnerskich sprzyjająca włączeniu społecznemu 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stworzenie otoczenia sprzyjającego zaangażowaniu obywateli i działaniom społeczeństwa obywatelskiego, w tym za pośrednictwem fundacji; 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budowanie zdolności organizacji społeczeństwa obywatelskiego, w tym fundacji, do działania w charakterze podmiotów zajmujących się zarówno rozwojem, jak i zarządzaniem;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zwiększanie zdolności sieci, platform i sojuszów społeczeństwa obywatelskiego krajów partnerskich.</w:t>
      </w:r>
    </w:p>
    <w:p>
      <w:pPr>
        <w:spacing w:before="0" w:after="0"/>
        <w:jc w:val="left"/>
        <w:rPr>
          <w:bCs/>
          <w:noProof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2. </w:t>
      </w:r>
      <w:r>
        <w:rPr>
          <w:noProof/>
        </w:rPr>
        <w:tab/>
      </w:r>
      <w:r>
        <w:rPr>
          <w:b/>
          <w:noProof/>
        </w:rPr>
        <w:t>Dialog prowadzony z organizacjami społeczeństwa obywatelskiego w sprawie polityki rozwojowej oraz między tymi organizacjami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promowanie innych wielostronnych forów na rzecz dialogu, które sprzyjają włączeniu społecznemu, w tym interakcji między obywatelami, organizacjami społeczeństwa obywatelskiego, samorządami terytorialnymi, państwami członkowskimi i innymi kluczowymi stronami zainteresowanymi rozwojem;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umożliwienie współpracy i wymiany doświadczeń między podmiotami społeczeństwa obywatelskiego;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zapewnienie merytorycznego i stale zorganizowanego dialogu i partnerstw w UE.</w:t>
      </w:r>
    </w:p>
    <w:p>
      <w:pPr>
        <w:spacing w:before="0" w:after="0"/>
        <w:jc w:val="left"/>
        <w:rPr>
          <w:bCs/>
          <w:noProof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3. </w:t>
      </w:r>
      <w:r>
        <w:rPr>
          <w:noProof/>
        </w:rPr>
        <w:tab/>
      </w:r>
      <w:r>
        <w:rPr>
          <w:b/>
          <w:noProof/>
        </w:rPr>
        <w:t>Świadomość, wiedza i zaangażowanie obywateli Unii w odniesieniu do kwestii rozwoju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nadanie obywatelom uprawnień, aby zwiększyć ich zaangażowanie; 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zmobilizowanie poparcia społecznego w Unii, krajach kandydujących i potencjalnych krajach kandydujących dla strategii zrównoważonego rozwoju sprzyjającego włączeniu społecznemu w krajach partnerskich.</w:t>
      </w:r>
    </w:p>
    <w:p>
      <w:pPr>
        <w:autoSpaceDE w:val="0"/>
        <w:autoSpaceDN w:val="0"/>
        <w:spacing w:before="0" w:after="260"/>
        <w:ind w:right="521"/>
        <w:rPr>
          <w:noProof/>
          <w:color w:val="000000"/>
          <w:szCs w:val="24"/>
        </w:rPr>
      </w:pPr>
    </w:p>
    <w:p>
      <w:pPr>
        <w:pStyle w:val="ManualHeading3"/>
        <w:rPr>
          <w:b/>
          <w:noProof/>
        </w:rPr>
      </w:pPr>
      <w:r>
        <w:rPr>
          <w:b/>
          <w:i w:val="0"/>
          <w:noProof/>
        </w:rPr>
        <w:t>3. OBSZARY INTERWENCJI NA RZECZ STABILNOŚCI I POKOJU</w:t>
      </w:r>
    </w:p>
    <w:p>
      <w:pPr>
        <w:spacing w:before="0" w:after="0"/>
        <w:jc w:val="left"/>
        <w:rPr>
          <w:b/>
          <w:bCs/>
          <w:noProof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1. </w:t>
      </w:r>
      <w:r>
        <w:rPr>
          <w:noProof/>
        </w:rPr>
        <w:tab/>
      </w:r>
      <w:r>
        <w:rPr>
          <w:b/>
          <w:noProof/>
        </w:rPr>
        <w:t>Pomoc w zakresie zapobiegania konfliktom, budowania pokoju i osiągania stanu gotowości na wypadek kryzysu</w:t>
      </w:r>
    </w:p>
    <w:p>
      <w:pPr>
        <w:autoSpaceDE w:val="0"/>
        <w:autoSpaceDN w:val="0"/>
        <w:spacing w:before="0" w:after="260"/>
        <w:ind w:right="521"/>
        <w:rPr>
          <w:noProof/>
          <w:color w:val="000000"/>
          <w:szCs w:val="24"/>
        </w:rPr>
      </w:pPr>
      <w:r>
        <w:rPr>
          <w:noProof/>
          <w:color w:val="000000"/>
        </w:rPr>
        <w:t>Unia zapewnia pomoc techniczną i finansową obejmującą wsparcie działań służących budowaniu i wzmacnianiu potencjału partnerów w zakresie zapobiegania konfliktom, budowania pokoju oraz reagowania na sytuacje przedkryzysowe i pokryzysowe, w ścisłej koordynacji z podejmowanymi przez Organizację Narodów Zjednoczonych i inne organizacje międzynarodowe, regionalne i subregionalne, a także podmioty państwowe i podmioty społeczeństwa obywatelskiego działaniami, ze szczególnym uwzględnieniem udziału kobiet, przede wszystkim w odniesieniu do: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wczesnego ostrzegania oraz analizy ryzyka wystąpienia konfliktu; środków budowania zaufania, mediacji, dialogu i pojednania;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procesu odbudowy po konfliktach oraz klęskach i katastrofach;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przedsięwzięć służących wspieraniu budowania pokoju i państwowości; 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zapobiegania konfliktom i reagowania kryzysowego;</w:t>
      </w:r>
    </w:p>
    <w:p>
      <w:pPr>
        <w:pStyle w:val="Point0"/>
        <w:rPr>
          <w:bCs/>
          <w:noProof/>
        </w:rPr>
      </w:pPr>
      <w:r>
        <w:rPr>
          <w:noProof/>
        </w:rPr>
        <w:t>e)</w:t>
      </w:r>
      <w:r>
        <w:rPr>
          <w:noProof/>
        </w:rPr>
        <w:tab/>
        <w:t>budowania zdolności na rzecz bezpieczeństwa i rozwoju.</w:t>
      </w:r>
    </w:p>
    <w:p>
      <w:pPr>
        <w:autoSpaceDE w:val="0"/>
        <w:autoSpaceDN w:val="0"/>
        <w:spacing w:before="0" w:after="260"/>
        <w:ind w:right="521"/>
        <w:rPr>
          <w:b/>
          <w:noProof/>
          <w:color w:val="000000"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2. </w:t>
      </w:r>
      <w:r>
        <w:rPr>
          <w:noProof/>
        </w:rPr>
        <w:tab/>
      </w:r>
      <w:r>
        <w:rPr>
          <w:b/>
          <w:noProof/>
        </w:rPr>
        <w:t>Pomoc w zakresie przeciwdziałania globalnym i ponadregionalnym oraz powstającym zagrożeniom</w:t>
      </w:r>
    </w:p>
    <w:p>
      <w:pPr>
        <w:spacing w:before="0" w:after="0"/>
        <w:jc w:val="left"/>
        <w:rPr>
          <w:bCs/>
          <w:noProof/>
          <w:szCs w:val="24"/>
        </w:rPr>
      </w:pPr>
      <w:r>
        <w:rPr>
          <w:noProof/>
        </w:rPr>
        <w:t>Unia zapewnia pomoc techniczną i finansową w celu wsparcia działań partnerów i Unii ukierunkowanych na przeciwdziałanie zagrożeniom globalnym i transregionalnym, a także nowym zagrożeniom występującym głównie w następujących obszarach: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zagrożenia dla porządku publicznego i bezpieczeństwa osób, w tym terroryzm, brutalny ekstremizm, przestępczość zorganizowana, cyberprzestępczość, zagrożenia hybrydowe, przemyt, handel i tranzyt; 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zagrożenia dla przestrzeni publicznych, infrastruktury krytycznej, zdrowia publicznego lub stabilności środowiska</w:t>
      </w:r>
      <w:r>
        <w:rPr>
          <w:b/>
          <w:i/>
          <w:noProof/>
        </w:rPr>
        <w:t xml:space="preserve">, </w:t>
      </w:r>
      <w:r>
        <w:rPr>
          <w:noProof/>
        </w:rPr>
        <w:t>zagrożenia dla bezpieczeństwa morskiego, zagrożenia wynikające z konsekwencji zmiany klimatu;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ograniczanie ryzyka materializacji zagrożeń zamierzonych, przypadkowych lub naturalnych, związanych z materiałami lub środkami chemicznymi, biologicznymi, radiologicznymi i jądrowymi oraz zagrożeń związanych z instalacjami lub miejscami wytwarzania;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budowanie zdolności na rzecz bezpieczeństwa i rozwoju.</w:t>
      </w:r>
    </w:p>
    <w:p>
      <w:pPr>
        <w:spacing w:before="0" w:after="0"/>
        <w:jc w:val="left"/>
        <w:rPr>
          <w:b/>
          <w:bCs/>
          <w:noProof/>
          <w:szCs w:val="24"/>
        </w:rPr>
      </w:pPr>
    </w:p>
    <w:p>
      <w:pPr>
        <w:spacing w:before="0" w:after="0"/>
        <w:jc w:val="left"/>
        <w:rPr>
          <w:b/>
          <w:bCs/>
          <w:noProof/>
          <w:szCs w:val="24"/>
        </w:rPr>
      </w:pPr>
    </w:p>
    <w:p>
      <w:pPr>
        <w:pStyle w:val="ManualHeading3"/>
        <w:rPr>
          <w:b/>
          <w:i w:val="0"/>
          <w:noProof/>
        </w:rPr>
      </w:pPr>
      <w:r>
        <w:rPr>
          <w:b/>
          <w:i w:val="0"/>
          <w:noProof/>
        </w:rPr>
        <w:t>4. OBSZARY INTERWENCJI NA RZECZ ZARADZENIA WYZWANIOM OGÓLNOŚWIATOWYM</w:t>
      </w:r>
    </w:p>
    <w:p>
      <w:pPr>
        <w:rPr>
          <w:noProof/>
        </w:rPr>
      </w:pPr>
    </w:p>
    <w:p>
      <w:pPr>
        <w:pStyle w:val="ManualHeading3"/>
        <w:rPr>
          <w:b/>
          <w:noProof/>
        </w:rPr>
      </w:pPr>
      <w:r>
        <w:rPr>
          <w:b/>
          <w:noProof/>
        </w:rPr>
        <w:t xml:space="preserve">A. </w:t>
      </w:r>
      <w:r>
        <w:rPr>
          <w:noProof/>
        </w:rPr>
        <w:tab/>
      </w:r>
      <w:r>
        <w:rPr>
          <w:b/>
          <w:noProof/>
        </w:rPr>
        <w:t>LUDNOŚĆ</w:t>
      </w:r>
    </w:p>
    <w:p>
      <w:pPr>
        <w:rPr>
          <w:noProof/>
        </w:rPr>
      </w:pPr>
    </w:p>
    <w:p>
      <w:pPr>
        <w:pStyle w:val="NumPar1"/>
        <w:numPr>
          <w:ilvl w:val="0"/>
          <w:numId w:val="10"/>
        </w:numPr>
        <w:rPr>
          <w:b/>
          <w:noProof/>
          <w:color w:val="000000"/>
        </w:rPr>
      </w:pPr>
      <w:r>
        <w:rPr>
          <w:b/>
          <w:noProof/>
        </w:rPr>
        <w:t>Zdrowie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opracowanie kluczowych elementów skutecznego i kompleksowego systemu opieki zdrowotnej, którymi najlepiej zająć się na szczeblu ponadnarodowym, aby zapewnić równy dostęp do świadczeń zdrowotnych oraz praw reprodukcyjnych i seksualnych i zdrowia reprodukcyjnego i seksualnego;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umocnienie globalnych inicjatyw będących kluczowymi czynnikami wsparcia powszechnego zabezpieczenia zdrowotnego za pośrednictwem globalnego przywództwa w myśl zasady „zdrowie we wszystkich politykach”, w całym procesie opieki, włącznie z promocją zdrowia, od profilaktyki aż do kuracji po leczeniu;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rozwiązanie kwestii bezpieczeństwa zdrowotnego na świecie dzięki prowadzeniu badań nad chorobami zakaźnymi i zwalczaniu ich, przekształcaniu wiedzy w produkty i polityki, które mierzą się ze zmiennym obciążeniem zdrowotnym (choroby niezakaźne, niedożywienie we wszystkich formach, czynniki ryzyka środowiskowego), oraz ukształtowaniu rynku światowego, aby poprawić dostęp do najważniejszych produktów mających znaczenie dla zdrowia i opieki zdrowotnej, szczególnie dla zdrowia reprodukcyjnego i seksualnego.</w:t>
      </w:r>
    </w:p>
    <w:p>
      <w:pPr>
        <w:spacing w:before="0" w:after="0"/>
        <w:ind w:left="960"/>
        <w:contextualSpacing/>
        <w:rPr>
          <w:noProof/>
        </w:rPr>
      </w:pPr>
    </w:p>
    <w:p>
      <w:pPr>
        <w:pStyle w:val="NumPar1"/>
        <w:rPr>
          <w:b/>
          <w:noProof/>
        </w:rPr>
      </w:pPr>
      <w:r>
        <w:rPr>
          <w:b/>
          <w:noProof/>
        </w:rPr>
        <w:t xml:space="preserve">Edukacja 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promowanie wspólnych globalnych wysiłków ukierunkowanych na sprawiedliwe kształcenie i szkolenie wysokiej jakości i sprzyjające włączeniu społecznemu na wszystkich poziomach, w tym w sytuacjach nadzwyczajnych i kryzysowych;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zwiększenie wiedzy, umiejętności i wartości poprzez partnerstwa i sojusze na rzecz aktywności obywatelskiej i produktywnych, odpornych społeczeństw sprzyjających włączeniu społecznemu;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wspieranie globalnych działań ukierunkowanych na zmniejszenie wszystkich wymiarów nierówności takich jak różnice między dziewczętami/kobietami a chłopcami/mężczyznami w celu zapewnienia wszystkim równych szans na uczestniczenie w życiu gospodarczym i społecznym.</w:t>
      </w:r>
    </w:p>
    <w:p>
      <w:pPr>
        <w:spacing w:before="0" w:after="0"/>
        <w:rPr>
          <w:rFonts w:eastAsia="Times New Roman"/>
          <w:noProof/>
          <w:szCs w:val="24"/>
        </w:rPr>
      </w:pPr>
    </w:p>
    <w:p>
      <w:pPr>
        <w:pStyle w:val="NumPar1"/>
        <w:rPr>
          <w:b/>
          <w:noProof/>
        </w:rPr>
      </w:pPr>
      <w:r>
        <w:rPr>
          <w:b/>
          <w:noProof/>
        </w:rPr>
        <w:t>Kobiety i dzieci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kierowanie ogólnoświatowymi staraniami, partnerstwami i sojuszami oraz wspieranie ich w celu wyeliminowania wszystkich form przemocy wobec kobiet i dzieci; dotyczy to przemocy fizycznej, psychologicznej, seksualnej, gospodarczej i przyjmującej inne formy oraz dyskryminacji, w tym wykluczenia kobiet występującego w różnych obszarach ich życia prywatnego i publicznego;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promowanie nowych inicjatyw w celu stworzenia silniejszych systemów ochrony dziecka w państwach trzecich, zapewniając dzieciom ochronę we wszystkich obszarach przed przemocą, nadużyciami i zaniedbaniem, w tym przez promowanie przejścia od instytucjonalnych do lokalnych form opieki nad dziećmi.</w:t>
      </w:r>
    </w:p>
    <w:p>
      <w:pPr>
        <w:spacing w:before="0" w:after="0"/>
        <w:rPr>
          <w:noProof/>
          <w:szCs w:val="24"/>
        </w:rPr>
      </w:pPr>
    </w:p>
    <w:p>
      <w:pPr>
        <w:pStyle w:val="NumPar1"/>
        <w:rPr>
          <w:b/>
          <w:noProof/>
        </w:rPr>
      </w:pPr>
      <w:r>
        <w:rPr>
          <w:b/>
          <w:noProof/>
        </w:rPr>
        <w:t>Migracja i przymusowe wysiedlenia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zapewnienie dalszego przywództwa UE w kształtowaniu globalnej agendy na rzecz zarządzania migracją i przymusowymi wysiedleniami we wszystkich jej wymiarach;</w:t>
      </w:r>
    </w:p>
    <w:p>
      <w:pPr>
        <w:pStyle w:val="Point0"/>
        <w:rPr>
          <w:noProof/>
          <w:szCs w:val="24"/>
        </w:rPr>
      </w:pPr>
      <w:r>
        <w:rPr>
          <w:noProof/>
        </w:rPr>
        <w:t>b)</w:t>
      </w:r>
      <w:r>
        <w:rPr>
          <w:noProof/>
        </w:rPr>
        <w:tab/>
        <w:t>kierowanie globalnymi i międzyregionalnymi dialogami politycznymi oraz wspieranie ich, wliczając w to wymianę poglądów i współpracę w zakresie migracji i przymusowych wysiedleń;</w:t>
      </w:r>
    </w:p>
    <w:p>
      <w:pPr>
        <w:pStyle w:val="Point0"/>
        <w:rPr>
          <w:noProof/>
          <w:szCs w:val="24"/>
        </w:rPr>
      </w:pPr>
      <w:r>
        <w:rPr>
          <w:noProof/>
        </w:rPr>
        <w:t>c)</w:t>
      </w:r>
      <w:r>
        <w:rPr>
          <w:noProof/>
        </w:rPr>
        <w:tab/>
        <w:t>wspieranie realizacji międzynarodowych i unijnych zobowiązań w zakresie migracji i przymusowych wysiedleń, także w ramach działań następczych wynikających z globalnego porozumienia w sprawie migracji oraz globalnego porozumienia w sprawie uchodźców;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usprawnienie globalnej bazy dowodowej, w tym w kwestii związku między migracją a rozwojem, oraz podjęcie działań pilotażowych ukierunkowanych na rozwój innowacyjnych podejść operacyjnych w dziedzinie migracji i przymusowych wysiedleń.</w:t>
      </w:r>
    </w:p>
    <w:p>
      <w:pPr>
        <w:pStyle w:val="NumPar1"/>
        <w:rPr>
          <w:b/>
          <w:noProof/>
        </w:rPr>
      </w:pPr>
      <w:r>
        <w:rPr>
          <w:b/>
          <w:noProof/>
        </w:rPr>
        <w:t xml:space="preserve">Godna praca, ochrona socjalna i nierówność 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kształtowanie globalnej agendy i inicjatyw wsparcia na rzecz integracji silnego filaru równości i sprawiedliwości społecznej zgodnie z europejskimi wartościami;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współudział w globalnej agendzie na rzecz godnej pracy, zwłaszcza w globalnych łańcuchach wartości, oraz zwiększenie wiedzy na temat skutecznych polityk zatrudnienia, które będą stanowić odpowiedź na potrzeby rynku pracy, w tym VET i uczenia się przez całe życie;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wspieranie globalnych inicjatyw na rzecz powszechnej ochrony socjalnej, zgodnych z zasadami efektywności, zrównoważonego rozwoju i równości; w tym wsparcie na rzecz rozwiązania kwestii nierówności i zapewnienia spójności społecznej;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kontynuowanie globalnych badań i rozwoju poprzez innowacje społeczne zwiększające włączenie społeczne i odpowiadające na potrzeby najsłabszych grup społeczeństwa.</w:t>
      </w:r>
    </w:p>
    <w:p>
      <w:pPr>
        <w:spacing w:before="0" w:after="0"/>
        <w:ind w:left="240"/>
        <w:rPr>
          <w:noProof/>
          <w:szCs w:val="24"/>
        </w:rPr>
      </w:pPr>
    </w:p>
    <w:p>
      <w:pPr>
        <w:pStyle w:val="NumPar1"/>
        <w:rPr>
          <w:b/>
          <w:noProof/>
        </w:rPr>
      </w:pPr>
      <w:r>
        <w:rPr>
          <w:b/>
          <w:noProof/>
        </w:rPr>
        <w:t>Kultura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promowanie inicjatyw na rzecz różnorodności kulturowej i dialogu międzykulturowego w pokojowych stosunkach między społecznościami;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wspieranie kultury jako siły napędowej zrównoważonego rozwoju społecznego i gospodarczego oraz zacieśnianie współpracy w zakresie dziedzictwa kulturowego.</w:t>
      </w:r>
    </w:p>
    <w:p>
      <w:pPr>
        <w:spacing w:before="0" w:after="0"/>
        <w:ind w:left="240"/>
        <w:contextualSpacing/>
        <w:rPr>
          <w:noProof/>
          <w:szCs w:val="24"/>
        </w:rPr>
      </w:pPr>
    </w:p>
    <w:p>
      <w:pPr>
        <w:pStyle w:val="ManualHeading3"/>
        <w:rPr>
          <w:b/>
          <w:noProof/>
        </w:rPr>
      </w:pPr>
      <w:r>
        <w:rPr>
          <w:b/>
          <w:noProof/>
        </w:rPr>
        <w:t xml:space="preserve">B. </w:t>
      </w:r>
      <w:r>
        <w:rPr>
          <w:noProof/>
        </w:rPr>
        <w:tab/>
      </w:r>
      <w:r>
        <w:rPr>
          <w:b/>
          <w:noProof/>
        </w:rPr>
        <w:t>PLANETA</w:t>
      </w:r>
    </w:p>
    <w:p>
      <w:pPr>
        <w:pStyle w:val="ManualNumPar1"/>
        <w:rPr>
          <w:b/>
          <w:noProof/>
        </w:rPr>
      </w:pPr>
      <w:r>
        <w:rPr>
          <w:b/>
          <w:noProof/>
        </w:rPr>
        <w:t>1.</w:t>
      </w:r>
      <w:r>
        <w:rPr>
          <w:noProof/>
        </w:rPr>
        <w:tab/>
      </w:r>
      <w:r>
        <w:rPr>
          <w:b/>
          <w:noProof/>
        </w:rPr>
        <w:t>Zapewnienie zdrowego środowiska i przeciwdziałanie zmianie klimatu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usprawnienie globalnego zarządzania klimatem i środowiskiem, wdrożenie porozumienia paryskiego, konwencji z Rio i innych wielostronnych umów środowiskowych;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przyczynianie się do zewnętrznego oddziaływania unijnych polityk dotyczących środowiska i zmiany klimatu;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integracja celów dotyczących środowiska, zmiany klimatu i ograniczania ryzyka związanego z klęskami żywiołowymi w politykach, planach i inwestycjach, w tym przez poprawę informacji i stanu wiedzy;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realizacja międzynarodowych i unijnych inicjatyw w celu promowania przystosowania się do zmiany klimatu i łagodzenia jej oraz niskoemisyjnego rozwoju odpornego na zmianę klimatu, w tym przez wdrożenie ustalonych na poziomie krajowym wkładów oraz strategii rozwoju niskoemisyjnego na rzecz osiągania odporności na zmianę klimatu, promowanie zmniejszania ryzyka związanego z klęskami żywiołowymi, podjęcie kwestii degradacji środowiska i powstrzymanie procesu utraty różnorodności biologicznej, promowanie ochrony ekosystemów lądowych i morskich oraz odnawialnych zasobów naturalnych, wliczając w to grunty, wody, oceany, zasoby rybne i lasy, zrównoważonego ich użytkowania i gospodarowania nimi, podjęcie kwestii wylesiania, nielegalnego pozyskiwania drewna i nielegalnego handlu dziką fauną i florą, zwalczanie zanieczyszczenia i zapewnienie zdrowego środowiska, podjęcie kwestii pojawiających się nowych problemów związanych z klimatem i środowiskiem, promowanie zasobooszczędności, zrównoważonej konsumpcji i produkcji oraz wsparcie dla przejścia na niskoemisyjne i odporne na zmianę klimatu gospodarki zielone i o obiegu zamkniętym.</w:t>
      </w:r>
    </w:p>
    <w:p>
      <w:pPr>
        <w:spacing w:before="0" w:after="0"/>
        <w:ind w:left="360"/>
        <w:contextualSpacing/>
        <w:rPr>
          <w:noProof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>2.</w:t>
      </w:r>
      <w:r>
        <w:rPr>
          <w:noProof/>
        </w:rPr>
        <w:tab/>
      </w:r>
      <w:r>
        <w:rPr>
          <w:b/>
          <w:noProof/>
        </w:rPr>
        <w:t>Zrównoważona energia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wspieranie globalnych starań, zobowiązań, partnerstw i sojuszy, w tym przejścia na zrównoważoną energię;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zachęcanie rządów partnerskich do przyjęcia polityki sektora energetycznego oraz reform rynkowych, aby stworzyć środowisko sprzyjające inwestycjom zwiększającym dostęp do przystępnych cenowo, nowoczesnych, niezawodnych i zrównoważonych usług energetycznych, kładąc szczególny nacisk na energię ze źródeł odnawialnych i efektywność energetyczną;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badanie, identyfikowanie, włączenie w główny globalny nurt i wsparcie finansowe zrównoważonych modeli biznesu o potencjale do skalowalności i powielania, zapewniających innowacyjne i cyfrowe technologie dzięki innowacyjnym badaniom prowadzącym do wyższej wydajności, szczególnie w odniesieniu do zdecentralizowanych podejść gwarantujących dostęp do energii elektrycznej, przez energię ze źródeł odnawialnych, w tym w obszarach z rynkami lokalnymi o ograniczonej pojemności.</w:t>
      </w:r>
    </w:p>
    <w:p>
      <w:pPr>
        <w:pStyle w:val="ManualNumPar1"/>
        <w:rPr>
          <w:noProof/>
        </w:rPr>
      </w:pPr>
    </w:p>
    <w:p>
      <w:pPr>
        <w:pStyle w:val="ManualHeading3"/>
        <w:rPr>
          <w:b/>
          <w:noProof/>
        </w:rPr>
      </w:pPr>
      <w:r>
        <w:rPr>
          <w:b/>
          <w:noProof/>
        </w:rPr>
        <w:t xml:space="preserve">C. </w:t>
      </w:r>
      <w:r>
        <w:rPr>
          <w:noProof/>
        </w:rPr>
        <w:tab/>
      </w:r>
      <w:r>
        <w:rPr>
          <w:b/>
          <w:noProof/>
        </w:rPr>
        <w:t>DOBROBYT</w:t>
      </w:r>
    </w:p>
    <w:p>
      <w:pPr>
        <w:autoSpaceDE w:val="0"/>
        <w:autoSpaceDN w:val="0"/>
        <w:adjustRightInd w:val="0"/>
        <w:spacing w:before="0" w:after="0"/>
        <w:rPr>
          <w:b/>
          <w:noProof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>1.</w:t>
      </w:r>
      <w:r>
        <w:rPr>
          <w:noProof/>
        </w:rPr>
        <w:tab/>
      </w:r>
      <w:r>
        <w:rPr>
          <w:b/>
          <w:noProof/>
        </w:rPr>
        <w:t>Zrównoważony wzrost sprzyjający włączeniu społecznemu, godziwe miejsca pracy i zaangażowanie sektora prywatnego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promowanie zrównoważonych inwestycji sektora prywatnego za pomocą innowacyjnych mechanizmów finansowania i podziału ryzyka;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poprawa otoczenia biznesu i klimatu inwestycyjnego, wspieranie rozszerzonego dialogu publiczno-prywatnego i budowanie potencjału mikroprzedsiębiorstw oraz małych i średnich przedsiębiorstw;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wspieranie unijnej polityki handlowej i umów handlowych oraz ich realizacji; oraz poprawa dostępu unijnych przedsiębiorstw do rynków państw trzecich oraz zwiększenie wymiany handlowej, inwestycji i możliwości biznesowych, przy jednoczesnym usuwaniu przeszkód utrudniających dostęp do rynku i inwestycji;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promowanie skutecznej kombinacji polityki fiskalnej i pieniężnej wspierającej zróżnicowanie gospodarcze, wartość dodaną i integrację regionalną oraz zrównoważoną zieloną i niebieską gospodarkę;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ułatwianie dostępu do technologii cyfrowych, w tym promowanie dostępu do finansowania i włączenia społecznego pod względem finansowym;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>promowanie zrównoważonej konsumpcji i produkcji oraz innowacyjnych technologii i praktyk na rzecz niskoemisyjnej, zasobooszczędnej gospodarki o obiegu zamkniętym.</w:t>
      </w:r>
    </w:p>
    <w:p>
      <w:pPr>
        <w:spacing w:before="0" w:after="0"/>
        <w:ind w:left="360"/>
        <w:rPr>
          <w:noProof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>2.</w:t>
      </w:r>
      <w:r>
        <w:rPr>
          <w:noProof/>
        </w:rPr>
        <w:tab/>
      </w:r>
      <w:r>
        <w:rPr>
          <w:b/>
          <w:noProof/>
        </w:rPr>
        <w:t>Bezpieczeństwo żywnościowe i żywieniowe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wspieranie międzynarodowych strategii, organizacji, mechanizmów i podmiotów rozpowszechniających główne, globalne kwestie polityczne oraz ramy dotyczące bezpieczeństwa żywnościowego i bezpiecznej diety, a także oddziaływanie na te strategie, organizacje, mechanizmy i podmioty;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poprawa globalnych dóbr publicznych w celu wyeliminowania głodu i niedożywienia; narzędzia takie jak Globalna Sieć ds. Kryzysów Żywnościowych zwiększają zdolność do odpowiedniej reakcji na kryzysy żywnościowe oraz w odniesieniu do odżywiania w kontekście związku między kwestiami humanitarnymi, rozwojem i pokojem (stąd pomoc przy mobilizacji zasobów filaru 3);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potwierdzenie na szczeblu globalnym centralnej roli zrównoważonego rolnictwa, rybołówstwa i akwakultury na rzecz zwiększenia bezpieczeństwa żywnościowego, eliminacji ubóstwa, tworzenia miejsc pracy, łagodzenia zmiany klimatu i dostosowania się do niej, odporności i zdrowych ekosystemów;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zapewnianie innowacji dzięki międzynarodowym badaniom oraz zwiększenie globalnej wiedzy, w tym wiedzy fachowej, dotyczącej w szczególności dostosowania się do zmiany klimatu i jej łagodzenia, agro-bioróżnorodności, globalnych łańcuchów wartości sprzyjających włączeniu społecznemu, bezpieczeństwa żywności, odpowiedzialnego inwestowania, zarządzania gruntami i własności zasobów naturalnych.</w:t>
      </w:r>
    </w:p>
    <w:p>
      <w:pPr>
        <w:autoSpaceDE w:val="0"/>
        <w:autoSpaceDN w:val="0"/>
        <w:adjustRightInd w:val="0"/>
        <w:spacing w:before="0" w:after="0"/>
        <w:ind w:left="960"/>
        <w:rPr>
          <w:noProof/>
          <w:color w:val="000000"/>
          <w:szCs w:val="24"/>
        </w:rPr>
      </w:pPr>
    </w:p>
    <w:p>
      <w:pPr>
        <w:pStyle w:val="ManualHeading3"/>
        <w:rPr>
          <w:b/>
          <w:noProof/>
        </w:rPr>
      </w:pPr>
      <w:r>
        <w:rPr>
          <w:b/>
          <w:noProof/>
        </w:rPr>
        <w:t xml:space="preserve">D. </w:t>
      </w:r>
      <w:r>
        <w:rPr>
          <w:noProof/>
        </w:rPr>
        <w:tab/>
      </w:r>
      <w:r>
        <w:rPr>
          <w:b/>
          <w:noProof/>
        </w:rPr>
        <w:t>PARTNERSTWA</w:t>
      </w:r>
    </w:p>
    <w:p>
      <w:pPr>
        <w:pStyle w:val="ManualNumPar1"/>
        <w:rPr>
          <w:b/>
          <w:noProof/>
        </w:rPr>
      </w:pPr>
      <w:r>
        <w:rPr>
          <w:b/>
          <w:noProof/>
        </w:rPr>
        <w:t>1.</w:t>
      </w:r>
      <w:r>
        <w:rPr>
          <w:noProof/>
        </w:rPr>
        <w:tab/>
      </w:r>
      <w:r>
        <w:rPr>
          <w:b/>
          <w:noProof/>
        </w:rPr>
        <w:t>Wzmocnienie roli samorządów terytorialnych jako podmiotów zaangażowanych w rozwój przez:</w:t>
      </w:r>
    </w:p>
    <w:p>
      <w:pPr>
        <w:pStyle w:val="Point0"/>
        <w:rPr>
          <w:bCs/>
          <w:noProof/>
        </w:rPr>
      </w:pPr>
      <w:r>
        <w:rPr>
          <w:noProof/>
        </w:rPr>
        <w:t>a)</w:t>
      </w:r>
      <w:r>
        <w:rPr>
          <w:noProof/>
        </w:rPr>
        <w:tab/>
        <w:t>zwiększenie potencjału sieci, platform i sojuszy europejskich i południowych samorządów terytorialnych, aby zapewnić merytoryczny i ciągły dialog polityczny na temat rozwoju oraz promować demokratyczne rządy, zwłaszcza przez podejście terytorialne w zakresie rozwoju lokalnego;</w:t>
      </w:r>
    </w:p>
    <w:p>
      <w:pPr>
        <w:pStyle w:val="Point0"/>
        <w:rPr>
          <w:bCs/>
          <w:noProof/>
        </w:rPr>
      </w:pPr>
      <w:r>
        <w:rPr>
          <w:noProof/>
        </w:rPr>
        <w:t>b)</w:t>
      </w:r>
      <w:r>
        <w:rPr>
          <w:noProof/>
        </w:rPr>
        <w:tab/>
        <w:t>zwiększenie liczby interakcji z obywatelami Unii w związku z kwestiami dotyczącymi rozwoju (podnoszenie świadomości, dzielenie się wiedzą, zaangażowanie), szczególnie w związku z powiązanymi celami zrównoważonego rozwoju, w tym w Unii, krajach kandydujących i potencjalnych krajach kandydujących.</w:t>
      </w:r>
    </w:p>
    <w:p>
      <w:pPr>
        <w:spacing w:before="0" w:after="0"/>
        <w:ind w:left="360"/>
        <w:contextualSpacing/>
        <w:rPr>
          <w:b/>
          <w:bCs/>
          <w:noProof/>
          <w:szCs w:val="24"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>2.</w:t>
      </w:r>
      <w:r>
        <w:rPr>
          <w:noProof/>
        </w:rPr>
        <w:tab/>
      </w:r>
      <w:r>
        <w:rPr>
          <w:b/>
          <w:noProof/>
        </w:rPr>
        <w:t>Promowanie społeczeństw integracyjnych, dobrego zarządzania gospodarką, w tym sprawiedliwej mobilizacji dochodów krajowych sprzyjającej włączeniu społecznemu, przejrzystego zarządzania finansami publicznymi oraz skutecznych wydatków publicznych sprzyjających włączeniu społecznemu.</w:t>
      </w:r>
    </w:p>
    <w:p>
      <w:pPr>
        <w:rPr>
          <w:noProof/>
        </w:rPr>
      </w:pP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ZAŁĄCZNIK IV</w:t>
      </w:r>
      <w:r>
        <w:rPr>
          <w:noProof/>
        </w:rPr>
        <w:br/>
        <w:t>OBSZARY INTERWENCJI W RAMACH DZIAŁAŃ SZYBKIEGO REAGOWANIA</w:t>
      </w:r>
    </w:p>
    <w:p>
      <w:pPr>
        <w:spacing w:before="0" w:after="0"/>
        <w:rPr>
          <w:noProof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1. </w:t>
      </w:r>
      <w:r>
        <w:rPr>
          <w:noProof/>
        </w:rPr>
        <w:tab/>
      </w:r>
      <w:r>
        <w:rPr>
          <w:b/>
          <w:noProof/>
        </w:rPr>
        <w:t>Działania przyczyniające się do przywrócenia stabilności i zapobiegania konfliktom w sytuacjach nagłych, początku kryzysu, kryzysowych i pokryzysowych</w:t>
      </w:r>
    </w:p>
    <w:p>
      <w:pPr>
        <w:jc w:val="left"/>
        <w:rPr>
          <w:noProof/>
        </w:rPr>
      </w:pPr>
      <w:r>
        <w:rPr>
          <w:noProof/>
        </w:rPr>
        <w:t>Działania szybkiego reagowania, o których mowa w art. 4 ust. </w:t>
      </w:r>
      <w:r>
        <w:rPr>
          <w:noProof/>
          <w:color w:val="0000FF"/>
        </w:rPr>
        <w:t>4</w:t>
      </w:r>
      <w:r>
        <w:rPr>
          <w:noProof/>
        </w:rPr>
        <w:t xml:space="preserve"> </w:t>
      </w:r>
      <w:r>
        <w:rPr>
          <w:noProof/>
          <w:color w:val="000000" w:themeColor="text1"/>
        </w:rPr>
        <w:t>lit. a), mają służyć</w:t>
      </w:r>
      <w:r>
        <w:rPr>
          <w:noProof/>
        </w:rPr>
        <w:t xml:space="preserve"> skutecznej reakcji Unii</w:t>
      </w:r>
      <w:r>
        <w:rPr>
          <w:noProof/>
          <w:color w:val="000000"/>
        </w:rPr>
        <w:t xml:space="preserve"> </w:t>
      </w:r>
      <w:r>
        <w:rPr>
          <w:noProof/>
        </w:rPr>
        <w:t>na następujące wyjątkowe i nieprzewidziane sytuacje: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sytuacje nagłe, kryzysu, początku kryzysu lub katastrofy naturalne;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sytuacje stwarzające zagrożenie dla demokracji, porządku publicznego, ochrony praw człowieka i podstawowych wolności lub bezpieczeństwa ludzi — w szczególności osób narażonych na przemoc na tle płciowym w sytuacji niestabilności;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sytuacje mogące przeistoczyć się w konflikt zbrojny albo spowodować istotną destabilizację w danym państwie trzecim lub państwach trzecich.</w:t>
      </w:r>
    </w:p>
    <w:p>
      <w:pPr>
        <w:ind w:left="850"/>
        <w:rPr>
          <w:noProof/>
        </w:rPr>
      </w:pPr>
    </w:p>
    <w:p>
      <w:pPr>
        <w:pStyle w:val="ManualNumPar1"/>
        <w:rPr>
          <w:b/>
          <w:noProof/>
        </w:rPr>
      </w:pPr>
      <w:r>
        <w:rPr>
          <w:b/>
          <w:noProof/>
        </w:rPr>
        <w:t xml:space="preserve">2. </w:t>
      </w:r>
      <w:r>
        <w:rPr>
          <w:noProof/>
        </w:rPr>
        <w:tab/>
      </w:r>
      <w:r>
        <w:rPr>
          <w:b/>
          <w:noProof/>
        </w:rPr>
        <w:t xml:space="preserve">Działania przyczyniające się do wzmocnienia odporności i łączenia operacji humanitarnych z działaniami na rzecz rozwoju </w:t>
      </w:r>
    </w:p>
    <w:p>
      <w:pPr>
        <w:spacing w:after="240"/>
        <w:rPr>
          <w:noProof/>
          <w:szCs w:val="24"/>
        </w:rPr>
      </w:pPr>
      <w:r>
        <w:rPr>
          <w:noProof/>
        </w:rPr>
        <w:t>Działania szybkiego reagowania, o których mowa w </w:t>
      </w:r>
      <w:r>
        <w:rPr>
          <w:noProof/>
          <w:color w:val="000000" w:themeColor="text1"/>
        </w:rPr>
        <w:t xml:space="preserve">art. 4 ust. 4 lit. b), mają służyć skutecznemu wzmocnieniu </w:t>
      </w:r>
      <w:r>
        <w:rPr>
          <w:noProof/>
        </w:rPr>
        <w:t xml:space="preserve">odporności i łączeniu operacji humanitarnych z działaniami na rzecz rozwoju, które nie mogą zostać szybko podjęte za pośrednictwem programów geograficznych i tematycznych. </w:t>
      </w:r>
    </w:p>
    <w:p>
      <w:pPr>
        <w:spacing w:after="24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Do działań tych zalicza się m.in.: </w:t>
      </w:r>
    </w:p>
    <w:p>
      <w:pPr>
        <w:pStyle w:val="Point0"/>
        <w:rPr>
          <w:noProof/>
          <w:color w:val="000000"/>
        </w:rPr>
      </w:pPr>
      <w:r>
        <w:rPr>
          <w:noProof/>
        </w:rPr>
        <w:t>a)</w:t>
      </w:r>
      <w:r>
        <w:rPr>
          <w:noProof/>
        </w:rPr>
        <w:tab/>
        <w:t>wzmocnienie odporności przez wspieranie osób fizycznych, społeczności, instytucji i państw w celu zapewnienia lepszego przygotowania się na trudności i kryzysy</w:t>
      </w:r>
      <w:r>
        <w:rPr>
          <w:noProof/>
          <w:color w:val="000000"/>
        </w:rPr>
        <w:t xml:space="preserve"> </w:t>
      </w:r>
      <w:r>
        <w:rPr>
          <w:noProof/>
        </w:rPr>
        <w:t xml:space="preserve">polityczne, gospodarcze i społeczne, klęski żywiołowe lub katastrofy spowodowane przez człowieka, konflikty oraz globalne zagrożenia, przetrwania ich, dostosowania się do nich i umożliwienia szybkiego powrotu do normalności; w tym przez </w:t>
      </w:r>
      <w:r>
        <w:rPr>
          <w:noProof/>
          <w:color w:val="000000"/>
        </w:rPr>
        <w:t>zwiększenie zdolności państwa – w obliczu znacznych nacisków – do szybkiego budowania, utrzymania lub przywrócenia jego głównych funkcji oraz podstawowej spójności społecznej i politycznej, a także zdolności społeczeństw, społeczności i osób fizycznych do zarządzania możliwościami i ryzykiem w sposób pokojowy i stabilny oraz do stworzenia, utrzymania lub przywrócenia źródeł utrzymania w obliczu poważnych nacisków;</w:t>
      </w:r>
    </w:p>
    <w:p>
      <w:pPr>
        <w:pStyle w:val="Point0"/>
        <w:rPr>
          <w:noProof/>
          <w:color w:val="000000"/>
        </w:rPr>
      </w:pPr>
      <w:r>
        <w:rPr>
          <w:noProof/>
        </w:rPr>
        <w:t>b)</w:t>
      </w:r>
      <w:r>
        <w:rPr>
          <w:noProof/>
        </w:rPr>
        <w:tab/>
        <w:t>ograniczenie krótkoterminowych niekorzystnych skutków wstrząsów zewnętrznych prowadzących do niestabilności makroekonomicznej oraz ochrona reform społeczno-ekonomicznych i priorytetowych wydatków publicznych na rzecz rozwoju społeczno-ekonomicznego oraz ograniczania ubóstwa;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przeprowadzenie krótkoterminowej odbudowy i odnowy umożliwiającej ofiarom klęsk żywiołowych lub katastrof spowodowanych przez człowieka, konfliktów oraz globalnych zagrożeń korzystanie z minimalnego poziomu integracji społeczno-gospodarczej oraz jak najszybsze stworzenie warunków dla wznowienia rozwoju w oparciu o cele długoterminowe wyznaczone przez zainteresowane państwa i regiony; obejmuje to zaspokojenie pilnych i nagłych potrzeb wynikających z wysiedleń ludności (uchodźców, wysiedleńców, osób powracających) w następstwie klęsk żywiołowych lub katastrof spowodowanych przez człowieka; oraz 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udzielenie państwu lub regionowi pomocy w tworzeniu krótkoterminowych mechanizmów zapobiegania klęskom i przygotowania się do nich, w tym systemów przewidywania i wczesnego ostrzegania, w celu ograniczenia konsekwencji klęsk.</w:t>
      </w:r>
    </w:p>
    <w:p>
      <w:pPr>
        <w:pStyle w:val="ManualNumPar1"/>
        <w:rPr>
          <w:b/>
          <w:bCs/>
          <w:noProof/>
        </w:rPr>
      </w:pPr>
      <w:r>
        <w:rPr>
          <w:b/>
          <w:noProof/>
        </w:rPr>
        <w:t xml:space="preserve">3. </w:t>
      </w:r>
      <w:r>
        <w:rPr>
          <w:noProof/>
        </w:rPr>
        <w:tab/>
      </w:r>
      <w:r>
        <w:rPr>
          <w:b/>
          <w:noProof/>
        </w:rPr>
        <w:t>Działania ukierunkowane na potrzeby i priorytety polityki zagranicznej</w:t>
      </w:r>
    </w:p>
    <w:p>
      <w:pPr>
        <w:rPr>
          <w:noProof/>
        </w:rPr>
      </w:pPr>
      <w:r>
        <w:rPr>
          <w:noProof/>
        </w:rPr>
        <w:t xml:space="preserve">Działania szybkiego reagowania ukierunkowane na wspieranie celów określonych w art. 4 ust. 4 lit. c) wspierają politykę zagraniczną Unii w kwestiach politycznych, gospodarczych i bezpieczeństwa. Umożliwiają one Unii interweniowanie w przypadku pilnych i nadrzędnych interesów w dziedzinie polityki zagranicznej lub gdy istnieje możliwość osiągnięcia jej celów wymagających szybkiej reakcji oraz gdy są one trudne do zrealizowania za pomocą innych środków. </w:t>
      </w:r>
    </w:p>
    <w:p>
      <w:pPr>
        <w:rPr>
          <w:noProof/>
        </w:rPr>
      </w:pPr>
      <w:r>
        <w:rPr>
          <w:noProof/>
        </w:rPr>
        <w:t>Do działań tych zalicza się m.in.: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wspieranie unijnych strategii partnerstwa na rzecz współpracy dwustronnej, regionalnej i międzyregionalnej, promowanie dialogu politycznego i opracowanie wspólnego podejścia do wyzwań globalnych, w tym kwestii związanych z migracją i bezpieczeństwem, oraz reakcji na nie, a także wykorzystywanie możliwości w tym zakresie;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wspieranie unijnej polityki handlowej i umów handlowych oraz ich realizacji; oraz poprawę dostępu unijnych przedsiębiorstw, zwłaszcza małych i średnich przedsiębiorstw, do rynków krajów partnerskich i zwiększenie wymiany handlowej, inwestycji i możliwości biznesowych przy jednoczesnym usuwaniu przeszkód utrudniających dostęp do rynku i inwestycji, poprzez dyplomację gospodarczą oraz współpracę biznesową i regulacyjną;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udział we wdrażaniu międzynarodowego wymiaru unijnych polityk wewnętrznych w dziedzinach takich jak środowisko, zmiana klimatu, energia elektryczna oraz współpraca w zakresie zarządzania oceanami;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promowanie powszechnej wiedzy na temat Unii oraz eksponowanie Unii i roli, jaką odgrywa na arenie międzynarodowej za pomocą komunikacji strategicznej, dyplomacji publicznej, kontaktów międzyludzkich, dyplomacji kulturalnej, współpracy w kwestiach edukacyjnych i akademickich oraz działań informacyjnych propagujących unijne wartości i interesy.</w:t>
      </w:r>
    </w:p>
    <w:p>
      <w:pPr>
        <w:rPr>
          <w:noProof/>
          <w:color w:val="000000"/>
          <w:szCs w:val="24"/>
        </w:rPr>
      </w:pPr>
      <w:r>
        <w:rPr>
          <w:noProof/>
        </w:rPr>
        <w:t>Działania te pozwalają wdrażać innowacyjne polityki i inicjatywy, odpowiadające obecnym lub zmieniającym się potrzebom, możliwościom i priorytetom krótko- i średnioterminowym, w tym z ewentualnym zapewnieniem informacji na potrzeby przyszłej działalności w ramach programów geograficznych lub tematycznych. Skupiają się one na pogłębieniu unijnych relacji i dialogu oraz tworzeniu partnerstw i sojuszy z najważniejszymi państwami o znaczeniu strategicznym, w szczególności z krajami o gospodarkach wschodzących i o średnich dochodach, które odgrywają coraz ważniejszą rolę w sprawach światowych, globalnym ładzie, polityce zagranicznej, gospodarce międzynarodowej oraz na forach wielostronnych.</w:t>
      </w:r>
    </w:p>
    <w:p>
      <w:pPr>
        <w:rPr>
          <w:noProof/>
        </w:rPr>
      </w:pP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ZAŁĄCZNIK V</w:t>
      </w:r>
      <w:r>
        <w:rPr>
          <w:noProof/>
        </w:rPr>
        <w:br/>
        <w:t>OBSZARY PRIORYTETOWE OPERACJI W RAMACH EFZR+ OBJĘTE GWARANCJĄ DLA DZIAŁAŃ ZEWNĘTRZNYCH</w:t>
      </w:r>
    </w:p>
    <w:p>
      <w:pPr>
        <w:autoSpaceDE w:val="0"/>
        <w:autoSpaceDN w:val="0"/>
        <w:adjustRightInd w:val="0"/>
        <w:spacing w:before="60" w:after="60"/>
        <w:ind w:hanging="11"/>
        <w:rPr>
          <w:rFonts w:eastAsia="Times New Roman"/>
          <w:noProof/>
          <w:color w:val="000000"/>
          <w:szCs w:val="19"/>
        </w:rPr>
      </w:pPr>
      <w:r>
        <w:rPr>
          <w:noProof/>
          <w:color w:val="000000"/>
        </w:rPr>
        <w:t>Operacje EFSD+ kwalifikujące się do wsparcia w ramach gwarancji dla działań zewnętrznych są ukierunkowane przede wszystkim na następujące obszary priorytetowe:</w:t>
      </w:r>
    </w:p>
    <w:p>
      <w:pPr>
        <w:autoSpaceDE w:val="0"/>
        <w:autoSpaceDN w:val="0"/>
        <w:adjustRightInd w:val="0"/>
        <w:spacing w:before="60" w:after="60"/>
        <w:ind w:left="720" w:hanging="720"/>
        <w:rPr>
          <w:rFonts w:eastAsia="Times New Roman"/>
          <w:noProof/>
          <w:color w:val="000000"/>
          <w:szCs w:val="19"/>
        </w:rPr>
      </w:pP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zapewnienie finansowania i wsparcia na rzecz rozwoju sektora prywatnego i spółdzielczego zgodnie z warunkami określonymi w art. 209 ust. 2 [rozporządzenia finansowego], ze szczególnym uwzględnieniem lokalnych przedsiębiorstw, mikroprzedsiębiorstw oraz małych i średnich przedsiębiorstw oraz promowania tworzenia godziwych miejsc pracy i wkładu europejskich przedsiębiorstw w cele EFZR+;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zlikwidowanie wąskich gardeł w inwestycjach prywatnych przez zapewnienie instrumentów finansowych, które mogą być denominowane w walucie lokalnej danego kraju partnerskiego, w tym zapewnienie gwarancji z tytułu pierwszej straty w przypadku portfeli, gwarancji udzielanych na potrzeby realizacji projektów sektora prywatnego, takich jak gwarancje kredytowe dla małych i średnich przedsiębiorstw, oraz gwarancji z tytułu szczególnego ryzyka dla projektów infrastrukturalnych i innego kapitału wysokiego ryzyka;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lewarowanie finansowania z sektora prywatnego, ze szczególnym naciskiem na mikroprzedsiębiorstwa oraz małe i średnie przedsiębiorstwa, dzięki zlikwidowaniu wąskich gardeł i przeszkód w inwestycjach;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wzmocnienie sektorów i obszarów społeczno-gospodarczych oraz powiązanej infrastruktury publicznej i prywatnej i zrównoważonej łączności, obejmującej energię pochodzącą ze źródeł odnawialnych i zrównoważoną, zarządzanie wodą i odpadami, transport, technologie informacyjno-komunikacyjne, a także środowisko, zrównoważone wykorzystanie zasobów naturalnych, zrównoważone rolnictwo i niebieską gospodarkę, infrastrukturę społeczną, zdrowie i kapitał ludzki w celu poprawy środowiska społeczno-gospodarczego;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przyczynianie się do działań w dziedzinie klimatu, ochrony środowiska i zarządzania środowiskiem;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>przyczynienie się – przez promowanie zrównoważonego rozwoju – do wyeliminowania pierwotnych przyczyn nieuregulowanej migracji, a także zwiększenia odporności społeczności tranzytowych i przyjmujących oraz wniesienia wkładu w trwałą reintegrację migrantów powracających do swoich krajów pochodzenia, z należytym uwzględnieniem wzmocnienia praworządności, dobrych rządów i praw człowieka.</w:t>
      </w:r>
    </w:p>
    <w:p>
      <w:pPr>
        <w:rPr>
          <w:noProof/>
        </w:rPr>
      </w:pP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ZAŁĄCZNIK VI</w:t>
      </w:r>
      <w:r>
        <w:rPr>
          <w:noProof/>
        </w:rPr>
        <w:br/>
        <w:t>ZARZĄDZANIE EFZR+</w:t>
      </w:r>
    </w:p>
    <w:p>
      <w:pPr>
        <w:pStyle w:val="ManualHeading2"/>
        <w:rPr>
          <w:noProof/>
        </w:rPr>
      </w:pPr>
      <w:r>
        <w:rPr>
          <w:noProof/>
        </w:rPr>
        <w:t xml:space="preserve">1. Struktura EFZR+ </w:t>
      </w:r>
    </w:p>
    <w:p>
      <w:pPr>
        <w:pStyle w:val="NumPar1"/>
        <w:numPr>
          <w:ilvl w:val="0"/>
          <w:numId w:val="11"/>
        </w:numPr>
        <w:rPr>
          <w:noProof/>
        </w:rPr>
      </w:pPr>
      <w:r>
        <w:rPr>
          <w:noProof/>
        </w:rPr>
        <w:t xml:space="preserve">EFZR+ składa się z regionalnych platform inwestycyjnych ustanowionych na podstawie metod pracy, procedur i struktur istniejących zewnętrznych instrumentów łączonych Unii, które mogą zespalać ich działania łączone i działania objęte gwarancją dla działań zewnętrznych w ramach EFZR+. </w:t>
      </w:r>
    </w:p>
    <w:p>
      <w:pPr>
        <w:pStyle w:val="NumPar1"/>
        <w:rPr>
          <w:noProof/>
        </w:rPr>
      </w:pPr>
      <w:r>
        <w:rPr>
          <w:noProof/>
        </w:rPr>
        <w:t xml:space="preserve">Za zarządzanie EFZR+ odpowiada Komisja. </w:t>
      </w:r>
    </w:p>
    <w:p>
      <w:pPr>
        <w:pStyle w:val="ManualHeading2"/>
        <w:rPr>
          <w:noProof/>
        </w:rPr>
      </w:pPr>
      <w:r>
        <w:rPr>
          <w:noProof/>
        </w:rPr>
        <w:t>2. Rada strategiczna EFZR+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Rada strategiczna doradza Komisji w sprawie zarządzania EFZR+, z wyjątkiem operacji w ramach polityki UE w zakresie rozszerzenia oraz finansowanych przez [IPA III], w przypadku których zapewnia się doradztwo rady strategicznej w ramach inwestycyjnych dla Bałkanów Zachodnich.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 xml:space="preserve">Rada strategiczna doradza Komisji w sprawie strategicznego ukierunkowania i strategicznych priorytetów w zakresie inwestycji objętych gwarancją dla działań zewnętrznych w ramach EFZR+ i przyczynia się do ich dostosowania do zasad przewodnich i celów unijnych działań zewnętrznych, polityki rozwoju i europejskiej polityki sąsiedztwa, a także do celów określonych w art. 3 niniejszego rozporządzenia i celu EFZR+ określonego w art. 26. Wspiera ona również Komisję w ustalaniu ogólnych celów inwestycyjnych dotyczących korzystania z gwarancji dla działań zewnętrznych na rzecz wspierania operacji EFZR+, a także monitoruje odpowiedni i zróżnicowany zakres geograficzny i tematyczny okien inwestycyjnych. </w:t>
      </w:r>
    </w:p>
    <w:p>
      <w:pPr>
        <w:pStyle w:val="ManualNumPar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Rada strategiczna wspiera również ogólną koordynację, komplementarność i spójność pomiędzy regionalnymi platformami inwestycyjnymi, pomiędzy trzema filarami Europejskiego planu inwestycji zewnętrznych, pomiędzy Europejskim planem inwestycji zewnętrznych a innymi działaniami Unii w dziedzinie migracji, oraz we wdrażaniu Agendy na rzecz zrównoważonego rozwoju 2030, jak również innych programów określonych w niniejszym rozporządzeniu.</w:t>
      </w:r>
    </w:p>
    <w:p>
      <w:pPr>
        <w:pStyle w:val="ManualNumPar1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 xml:space="preserve">W skład rady strategicznej wchodzą przedstawiciele Komisji i Wysokiego Przedstawiciela, wszystkich państw członkowskich i Europejskiego Banku Inwestycyjnego. Parlament Europejski ma status obserwatora. Uczestnicy, kwalifikujący się kontrahenci, kraje partnerskie, właściwe organizacje regionalne i inne zainteresowane strony mogą w razie potrzeby otrzymać status obserwatora. Przed włączeniem nowego obserwatora przeprowadza się konsultacje z radą strategiczną. Radzie strategicznej współprzewodniczy Komisja i Wysoki Przedstawiciel. </w:t>
      </w:r>
    </w:p>
    <w:p>
      <w:pPr>
        <w:pStyle w:val="ManualNumPar1"/>
        <w:rPr>
          <w:noProof/>
        </w:rPr>
      </w:pPr>
      <w:r>
        <w:rPr>
          <w:noProof/>
        </w:rPr>
        <w:t xml:space="preserve">5. </w:t>
      </w:r>
      <w:r>
        <w:rPr>
          <w:noProof/>
        </w:rPr>
        <w:tab/>
        <w:t xml:space="preserve">Rada strategiczna zbiera się co najmniej dwa razy w roku i w miarę możliwości przyjmuje opinie na zasadzie konsensusu. Dodatkowe posiedzenia mogą być organizowane w dowolnym momencie przez przewodniczącego lub na wniosek jednej trzeciej członków rady strategicznej. W przypadku niemożności osiągnięcia konsensusu mają zastosowanie prawa głosu zgodnie z ustaleniami poczynionymi na pierwszym posiedzeniu rady strategicznej i określonymi w jej regulaminie wewnętrznym. Te prawa głosu w należyty sposób uwzględniają źródło finansowania. Regulamin wewnętrzny określa ramy dotyczące roli obserwatorów. Protokoły i porządki posiedzeń rady strategicznej podaje się do wiadomości publicznej po ich przyjęciu. </w:t>
      </w:r>
    </w:p>
    <w:p>
      <w:pPr>
        <w:pStyle w:val="ManualNumPar1"/>
        <w:rPr>
          <w:noProof/>
        </w:rPr>
      </w:pPr>
      <w:r>
        <w:rPr>
          <w:noProof/>
        </w:rPr>
        <w:t xml:space="preserve">6. </w:t>
      </w:r>
      <w:r>
        <w:rPr>
          <w:noProof/>
        </w:rPr>
        <w:tab/>
        <w:t xml:space="preserve">Komisja co roku przedstawia radzie strategicznej sprawozdanie z postępów w zakresie wdrażania EFZR+. W celu uzupełnienia wskazanych powyżej sprawozdań rada strategiczna przewidziana w ramach inwestycyjnych dla Bałkanów Zachodnich przedstawi informacje na temat postępów we wdrożeniu instrumentu gwarancyjnego dla regionu objętego procesem rozszerzenia. Rada strategiczna przeprowadza regularne konsultacje ze stosownymi zainteresowanymi podmiotami w sprawie strategicznego ukierunkowania i wdrożenia EFZR+. </w:t>
      </w:r>
    </w:p>
    <w:p>
      <w:pPr>
        <w:pStyle w:val="ManualNumPar1"/>
        <w:rPr>
          <w:noProof/>
        </w:rPr>
      </w:pPr>
      <w:r>
        <w:rPr>
          <w:noProof/>
        </w:rPr>
        <w:t xml:space="preserve">7. </w:t>
      </w:r>
      <w:r>
        <w:rPr>
          <w:noProof/>
        </w:rPr>
        <w:tab/>
        <w:t>Istnienie dwóch rad strategicznych nie ma wpływu na potrzebę wprowadzenia pojedynczych, ujednoliconych ram zarządzania ryzykiem EFZR+.</w:t>
      </w:r>
    </w:p>
    <w:p>
      <w:pPr>
        <w:pStyle w:val="ManualHeading2"/>
        <w:rPr>
          <w:noProof/>
        </w:rPr>
      </w:pPr>
      <w:r>
        <w:rPr>
          <w:noProof/>
        </w:rPr>
        <w:t xml:space="preserve">3. Regionalne rady operacyjne </w:t>
      </w:r>
    </w:p>
    <w:p>
      <w:pPr>
        <w:spacing w:before="0" w:after="160" w:line="256" w:lineRule="auto"/>
        <w:rPr>
          <w:rFonts w:eastAsia="Calibri"/>
          <w:noProof/>
          <w:szCs w:val="24"/>
        </w:rPr>
      </w:pPr>
      <w:r>
        <w:rPr>
          <w:noProof/>
        </w:rPr>
        <w:t>Rady operacyjne regionalnych platform inwestycyjnych wspierają Komisję na poziomie wdrażania w definiowaniu regionalnych i sektorowych celów inwestycyjnych, a także regionalnych, sektorowych i tematycznych okien inwestycyjnych oraz formułują opinie dotyczące działań łączenia i korzystania z gwarancji dla działań zewnętrznych obejmującej operacje EFZR+.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t>ZAŁĄCZNIK VII</w:t>
      </w:r>
      <w:r>
        <w:rPr>
          <w:noProof/>
        </w:rPr>
        <w:br/>
        <w:t>WYKAZ KLUCZOWYCH WSKAŹNIKÓW REALIZACJI CELÓW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 xml:space="preserve">Zgodnie z celami zrównoważonego rozwoju poniższy wykaz kluczowych wskaźników pomaga w pomiarze wkładu Unii do realizacji jej określonych celów. </w:t>
      </w:r>
    </w:p>
    <w:p>
      <w:pPr>
        <w:spacing w:before="0" w:after="0"/>
        <w:rPr>
          <w:noProof/>
          <w:szCs w:val="24"/>
        </w:rPr>
      </w:pP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wynik praworządności 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 xml:space="preserve">odsetek ludności poniżej międzynarodowej granicy ubóstwa 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>liczba kobiet w wieku rozrodczym, nastolatek i dzieci poniżej 5. roku życia objętych programami żywieniowymi przy wsparciu UE;</w:t>
      </w:r>
    </w:p>
    <w:p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>liczba dzieci w wieku 1 roku, które otrzymały komplet szczepień przy wsparciu UE;</w:t>
      </w:r>
    </w:p>
    <w:p>
      <w:pPr>
        <w:pStyle w:val="Point0"/>
        <w:rPr>
          <w:noProof/>
        </w:rPr>
      </w:pPr>
      <w:r>
        <w:rPr>
          <w:noProof/>
        </w:rPr>
        <w:t>5)</w:t>
      </w:r>
      <w:r>
        <w:rPr>
          <w:noProof/>
        </w:rPr>
        <w:tab/>
        <w:t>liczba uczniów zapisanych do szkół podstawowych lub średnich oraz na szkolenia na poziomie podstawowym lub średnim przy wsparciu UE;</w:t>
      </w:r>
    </w:p>
    <w:p>
      <w:pPr>
        <w:pStyle w:val="Point0"/>
        <w:rPr>
          <w:noProof/>
        </w:rPr>
      </w:pPr>
      <w:r>
        <w:rPr>
          <w:noProof/>
        </w:rPr>
        <w:t>6)</w:t>
      </w:r>
      <w:r>
        <w:rPr>
          <w:noProof/>
        </w:rPr>
        <w:tab/>
        <w:t xml:space="preserve">zredukowane lub uniknięte emisje gazów cieplarnianych (kilotony ekwiwalentów CO2) przy wsparciu UE; </w:t>
      </w:r>
    </w:p>
    <w:p>
      <w:pPr>
        <w:pStyle w:val="Point0"/>
        <w:rPr>
          <w:noProof/>
        </w:rPr>
      </w:pPr>
      <w:r>
        <w:rPr>
          <w:noProof/>
        </w:rPr>
        <w:t>7)</w:t>
      </w:r>
      <w:r>
        <w:rPr>
          <w:noProof/>
        </w:rPr>
        <w:tab/>
        <w:t xml:space="preserve">tereny ekosystemów morskich, lądowych i słodkowodnych znajdujących się pod ochroną lub objętych zrównoważoną gospodarką przy wsparciu UE; </w:t>
      </w:r>
    </w:p>
    <w:p>
      <w:pPr>
        <w:pStyle w:val="Point0"/>
        <w:rPr>
          <w:noProof/>
        </w:rPr>
      </w:pPr>
      <w:r>
        <w:rPr>
          <w:noProof/>
        </w:rPr>
        <w:t>8)</w:t>
      </w:r>
      <w:r>
        <w:rPr>
          <w:noProof/>
        </w:rPr>
        <w:tab/>
        <w:t>pozyskiwanie inwestycji i osiągnięty efekt mnożnikowy;</w:t>
      </w:r>
    </w:p>
    <w:p>
      <w:pPr>
        <w:pStyle w:val="Point0"/>
        <w:rPr>
          <w:noProof/>
        </w:rPr>
      </w:pPr>
      <w:r>
        <w:rPr>
          <w:noProof/>
        </w:rPr>
        <w:t>9)</w:t>
      </w:r>
      <w:r>
        <w:rPr>
          <w:noProof/>
        </w:rPr>
        <w:tab/>
        <w:t xml:space="preserve">stabilność polityczna oraz brak wskaźnika przemocy; </w:t>
      </w:r>
    </w:p>
    <w:p>
      <w:pPr>
        <w:pStyle w:val="Point0"/>
        <w:rPr>
          <w:noProof/>
        </w:rPr>
      </w:pPr>
      <w:r>
        <w:rPr>
          <w:noProof/>
        </w:rPr>
        <w:t>10)</w:t>
      </w:r>
      <w:r>
        <w:rPr>
          <w:noProof/>
        </w:rPr>
        <w:tab/>
        <w:t>liczba procesów związanych z praktykami krajów partnerskich w zakresie handlu, inwestycji i działalności gospodarczej, lub promujących zewnętrzny wymiar polityk wewnętrznych UE, na które wywarto wpływ.</w:t>
      </w:r>
    </w:p>
    <w:p>
      <w:pPr>
        <w:rPr>
          <w:noProof/>
        </w:rPr>
      </w:pPr>
    </w:p>
    <w:p>
      <w:pPr>
        <w:rPr>
          <w:noProof/>
          <w:szCs w:val="24"/>
        </w:rPr>
      </w:pPr>
      <w:r>
        <w:rPr>
          <w:noProof/>
        </w:rPr>
        <w:t>W stosownych przypadkach wszystkie wskaźniki są dzielone według płci.</w:t>
      </w:r>
    </w:p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26CCE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6E8AE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012F2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2D039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45843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A8202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8E6AC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384F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22 13:55:2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FigNum" w:val="1"/>
    <w:docVar w:name="LW_ACCOMPAGNANT" w:val="do"/>
    <w:docVar w:name="LW_ACCOMPAGNANT.CP" w:val="do"/>
    <w:docVar w:name="LW_ANNEX_NBR_FIRST" w:val="1"/>
    <w:docVar w:name="LW_ANNEX_NBR_LAST" w:val="7"/>
    <w:docVar w:name="LW_ANNEX_UNIQUE" w:val="0"/>
    <w:docVar w:name="LW_CORRIGENDUM" w:val="&lt;UNUSED&gt;"/>
    <w:docVar w:name="LW_COVERPAGE_EXISTS" w:val="True"/>
    <w:docVar w:name="LW_COVERPAGE_GUID" w:val="FED97F13-B230-4B6B-A0E1-E85BA826B4B0"/>
    <w:docVar w:name="LW_COVERPAGE_TYPE" w:val="1"/>
    <w:docVar w:name="LW_CROSSREFERENCE" w:val="{SEC(2018) 310 final}_x000b_{SWD(2018) 337 final}"/>
    <w:docVar w:name="LW_DocType" w:val="ANNEX"/>
    <w:docVar w:name="LW_EMISSION" w:val="14.6.2018"/>
    <w:docVar w:name="LW_EMISSION_ISODATE" w:val="2018-06-14"/>
    <w:docVar w:name="LW_EMISSION_LOCATION" w:val="BRX"/>
    <w:docVar w:name="LW_EMISSION_PREFIX" w:val="Bruksela, dnia"/>
    <w:docVar w:name="LW_EMISSION_SUFFIX" w:val="&lt;EMPTY&gt;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ustanawiaj\u261?cego Instrument S\u261?siedztwa oraz Wspó\u322?pracy Mi\u281?dzynarodowej i Rozwojowej"/>
    <w:docVar w:name="LW_OBJETACTEPRINCIPAL.CP" w:val="ustanawiaj\u261?cego Instrument S\u261?siedztwa oraz Wspó\u322?pracy Mi\u281?dzynarodowej i Rozwojowej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46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I"/>
    <w:docVar w:name="LW_TYPE.DOC.CP" w:val="ZA\u321?\u260?CZNIKI"/>
    <w:docVar w:name="LW_TYPEACTEPRINCIPAL" w:val="ROZPORZ\u260?DZENIA PARLAMENTU EUROPEJSKIEGO I RADY"/>
    <w:docVar w:name="LW_TYPEACTEPRINCIPAL.CP" w:val="ROZPORZ\u260?DZENI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24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eastAsia="Times New Roman" w:hAnsi="Courier New" w:cs="Times New Roman"/>
      <w:sz w:val="20"/>
      <w:szCs w:val="20"/>
      <w:lang w:val="pl-P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24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eastAsia="Times New Roman" w:hAnsi="Courier New" w:cs="Times New Roman"/>
      <w:sz w:val="20"/>
      <w:szCs w:val="20"/>
      <w:lang w:val="pl-P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45b9894a-ecf7-4dd4-9cc5-745fa3b3ea70">Not Started</EC_Collab_Status>
    <_Status xmlns="http://schemas.microsoft.com/sharepoint/v3/fields">Not Started</_Status>
    <EC_Collab_Reference xmlns="45b9894a-ecf7-4dd4-9cc5-745fa3b3ea70" xsi:nil="true"/>
    <EC_Collab_DocumentLanguage xmlns="45b9894a-ecf7-4dd4-9cc5-745fa3b3ea70">EN</EC_Collab_DocumentLangu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D18B36006BF6F4D9DA3DBAF605CE05F" ma:contentTypeVersion="0" ma:contentTypeDescription="Create a new document in this library." ma:contentTypeScope="" ma:versionID="f431df583879937b6a63dcc3a6ccaee1">
  <xsd:schema xmlns:xsd="http://www.w3.org/2001/XMLSchema" xmlns:xs="http://www.w3.org/2001/XMLSchema" xmlns:p="http://schemas.microsoft.com/office/2006/metadata/properties" xmlns:ns2="http://schemas.microsoft.com/sharepoint/v3/fields" xmlns:ns3="45b9894a-ecf7-4dd4-9cc5-745fa3b3ea70" targetNamespace="http://schemas.microsoft.com/office/2006/metadata/properties" ma:root="true" ma:fieldsID="bb7b68ac137cd75a61246c2b653a2b6c" ns2:_="" ns3:_="">
    <xsd:import namespace="http://schemas.microsoft.com/sharepoint/v3/fields"/>
    <xsd:import namespace="45b9894a-ecf7-4dd4-9cc5-745fa3b3ea70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9894a-ecf7-4dd4-9cc5-745fa3b3ea70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E99C-F8A8-43CC-AE00-04E9A1593F8C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5b9894a-ecf7-4dd4-9cc5-745fa3b3ea70"/>
    <ds:schemaRef ds:uri="http://www.w3.org/XML/1998/namespace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0D6532-6AFB-4CEB-99C0-26F866AB8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5b9894a-ecf7-4dd4-9cc5-745fa3b3e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9D22B-139B-472F-9092-457F959DAF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46A8A9-13B9-441C-B4A8-FCA01F3C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24</Pages>
  <Words>6186</Words>
  <Characters>45533</Characters>
  <Application>Microsoft Office Word</Application>
  <DocSecurity>0</DocSecurity>
  <Lines>875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MAKIKOKKILA Susanna (DEVCO)</dc:creator>
  <cp:lastModifiedBy>DIGIT/A3</cp:lastModifiedBy>
  <cp:revision>10</cp:revision>
  <cp:lastPrinted>2018-06-07T16:52:00Z</cp:lastPrinted>
  <dcterms:created xsi:type="dcterms:W3CDTF">2018-06-18T13:18:00Z</dcterms:created>
  <dcterms:modified xsi:type="dcterms:W3CDTF">2018-06-22T11:55:00Z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7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0x010100258AA79CEB83498886A3A08681123250008D18B36006BF6F4D9DA3DBAF605CE05F</vt:lpwstr>
  </property>
  <property fmtid="{D5CDD505-2E9C-101B-9397-08002B2CF9AE}" pid="14" name="DQCStatus">
    <vt:lpwstr>Green (DQC version 03)</vt:lpwstr>
  </property>
</Properties>
</file>