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6970A17A-581A-4A04-9AC4-1D1AC092588A" style="width:450.75pt;height:490.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LIITE I</w:t>
      </w:r>
    </w:p>
    <w:p>
      <w:pPr>
        <w:widowControl w:val="0"/>
        <w:tabs>
          <w:tab w:val="right" w:pos="9600"/>
        </w:tabs>
        <w:suppressAutoHyphens/>
        <w:spacing w:before="0" w:after="240"/>
        <w:jc w:val="center"/>
        <w:rPr>
          <w:rFonts w:eastAsia="Times New Roman"/>
          <w:noProof/>
        </w:rPr>
      </w:pPr>
      <w:r>
        <w:rPr>
          <w:noProof/>
        </w:rPr>
        <w:t>A osa</w:t>
      </w:r>
    </w:p>
    <w:p>
      <w:pPr>
        <w:widowControl w:val="0"/>
        <w:tabs>
          <w:tab w:val="left" w:pos="-720"/>
          <w:tab w:val="center" w:pos="7344"/>
        </w:tabs>
        <w:suppressAutoHyphens/>
        <w:spacing w:before="0" w:after="240"/>
        <w:jc w:val="center"/>
        <w:rPr>
          <w:rFonts w:eastAsia="Times New Roman"/>
          <w:noProof/>
        </w:rPr>
      </w:pPr>
      <w:r>
        <w:rPr>
          <w:noProof/>
        </w:rPr>
        <w:t>Kumottu direktiivi ja sen muutos</w:t>
      </w:r>
      <w:r>
        <w:rPr>
          <w:noProof/>
        </w:rPr>
        <w:br/>
        <w:t>(15 artiklassa tarkoitetut)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628"/>
      </w:tblGrid>
      <w:tr>
        <w:trPr>
          <w:jc w:val="center"/>
        </w:trPr>
        <w:tc>
          <w:tcPr>
            <w:tcW w:w="4658" w:type="dxa"/>
          </w:tcPr>
          <w:p>
            <w:pPr>
              <w:widowControl w:val="0"/>
              <w:tabs>
                <w:tab w:val="right" w:pos="9600"/>
              </w:tabs>
              <w:suppressAutoHyphens/>
              <w:spacing w:before="0" w:after="240"/>
              <w:ind w:left="284" w:hanging="11"/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Euroopan parlamentin ja neuvoston direktiivi 2003/98/EY</w:t>
            </w:r>
          </w:p>
        </w:tc>
        <w:tc>
          <w:tcPr>
            <w:tcW w:w="4628" w:type="dxa"/>
          </w:tcPr>
          <w:p>
            <w:pPr>
              <w:widowControl w:val="0"/>
              <w:tabs>
                <w:tab w:val="right" w:pos="9600"/>
              </w:tabs>
              <w:suppressAutoHyphens/>
              <w:spacing w:before="0" w:after="240"/>
              <w:ind w:left="176"/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(EUVL L 345, 31.12.2003, s. 90)</w:t>
            </w:r>
          </w:p>
        </w:tc>
      </w:tr>
      <w:tr>
        <w:trPr>
          <w:jc w:val="center"/>
        </w:trPr>
        <w:tc>
          <w:tcPr>
            <w:tcW w:w="4658" w:type="dxa"/>
          </w:tcPr>
          <w:p>
            <w:pPr>
              <w:widowControl w:val="0"/>
              <w:tabs>
                <w:tab w:val="right" w:pos="9600"/>
              </w:tabs>
              <w:suppressAutoHyphens/>
              <w:spacing w:before="0" w:after="240"/>
              <w:ind w:left="284" w:hanging="11"/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Euroopan parlamentin ja neuvoston direktiivi 2013/37/EU</w:t>
            </w:r>
          </w:p>
        </w:tc>
        <w:tc>
          <w:tcPr>
            <w:tcW w:w="4628" w:type="dxa"/>
          </w:tcPr>
          <w:p>
            <w:pPr>
              <w:widowControl w:val="0"/>
              <w:tabs>
                <w:tab w:val="right" w:pos="9600"/>
              </w:tabs>
              <w:suppressAutoHyphens/>
              <w:spacing w:before="0" w:after="240"/>
              <w:ind w:left="176" w:hanging="11"/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(EUVL L 175, 27.6.2013, s. 1)</w:t>
            </w:r>
          </w:p>
        </w:tc>
      </w:tr>
    </w:tbl>
    <w:p>
      <w:pPr>
        <w:widowControl w:val="0"/>
        <w:tabs>
          <w:tab w:val="right" w:pos="9600"/>
        </w:tabs>
        <w:suppressAutoHyphens/>
        <w:spacing w:before="0" w:after="240"/>
        <w:jc w:val="center"/>
        <w:outlineLvl w:val="0"/>
        <w:rPr>
          <w:rFonts w:eastAsia="Times New Roman"/>
          <w:noProof/>
        </w:rPr>
      </w:pPr>
    </w:p>
    <w:p>
      <w:pPr>
        <w:widowControl w:val="0"/>
        <w:tabs>
          <w:tab w:val="right" w:pos="9600"/>
        </w:tabs>
        <w:suppressAutoHyphens/>
        <w:spacing w:before="0" w:after="240"/>
        <w:jc w:val="center"/>
        <w:outlineLvl w:val="0"/>
        <w:rPr>
          <w:rFonts w:eastAsia="Times New Roman"/>
          <w:noProof/>
        </w:rPr>
      </w:pPr>
      <w:r>
        <w:rPr>
          <w:noProof/>
        </w:rPr>
        <w:t>B osa</w:t>
      </w:r>
    </w:p>
    <w:p>
      <w:pPr>
        <w:widowControl w:val="0"/>
        <w:tabs>
          <w:tab w:val="right" w:pos="9600"/>
        </w:tabs>
        <w:suppressAutoHyphens/>
        <w:spacing w:before="0" w:after="240"/>
        <w:jc w:val="center"/>
        <w:rPr>
          <w:rFonts w:eastAsia="Times New Roman"/>
          <w:noProof/>
        </w:rPr>
      </w:pPr>
      <w:r>
        <w:rPr>
          <w:noProof/>
        </w:rPr>
        <w:t>Määräajat saattamiselle osaksi kansallista lainsäädäntöä ja soveltamispäivä</w:t>
      </w:r>
    </w:p>
    <w:p>
      <w:pPr>
        <w:widowControl w:val="0"/>
        <w:tabs>
          <w:tab w:val="right" w:pos="9600"/>
        </w:tabs>
        <w:suppressAutoHyphens/>
        <w:spacing w:before="0" w:after="240"/>
        <w:jc w:val="center"/>
        <w:rPr>
          <w:rFonts w:eastAsia="Times New Roman"/>
          <w:noProof/>
        </w:rPr>
      </w:pPr>
      <w:r>
        <w:rPr>
          <w:noProof/>
        </w:rPr>
        <w:t>(15 artiklassa tarkoitetut)</w:t>
      </w:r>
    </w:p>
    <w:p>
      <w:pPr>
        <w:keepNext/>
        <w:tabs>
          <w:tab w:val="right" w:pos="9600"/>
        </w:tabs>
        <w:suppressAutoHyphens/>
        <w:spacing w:before="0" w:after="240"/>
        <w:jc w:val="center"/>
        <w:rPr>
          <w:rFonts w:eastAsia="Times New Roman"/>
          <w:noProof/>
          <w:szCs w:val="20"/>
        </w:rPr>
      </w:pPr>
    </w:p>
    <w:tbl>
      <w:tblPr>
        <w:tblW w:w="0" w:type="auto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3107"/>
        <w:gridCol w:w="3100"/>
      </w:tblGrid>
      <w:tr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Direktiivi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Määräaika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Soveltamispäivä</w:t>
            </w:r>
          </w:p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</w:p>
        </w:tc>
      </w:tr>
      <w:tr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2003/98/EY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1. heinäkuuta 2005</w:t>
            </w:r>
          </w:p>
        </w:tc>
        <w:tc>
          <w:tcPr>
            <w:tcW w:w="3100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</w:p>
        </w:tc>
      </w:tr>
      <w:tr>
        <w:trPr>
          <w:jc w:val="center"/>
        </w:trPr>
        <w:tc>
          <w:tcPr>
            <w:tcW w:w="3079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2013/37/EU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18. heinäkuuta 2015</w:t>
            </w:r>
          </w:p>
        </w:tc>
        <w:tc>
          <w:tcPr>
            <w:tcW w:w="3100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18. heinäkuuta 2015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br w:type="page"/>
      </w:r>
    </w:p>
    <w:p>
      <w:pPr>
        <w:rPr>
          <w:noProof/>
        </w:rPr>
      </w:pPr>
    </w:p>
    <w:p>
      <w:pPr>
        <w:pStyle w:val="Annexetitre"/>
        <w:rPr>
          <w:noProof/>
        </w:rPr>
      </w:pPr>
      <w:r>
        <w:rPr>
          <w:noProof/>
        </w:rPr>
        <w:t>LIITE II</w:t>
      </w:r>
    </w:p>
    <w:p>
      <w:pPr>
        <w:keepNext/>
        <w:spacing w:before="360"/>
        <w:jc w:val="center"/>
        <w:outlineLvl w:val="0"/>
        <w:rPr>
          <w:rFonts w:eastAsia="Times New Roman"/>
          <w:b/>
          <w:smallCaps/>
          <w:noProof/>
          <w:szCs w:val="20"/>
        </w:rPr>
      </w:pPr>
      <w:r>
        <w:rPr>
          <w:b/>
          <w:smallCaps/>
          <w:noProof/>
        </w:rPr>
        <w:t>Vastaavuustaulukko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4674"/>
      </w:tblGrid>
      <w:tr>
        <w:tc>
          <w:tcPr>
            <w:tcW w:w="4674" w:type="dxa"/>
            <w:tcBorders>
              <w:left w:val="nil"/>
              <w:bottom w:val="single" w:sz="4" w:space="0" w:color="auto"/>
            </w:tcBorders>
          </w:tcPr>
          <w:p>
            <w:pPr>
              <w:jc w:val="center"/>
              <w:rPr>
                <w:rFonts w:eastAsia="Times New Roman"/>
                <w:noProof/>
              </w:rPr>
            </w:pPr>
            <w:r>
              <w:rPr>
                <w:noProof/>
              </w:rPr>
              <w:t>Direktiivi 2003/98/EY</w:t>
            </w:r>
          </w:p>
        </w:tc>
        <w:tc>
          <w:tcPr>
            <w:tcW w:w="4674" w:type="dxa"/>
            <w:tcBorders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eastAsia="Times New Roman"/>
                <w:noProof/>
              </w:rPr>
            </w:pPr>
            <w:r>
              <w:rPr>
                <w:noProof/>
              </w:rPr>
              <w:t>Tämä direktiivi</w:t>
            </w:r>
          </w:p>
        </w:tc>
      </w:tr>
      <w:tr>
        <w:tc>
          <w:tcPr>
            <w:tcW w:w="4674" w:type="dxa"/>
            <w:tcBorders>
              <w:top w:val="single" w:sz="4" w:space="0" w:color="auto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 artiklan 1 kohta</w:t>
            </w:r>
          </w:p>
        </w:tc>
        <w:tc>
          <w:tcPr>
            <w:tcW w:w="4674" w:type="dxa"/>
            <w:tcBorders>
              <w:top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 artiklan 1 kohdan johdantolause ja a alakohta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 artiklan 1 kohdan b alakohta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 artiklan 1 kohdan c alakohta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 artiklan 2 kohdan johdantolause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 artiklan 2 kohdan johdantolause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 artiklan 2 kohdan a alakohta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 artiklan 2 kohdan a alakohta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 artiklan 2 kohdan b alakohta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 artiklan 2 kohdan b alakohta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 artiklan 2 kohdan c alakohta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 artiklan 2 kohdan c alakohta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 artiklan 2 kohdan d alakohta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 artiklan 2 kohdan ca alakohta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 artiklan 2 kohdan e alakohta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 artiklan 2 kohdan cb alakohta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 artiklan 2 kohdan f alakohta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 artiklan 2 kohdan cc alakohta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 artiklan 2 kohdan g alakohta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 artiklan 2 kohdan d alakohta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 artiklan 2 kohdan h alakohta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 artiklan 2 kohdan e alakohta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 artiklan 2 kohdan j alakohta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 artiklan 2 kohdan f alakohta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 artiklan 2 kohdan i alakohta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 artiklan 2 kohdan k alakohta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 artiklan 3 kohta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 artiklan 3 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 artiklan 4 kohta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 artiklan 5 kohta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 artiklan 4 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 artiklan 5 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 artiklan 6 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2 artiklan johdantolause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2 artiklan johdantolause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2 artiklan 1 kohta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2 artiklan 1 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2 artiklan 2 kohta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2 artiklan 2 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2 artiklan 3 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2 artiklan 3 kohta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2 artiklan 5 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2 artiklan 6 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2 artiklan 7 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2 artiklan 8 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2 artiklan 4 kohta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2 artiklan 9 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2 artiklan 5 kohta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2 artiklan 6 kohta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2 artiklan 10 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2 artiklan 7 kohta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2 artiklan 11 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2 artiklan 8 kohta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2 artiklan 12 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2 artiklan 9 kohta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2 artiklan 4 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2 artiklan 13 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2 artiklan 14 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3 artiklan 1 kohta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3 artiklan 1 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3 artiklan 2 kohta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3 artiklan 2 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4 artiklan 1 kohta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4 artiklan 1 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4 artiklan 2 kohta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4 artiklan 2 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4 artiklan 3 kohta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4 artiklan 3 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4 artiklan 4 kohta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4 artiklan 4 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4 artiklan 5 kohta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4 artiklan 5 kohdan johdantolause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4 artiklan 5 kohdan a alakohta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4 artiklan 5 kohdan b alakohta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5 artiklan 1 kohta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5 artiklan 1 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5 artiklan 2 kohta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5 artiklan 2 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5 artiklan 3 kohta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5 artiklan 3 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5 artiklan 4 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5 artiklan 5 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6 artiklan 1 kohta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6 artiklan 1 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6 artiklan 2 kohdan johdantolause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6 artiklan 2 kohdan johdantolause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6 artiklan 2 kohdan a alakohta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6 artiklan 2 kohdan a alakohta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6 artiklan 2 kohdan b alakohta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6 artiklan 2 kohdan c alakohta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6 artiklan 2 kohdan b alakohta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6 artiklan 2 kohdan c alakohta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6 artiklan 3 kohta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6 artiklan 3 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6 artiklan 4 kohta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6 artiklan 4 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6 artiklan 5 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7 artiklan 1 kohta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7 artiklan 1 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7 artiklan 2 kohta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7 artiklan 2 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7 artiklan 3 kohta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7 artiklan 3 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7 artiklan 4 kohta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7 artiklan 4 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8 artiklan 1 kohta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8 artiklan 1 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8 artiklan 2 kohta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8 artiklan 2 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9 artikla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9 artikla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10 artiklan 1 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10 artiklan 2 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10 artiklan 1 kohta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11 artiklan 1 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10 artiklan 2 kohta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11 artiklan 2 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11 artiklan 1 kohta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12 artiklan 1 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11 artiklan 2 kohta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12 artiklan 2 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11 artiklan 2a kohta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12 artiklan 3 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12 artiklan 4 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11 artiklan 3 kohta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11 artiklan 4 kohta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12 artiklan 5 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13 artiklan 1 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13 artiklan 2 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13 artiklan 3 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13 artiklan 4 kohdan a alakohta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13 artiklan 4 kohdan b alakohta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13 artiklan 5 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13 artiklan 6 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13 artiklan 7 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14 artiklan 1 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14 artiklan 2 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14 artiklan 3 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14 artiklan 4 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14 artiklan 5 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14 artiklan 6 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12 artikla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15 artiklan 1 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15 artiklan 2 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13 artiklan 1 kohta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16 artiklan 1 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13 artiklan 2 kohta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13 artiklan 3 kohta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16 artiklan 2 kohta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17 artikla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14 artikla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18 artikla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15 artikla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19 artikla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Liite I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single" w:sz="4" w:space="0" w:color="auto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Liite II</w:t>
            </w:r>
          </w:p>
        </w:tc>
      </w:tr>
    </w:tbl>
    <w:p>
      <w:pPr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FI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FI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8C8D3C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A3A57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58C11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CECC8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DCEC8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7C6BD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560BF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16692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11 16:21:0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ehdotukseen"/>
    <w:docVar w:name="LW_ACCOMPAGNANT.CP" w:val="ehdotukseen"/>
    <w:docVar w:name="LW_ANNEX_NBR_FIRST" w:val="1"/>
    <w:docVar w:name="LW_ANNEX_NBR_LAST" w:val="2"/>
    <w:docVar w:name="LW_ANNEX_UNIQUE" w:val="0"/>
    <w:docVar w:name="LW_CORRIGENDUM" w:val="CORRIGENDUM_x000b_This document corrects document COM (2018) 234 final of 25.04.2018._x000b_Concerns all language versions._x000b_Addition of 2 annexes to the act._x000b_The text shall read as follows:_x000b_"/>
    <w:docVar w:name="LW_COVERPAGE_EXISTS" w:val="True"/>
    <w:docVar w:name="LW_COVERPAGE_GUID" w:val="6970A17A-581A-4A04-9AC4-1D1AC092588A"/>
    <w:docVar w:name="LW_COVERPAGE_TYPE" w:val="1"/>
    <w:docVar w:name="LW_CROSSREFERENCE" w:val="{SEC(2018) 206 final}_x000b_{SWD(2018) 127 final}_x000b_{SWD(2018) 128 final}_x000b_{SWD(2018) 129 final}_x000b_{SWD(2018) 145 final}"/>
    <w:docVar w:name="LW_DocType" w:val="ANNEX"/>
    <w:docVar w:name="LW_EMISSION" w:val="11.6.2018"/>
    <w:docVar w:name="LW_EMISSION_ISODATE" w:val="2018-06-11"/>
    <w:docVar w:name="LW_EMISSION_LOCATION" w:val="BRX"/>
    <w:docVar w:name="LW_EMISSION_PREFIX" w:val="Bryssel "/>
    <w:docVar w:name="LW_EMISSION_SUFFIX" w:val=" "/>
    <w:docVar w:name="LW_ID_DOCSTRUCTURE" w:val="COM/ANNEX"/>
    <w:docVar w:name="LW_ID_DOCTYPE" w:val="SG-017"/>
    <w:docVar w:name="LW_LANGUE" w:val="FI"/>
    <w:docVar w:name="LW_LEVEL_OF_SENSITIVITY" w:val="Standard treatment"/>
    <w:docVar w:name="LW_NOM.INST" w:val="EUROOPAN KOMISSIO"/>
    <w:docVar w:name="LW_NOM.INST_JOINTDOC" w:val="&lt;EMPTY&gt;"/>
    <w:docVar w:name="LW_OBJETACTEPRINCIPAL" w:val="julkisen sektorin hallussa olevien tietojen uudelleenkäytöstä (uudelleenlaadittu)"/>
    <w:docVar w:name="LW_OBJETACTEPRINCIPAL.CP" w:val="julkisen sektorin hallussa olevien tietojen uudelleenkäytöstä (uudelleenlaadittu)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23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LIITTEET"/>
    <w:docVar w:name="LW_TYPE.DOC.CP" w:val="LIITTEET"/>
    <w:docVar w:name="LW_TYPEACTEPRINCIPAL" w:val="Euroopan parlamentin ja neuvoston direktiivi"/>
    <w:docVar w:name="LW_TYPEACTEPRINCIPAL.CP" w:val="Euroopan parlamentin ja neuvoston direktiivi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fi-F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globale">
    <w:name w:val="Annexe titre (globale)"/>
    <w:basedOn w:val="Normal"/>
    <w:next w:val="Normal"/>
    <w:uiPriority w:val="99"/>
    <w:pPr>
      <w:autoSpaceDE w:val="0"/>
      <w:autoSpaceDN w:val="0"/>
      <w:jc w:val="center"/>
    </w:pPr>
    <w:rPr>
      <w:rFonts w:eastAsiaTheme="minorEastAsia"/>
      <w:b/>
      <w:bCs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fi-FI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fi-FI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fi-F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globale">
    <w:name w:val="Annexe titre (globale)"/>
    <w:basedOn w:val="Normal"/>
    <w:next w:val="Normal"/>
    <w:uiPriority w:val="99"/>
    <w:pPr>
      <w:autoSpaceDE w:val="0"/>
      <w:autoSpaceDN w:val="0"/>
      <w:jc w:val="center"/>
    </w:pPr>
    <w:rPr>
      <w:rFonts w:eastAsiaTheme="minorEastAsia"/>
      <w:b/>
      <w:bCs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fi-FI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fi-FI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D9BF5-EEF5-4441-B23B-960D73F9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6</Pages>
  <Words>815</Words>
  <Characters>3366</Characters>
  <Application>Microsoft Office Word</Application>
  <DocSecurity>0</DocSecurity>
  <Lines>258</Lines>
  <Paragraphs>278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BERTRAND</dc:creator>
  <cp:keywords/>
  <dc:description/>
  <cp:lastModifiedBy>DIGIT/A3</cp:lastModifiedBy>
  <cp:revision>9</cp:revision>
  <dcterms:created xsi:type="dcterms:W3CDTF">2018-06-06T07:04:00Z</dcterms:created>
  <dcterms:modified xsi:type="dcterms:W3CDTF">2018-06-11T14:21:00Z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5.8.86.0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5.8.4, Build 20150407</vt:lpwstr>
  </property>
  <property fmtid="{D5CDD505-2E9C-101B-9397-08002B2CF9AE}" pid="6" name="First annex">
    <vt:lpwstr>1</vt:lpwstr>
  </property>
  <property fmtid="{D5CDD505-2E9C-101B-9397-08002B2CF9AE}" pid="7" name="Last annex">
    <vt:lpwstr>2</vt:lpwstr>
  </property>
  <property fmtid="{D5CDD505-2E9C-101B-9397-08002B2CF9AE}" pid="8" name="Part">
    <vt:lpwstr>&lt;UNUSED&gt;</vt:lpwstr>
  </property>
  <property fmtid="{D5CDD505-2E9C-101B-9397-08002B2CF9AE}" pid="9" name="Total parts">
    <vt:lpwstr>&lt;UNUSED&gt;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0</vt:lpwstr>
  </property>
  <property fmtid="{D5CDD505-2E9C-101B-9397-08002B2CF9AE}" pid="13" name="DQCStatus">
    <vt:lpwstr>Green (DQC version 03)</vt:lpwstr>
  </property>
</Properties>
</file>