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4B9F245-34A9-4B10-A8F3-E91EC0985171" style="width:451pt;height:39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KUNTEST TAL-PROPOSTA</w:t>
      </w:r>
    </w:p>
    <w:p>
      <w:pPr>
        <w:keepNext/>
        <w:outlineLvl w:val="1"/>
        <w:rPr>
          <w:rFonts w:eastAsia="Arial Unicode MS"/>
          <w:b/>
          <w:noProof/>
        </w:rPr>
      </w:pPr>
      <w:r>
        <w:rPr>
          <w:b/>
          <w:noProof/>
          <w:color w:val="000000"/>
          <w:u w:color="000000"/>
          <w:bdr w:val="nil"/>
        </w:rPr>
        <w:t>•</w:t>
      </w:r>
      <w:r>
        <w:rPr>
          <w:noProof/>
        </w:rPr>
        <w:tab/>
      </w:r>
      <w:r>
        <w:rPr>
          <w:b/>
          <w:noProof/>
        </w:rPr>
        <w:t xml:space="preserve">Raġunijiet u għanijiet tal-proposta </w:t>
      </w:r>
    </w:p>
    <w:p>
      <w:pPr>
        <w:rPr>
          <w:noProof/>
        </w:rPr>
      </w:pPr>
      <w:r>
        <w:rPr>
          <w:noProof/>
        </w:rPr>
        <w:t xml:space="preserve">Din il-proposta hija parti minn inizjattiva usa’ tal-Kummissjoni dwar l-iżvilupp sostenibbli. Tistabilixxi l-pedament għal qafas tal-UE li jpoġġi kunsiderazzjonijiet Ambjentali, Soċjali u ta’ Governanza (ESG) fiċ-ċentru tas-sistema finanzjarja biex tappoġġa t-trasformazzjoni tal-ekonomija tal-Ewropa f’ekonomija f’sistema iktar ekoloġika, iktar reżiljenti u ċirkolari. Sabiex l-investimenti jkunu iktar sostenibbli, jenħtieġ li l-fatturi ESG jiġu kkunsidrati fil-proċess tat-teħid ta' deċiżjonijiet tal-investiment, meta jittieħdu f’kunsiderazzjoni fatturi bħal emissjonijiet tal-gassijiet serra, it-tnaqqis tar-riżorsi, jew il-kundizzjonijiet tax-xogħol. Din il-proposta, flimkien mal-atti leġiżlattivi proposti magħha, jimmiraw li jintegraw il-kunsiderazzjonijiet ESG fi proċess konsultattiv u ta’ investiment b’mod konsistenti fis-setturi kollha. Dan għandu jiżgura li l-parteċipanti fis-swieq finanzjarji (il-kumpaniji maniġerjali tal-UCITS, l-AIFMs, l-impriżi tal-assigurazzjoni, l-IORPs, il-maniġers tal-EuVECA u l-maniġers tal-EuSEF), id-distributuri tal-assigurazzjoni jew il-konsulenti dwar l-investiment, li jirċievu mandat mill-klijenti jew il-benefiċjarji tagħhom biex jieħdu deċiżjonijiet ta’ investiment f’isimhom, jintegraw il-konsiderazzjonijiet ESG fil-proċessi interni tagħhom u jinfurmaw lill-klijenti tagħhom f’dak ir-rigward. Barra minn hekk, sabiex l-investituri jkunu jistgħu jipparagunaw il-marka tal-karbonju tal-investimenti, il-proposti jintroduċu kategoriji ġodda ta’ teknoloġiji b’emissjonijiet baxxi tal-karbonju u limiti pożittivi ta’ impatt tal-karbonju. Jenħtieġ li dawn il-proposti li jsaħħu lil xulxin jiffaċilitaw l-investimenti fi proġetti u assi sostenibbili madwar l-UE. </w:t>
      </w:r>
    </w:p>
    <w:p>
      <w:pPr>
        <w:rPr>
          <w:noProof/>
        </w:rPr>
      </w:pPr>
      <w:r>
        <w:rPr>
          <w:noProof/>
        </w:rPr>
        <w:t>B’mod partikolari, din il-proposta tistabbilixxi kriterji uniformi sabiex jiġi determinat jekk attività ekonomika hijiex ambjentalment sostenibbli. Barra minn hekk tistabbilixxi proċess li jinvolvi pjattaforma b’bosta partijiet ikkonċernati biex jistabbilixxu sistema ta’ klassifikazzjoni unifikata tal-UE bbażata fuq sett ta’ kriterji speċifiċi, sabiex jiġi ddeterminat liema attivitajiet ekonomiċi huma kkunsidrati sostenibbli.</w:t>
      </w:r>
    </w:p>
    <w:p>
      <w:pPr>
        <w:rPr>
          <w:noProof/>
        </w:rPr>
      </w:pPr>
      <w:r>
        <w:rPr>
          <w:noProof/>
        </w:rPr>
        <w:t xml:space="preserve">Dan jipprovdi lill-atturi ekonomiċi u lill-investituri b’ċarezza dwar liema attivitajiet huma kkunsidrati sostenibbli sabiex jinformaw id-deċiżjonijiet ta’ investiment tagħhom. Dan jgħin biex jiżgura li l-istrateġiji ta’ investiment ikunu orjentati lejn attivitajiet ekonomiċi li ġenwinament jikkontribwixxu għall-kisba ta’ objettivi ambjentali, filwaqt li jikkonformaw ma’ standards minimi soċjali u ta’ governanza.  Aktar ċarezza dwar x’jista’ jitqies bħala investiment ambjentalment sostenibbli se jiffaċilita l-aċċess transfruntiera għas-suq kapitali għal investiment ambjentalment sostenibbli. </w:t>
      </w:r>
    </w:p>
    <w:p>
      <w:pPr>
        <w:spacing w:before="0"/>
        <w:rPr>
          <w:noProof/>
        </w:rPr>
      </w:pPr>
      <w:r>
        <w:rPr>
          <w:noProof/>
        </w:rPr>
        <w:t>Il-pakkett tal-Kummissjoni jsegwi l-isforzi globali lejn ekonomija iktar sostenibbli. Il-gvernijiet madwar id-dinja għażlu triq iktar sostenibbli għall-pjaneta tagħna u l-ekonomija tagħna billi adottaw il-</w:t>
      </w:r>
      <w:r>
        <w:rPr>
          <w:b/>
          <w:noProof/>
        </w:rPr>
        <w:t>Ftehim ta’ Pariġi tal-2016 dwar it-tibdil fil-klima</w:t>
      </w:r>
      <w:r>
        <w:rPr>
          <w:noProof/>
        </w:rPr>
        <w:t xml:space="preserve"> u l-</w:t>
      </w:r>
      <w:r>
        <w:rPr>
          <w:b/>
          <w:noProof/>
        </w:rPr>
        <w:t>Aġenda 2030 tan-Nazzjonijiet Uniti (NU) għall-Iżvilupp Sostenibbli.</w:t>
      </w:r>
      <w:r>
        <w:rPr>
          <w:noProof/>
        </w:rPr>
        <w:t xml:space="preserve"> </w:t>
      </w:r>
    </w:p>
    <w:p>
      <w:pPr>
        <w:spacing w:before="0"/>
        <w:rPr>
          <w:noProof/>
        </w:rPr>
      </w:pPr>
      <w:r>
        <w:rPr>
          <w:noProof/>
        </w:rPr>
        <w:t>L-UE hija impenjata favur żvilupp li jissodisfa l-ħtiġijiet tal-preżent u li ma jxekkilx il-ħila tal-ġenerazzjonijiet futuri li jissodisfaw il-ħtiġijiet tagħhom. Is-sostenibbiltà ilha żmien twil fil-qalba tal-proġett Ewropew. It-Trattati tal-UE jagħrfu d-dimensjonijiet ekonomiċi, soċjali u ambjentali tagħha, li jenħtieġ li jiġu indirizzati flimkien.</w:t>
      </w:r>
    </w:p>
    <w:p>
      <w:pPr>
        <w:spacing w:before="0" w:after="0"/>
        <w:rPr>
          <w:noProof/>
        </w:rPr>
      </w:pPr>
      <w:r>
        <w:rPr>
          <w:noProof/>
        </w:rPr>
        <w:lastRenderedPageBreak/>
        <w:t>Il-Komunikazzjoni tal-Kummissjoni tal-2016 dwar il-passi li jmiss għal futur Ewropew sostenibbli huwa marbut mal-Għanijiet ta’ Żvilupp Sostenibbli (SDGs)</w:t>
      </w:r>
      <w:r>
        <w:rPr>
          <w:rStyle w:val="FootnoteReference"/>
          <w:noProof/>
        </w:rPr>
        <w:footnoteReference w:id="1"/>
      </w:r>
      <w:r>
        <w:rPr>
          <w:noProof/>
        </w:rPr>
        <w:t xml:space="preserve"> tal-Aġenda 2030 tan-NU għall-Iżvilupp Sostenibbli li fil-qafas tal-politika Ewropea biex tiżgura li l-azzjonijiet kollha tal-UE u inizjattivi ta’ politika, fi ħdan l-UE u globalment, jieħu l-SDGs abbord mill-bidu nett. L-UE hija wkoll impenjata bis-sħiħ biex tilħaq il-miri tal-klima u tal-enerġija UE 2030 u biex tintegra l-iżvilupp sostenibbli fil-politiki tal-UE, kif imħabbar fil-</w:t>
      </w:r>
      <w:r>
        <w:rPr>
          <w:b/>
          <w:noProof/>
        </w:rPr>
        <w:t>Linji Gwida Politiċi 2014 għall-Kummissjoni Ewropea</w:t>
      </w:r>
      <w:r>
        <w:rPr>
          <w:rStyle w:val="FootnoteReference"/>
          <w:noProof/>
        </w:rPr>
        <w:footnoteReference w:id="2"/>
      </w:r>
      <w:r>
        <w:rPr>
          <w:noProof/>
        </w:rPr>
        <w:t xml:space="preserve"> minn Jean-Claude Juncker.  Għalhekk, ħafna prijoritajiet politiċi tal-Kummissjoni Ewropea għall-2014–2020 jikkontribwixxu għall-objettivi tal-UE dwar il-klima u jimplimentaw l-Aġenda 2030 għall-Iżvilupp Sostenibbli. Dawn jinkludu l-</w:t>
      </w:r>
      <w:r>
        <w:rPr>
          <w:b/>
          <w:noProof/>
        </w:rPr>
        <w:t>Pjan ta’ Investiment għall-Ewropa,</w:t>
      </w:r>
      <w:r>
        <w:rPr>
          <w:rStyle w:val="FootnoteReference"/>
          <w:noProof/>
        </w:rPr>
        <w:footnoteReference w:id="3"/>
      </w:r>
      <w:r>
        <w:rPr>
          <w:noProof/>
        </w:rPr>
        <w:t>, il-</w:t>
      </w:r>
      <w:r>
        <w:rPr>
          <w:b/>
          <w:noProof/>
        </w:rPr>
        <w:t>Pakkett tal-Ekonomija Ċirkolari,</w:t>
      </w:r>
      <w:r>
        <w:rPr>
          <w:rStyle w:val="FootnoteReference"/>
          <w:noProof/>
        </w:rPr>
        <w:footnoteReference w:id="4"/>
      </w:r>
      <w:r>
        <w:rPr>
          <w:noProof/>
        </w:rPr>
        <w:t xml:space="preserve"> il-</w:t>
      </w:r>
      <w:r>
        <w:rPr>
          <w:b/>
          <w:noProof/>
        </w:rPr>
        <w:t>pakkett dwar l-Unjoni tal-Enerġija,</w:t>
      </w:r>
      <w:r>
        <w:rPr>
          <w:rStyle w:val="FootnoteReference"/>
          <w:noProof/>
        </w:rPr>
        <w:footnoteReference w:id="5"/>
      </w:r>
      <w:r>
        <w:rPr>
          <w:noProof/>
        </w:rPr>
        <w:t xml:space="preserve"> l-</w:t>
      </w:r>
      <w:r>
        <w:rPr>
          <w:b/>
          <w:noProof/>
        </w:rPr>
        <w:t>Aġġornament tal-UE dwar l-Istrateġija dwar il-Bijoekonomija,</w:t>
      </w:r>
      <w:r>
        <w:rPr>
          <w:rStyle w:val="FootnoteReference"/>
          <w:noProof/>
        </w:rPr>
        <w:footnoteReference w:id="6"/>
      </w:r>
      <w:r>
        <w:rPr>
          <w:noProof/>
        </w:rPr>
        <w:t xml:space="preserve"> l-</w:t>
      </w:r>
      <w:r>
        <w:rPr>
          <w:b/>
          <w:noProof/>
        </w:rPr>
        <w:t>Unjoni tas-Swieq Kapitali</w:t>
      </w:r>
      <w:r>
        <w:rPr>
          <w:rStyle w:val="FootnoteReference"/>
          <w:noProof/>
        </w:rPr>
        <w:footnoteReference w:id="7"/>
      </w:r>
      <w:r>
        <w:rPr>
          <w:noProof/>
        </w:rPr>
        <w:t xml:space="preserve"> u l-</w:t>
      </w:r>
      <w:r>
        <w:rPr>
          <w:b/>
          <w:noProof/>
        </w:rPr>
        <w:t>baġit tal-UE għall-2014–2020</w:t>
      </w:r>
      <w:r>
        <w:rPr>
          <w:noProof/>
        </w:rPr>
        <w:t>, inkluż il-</w:t>
      </w:r>
      <w:r>
        <w:rPr>
          <w:b/>
          <w:noProof/>
        </w:rPr>
        <w:t>Fond ta’ Koeżjoni</w:t>
      </w:r>
      <w:r>
        <w:rPr>
          <w:noProof/>
        </w:rPr>
        <w:t xml:space="preserve"> u proġetti ta’ riċerka. Barra minn hekk, il-Kummissjoni nediet pjattaforma ta’ ħafna partijiet interessati biex isegwu u jiskambjaw l-aħjar prattiki dwar l-implimentazzjoni SDG.</w:t>
      </w:r>
    </w:p>
    <w:p>
      <w:pPr>
        <w:pBdr>
          <w:top w:val="nil"/>
          <w:left w:val="nil"/>
          <w:bottom w:val="nil"/>
          <w:right w:val="nil"/>
          <w:between w:val="nil"/>
          <w:bar w:val="nil"/>
        </w:pBdr>
        <w:spacing w:before="0"/>
        <w:rPr>
          <w:noProof/>
        </w:rPr>
      </w:pPr>
      <w:r>
        <w:rPr>
          <w:noProof/>
        </w:rPr>
        <w:t>Il-kisba tal-objettivi ta’ sostenibbiltà tal-UE teħtieġ investimenti importanti. Fl-ispazju tal-klima u tal-enerġija biss, huwa stmat li investiment annwali addizzjonali ta’ EUR 180 biljun huwa meħtieġ biex jintlaħqu l-miri tal-klima u l-enerġija sal-2030</w:t>
      </w:r>
      <w:r>
        <w:rPr>
          <w:rStyle w:val="FootnoteReference"/>
          <w:noProof/>
        </w:rPr>
        <w:footnoteReference w:id="8"/>
      </w:r>
      <w:r>
        <w:rPr>
          <w:noProof/>
        </w:rPr>
        <w:t>. Parti sostanzjali ta’ dawn il-flussi finanzjarji se jkollhom jiġu mis-settur privat. L-għeluq ta’ din id-diskrepanza fl-investiment tfisser l-orjentazzjoni mill-ġdid b’mod sinifikanti tal-flussi ta’ kapital privat lejn investimenti aktar sostenibbli u teħtieġ reviżjoni komprensiva tal-qafas finanzjarju Ewropew.</w:t>
      </w:r>
    </w:p>
    <w:p>
      <w:pPr>
        <w:pBdr>
          <w:top w:val="nil"/>
          <w:left w:val="nil"/>
          <w:bottom w:val="nil"/>
          <w:right w:val="nil"/>
          <w:between w:val="nil"/>
          <w:bar w:val="nil"/>
        </w:pBdr>
        <w:spacing w:before="0"/>
        <w:rPr>
          <w:noProof/>
        </w:rPr>
      </w:pPr>
      <w:r>
        <w:rPr>
          <w:noProof/>
        </w:rPr>
        <w:t xml:space="preserve">F'dan il-kuntest, f’Diċembru 2016 il-Kummissjoni stabbiliet </w:t>
      </w:r>
      <w:r>
        <w:rPr>
          <w:b/>
          <w:noProof/>
        </w:rPr>
        <w:t>Grupp ta' esperti ta' livell għoli (HLEG)</w:t>
      </w:r>
      <w:r>
        <w:rPr>
          <w:noProof/>
        </w:rPr>
        <w:t xml:space="preserve"> biex jiżviluppa strateġija tal-UE dwar il-finanzjament sostenibbli. L-HLEG ippubblika r-rapport finali tiegħu</w:t>
      </w:r>
      <w:r>
        <w:rPr>
          <w:rStyle w:val="FootnoteReference"/>
          <w:noProof/>
        </w:rPr>
        <w:footnoteReference w:id="9"/>
      </w:r>
      <w:r>
        <w:rPr>
          <w:noProof/>
        </w:rPr>
        <w:t xml:space="preserve"> fil-31 ta’ Jannar 2018. Dan ir-rapport ipprovda viżjoni komprensiva dwar il-finanzi sostenibbli għall-Ewropa u identifika żewġ ħtiġijiet għas-sistema finanzjarja Ewropea. L-ewwel għan huwa li ttejjeb il-kontribuzzjoni tal-finanzi għal tkabbir sostenibbli u inklużiv. It-tieni huwa li ssaħħaħ l-istabbiltà finanzjarja billi tinkorpora fatturi Ambjentali, Soċjali u ta’ Governanza (ESG) fit-teħid ta’ deċiżjoni dwar l-investiment. L-HLEG ħareġ tmien rakkomandazzjonijiet ewlenin, li jemmen li huma elementi essenzjali ta’ sistema finanzjarja Ewropea sostenibbli. Fost dawn ir-rakkomandazzjonijiet, l-HLEG isejjaħ għall-istabbiliment ta’ sistema ta’ klassifikazzjoni teknikament robusta fil-livell tal-UE biex tipprovdi ċarezza dwar dak li huwa “ekoloġiku” jew “sostenibbli” — l-hekk imsejħa </w:t>
      </w:r>
      <w:r>
        <w:rPr>
          <w:noProof/>
        </w:rPr>
        <w:lastRenderedPageBreak/>
        <w:t>tassonomija dwar is-sostenibbiltà. Il-parir tal-grupp ta’ esperti kien li bħala l-ewwel pass, wieħed jibda bl-istabbiliment meta attività ekonomika tista’ tiġi kkunsidrata bħala ambjentalment sostenibbli.</w:t>
      </w:r>
    </w:p>
    <w:p>
      <w:pPr>
        <w:autoSpaceDE w:val="0"/>
        <w:autoSpaceDN w:val="0"/>
        <w:adjustRightInd w:val="0"/>
        <w:spacing w:before="0" w:after="0"/>
        <w:rPr>
          <w:noProof/>
          <w:color w:val="000000"/>
          <w:sz w:val="23"/>
          <w:szCs w:val="23"/>
        </w:rPr>
      </w:pPr>
      <w:r>
        <w:rPr>
          <w:noProof/>
        </w:rPr>
        <w:t xml:space="preserve">Bħala segwitu għall-ħidma tal-HLEG, il-Kummissjoni ppubblikat </w:t>
      </w:r>
      <w:r>
        <w:rPr>
          <w:b/>
          <w:noProof/>
        </w:rPr>
        <w:t>Pjan ta’ Azzjoni dwar il-Finanzjament tat-Tkabbir Sostenibbli</w:t>
      </w:r>
      <w:r>
        <w:rPr>
          <w:rStyle w:val="FootnoteReference"/>
          <w:noProof/>
        </w:rPr>
        <w:footnoteReference w:id="10"/>
      </w:r>
      <w:r>
        <w:rPr>
          <w:noProof/>
        </w:rPr>
        <w:t xml:space="preserve"> fit-8 ta’ Marzu 2018.</w:t>
      </w:r>
      <w:r>
        <w:rPr>
          <w:noProof/>
          <w:color w:val="000000"/>
          <w:sz w:val="23"/>
        </w:rPr>
        <w:t xml:space="preserve"> Dan impenjaha biex tressaq proposta leġiżlattiva fit-tieni kwart tal-2018 li tiżgura l-iżvilupp gradwali ta’ tassonomija tal-UE għat-tibdil fil-klima u attivitajiet ambjentalment u soċjalment sostenibbli, li jibnu fuq il-ħidma eżistenti fejn rilevanti. L-għan huwa li fil-futur it-tassonomija tiġi inkorporata fil-liġi tal-UE u tipprovdi l-bażi għall-użu ta’ dik is-sistema ta’ klassifikazzjoni f’oqsma differenti (eż. standards, tikketti, referenzjarji ta’ sostenibbiltà).</w:t>
      </w:r>
    </w:p>
    <w:p>
      <w:pPr>
        <w:keepNext/>
        <w:outlineLvl w:val="1"/>
        <w:rPr>
          <w:rFonts w:eastAsia="Arial Unicode MS"/>
          <w:b/>
          <w:noProof/>
          <w:color w:val="000000"/>
          <w:u w:color="000000"/>
          <w:bdr w:val="nil"/>
        </w:rPr>
      </w:pPr>
      <w:r>
        <w:rPr>
          <w:b/>
          <w:noProof/>
          <w:color w:val="000000"/>
          <w:u w:color="000000"/>
          <w:bdr w:val="nil"/>
        </w:rPr>
        <w:t>•</w:t>
      </w:r>
      <w:r>
        <w:rPr>
          <w:noProof/>
        </w:rPr>
        <w:tab/>
      </w:r>
      <w:r>
        <w:rPr>
          <w:b/>
          <w:noProof/>
        </w:rPr>
        <w:t>Konsistenza mad-dispożizzjonijiet ta’ politika eżistenti fil-qasam ta’ politika</w:t>
      </w:r>
    </w:p>
    <w:p>
      <w:pPr>
        <w:pBdr>
          <w:top w:val="nil"/>
          <w:left w:val="nil"/>
          <w:bottom w:val="nil"/>
          <w:right w:val="nil"/>
          <w:between w:val="nil"/>
          <w:bar w:val="nil"/>
        </w:pBdr>
        <w:spacing w:before="0" w:after="240"/>
        <w:rPr>
          <w:noProof/>
        </w:rPr>
      </w:pPr>
      <w:r>
        <w:rPr>
          <w:noProof/>
        </w:rPr>
        <w:t>Il-proposta tistabbilixxi l-kriterji u l-proċess biex jiġi identifikat investiment ambjentalment sostenibbli, biex jiġi żgurat li s-suq uniku ma jkunx imxekkel minn interpretazzjonijiet differenti ta’ dan il-kunċett fl-Istati Membri. Din il-proposta hija konsistenti ma’ dispożizzjonijiet oħra ta’ politika fil-qasam ta’ politika tas-suq uniku u tas-swieq finanzjarji, peress li din ma tinterferixxi mal-ebda dispożizzjoni eżistenti iżda tippermetti d-dispożizzjonijiet legali eżistenti u futuri li jużaw u jibnu fuq il-kunċett komuni ta’ investiment ambjentalment sostenibbli fil-futur. Ma hemmx differenza minn jew inkonsistenzi ma’ dispożizzjonijiet ta’ politiki oħra tas-suq uniku.</w:t>
      </w:r>
    </w:p>
    <w:p>
      <w:pPr>
        <w:keepNext/>
        <w:outlineLvl w:val="1"/>
        <w:rPr>
          <w:rFonts w:eastAsia="Arial Unicode MS"/>
          <w:b/>
          <w:noProof/>
        </w:rPr>
      </w:pPr>
      <w:r>
        <w:rPr>
          <w:b/>
          <w:noProof/>
          <w:color w:val="000000"/>
          <w:u w:color="000000"/>
          <w:bdr w:val="nil"/>
        </w:rPr>
        <w:t>•</w:t>
      </w:r>
      <w:r>
        <w:rPr>
          <w:noProof/>
        </w:rPr>
        <w:tab/>
      </w:r>
      <w:r>
        <w:rPr>
          <w:b/>
          <w:noProof/>
        </w:rPr>
        <w:t>Konsistenza ma' politiki oħra tal-Unjoni</w:t>
      </w:r>
    </w:p>
    <w:p>
      <w:pPr>
        <w:pBdr>
          <w:top w:val="nil"/>
          <w:left w:val="nil"/>
          <w:bottom w:val="nil"/>
          <w:right w:val="nil"/>
          <w:between w:val="nil"/>
          <w:bar w:val="nil"/>
        </w:pBdr>
        <w:spacing w:before="0" w:after="240"/>
        <w:rPr>
          <w:rFonts w:eastAsia="Arial Unicode MS"/>
          <w:noProof/>
        </w:rPr>
      </w:pPr>
      <w:r>
        <w:rPr>
          <w:noProof/>
        </w:rPr>
        <w:t>Il-proposta tikkomplementa politiki ambjentali u klimatiċi eżistenti tal-UE. Il-fehim komuni ta’ x’jikkostitwixxi investiment ambjentalment sostenibbli se jikkomplementa politiki ambjentali eżistenti tal-UE billi jipprovdi punt ta’ referenza li jista’ jintuża fil-futur b’tali mod li dawn il-politiki jiġu żviluppati b’mod aktar konsistenti madwar l-Unjoni. Il-proposta tibni fuq politiki eżistenti u tuża l-kunċetti żviluppati taħt dawk il-politiki biex jiżguraw konsistenza. Huwa jibni fuq il-kunċetti żviluppati taħt is-Seba' Programm ta’ Azzjoni Ambjentali,</w:t>
      </w:r>
      <w:r>
        <w:rPr>
          <w:rStyle w:val="FootnoteReference"/>
          <w:noProof/>
        </w:rPr>
        <w:footnoteReference w:id="11"/>
      </w:r>
      <w:r>
        <w:rPr>
          <w:noProof/>
        </w:rPr>
        <w:t xml:space="preserve"> id-Direttiva Qafas dwar l-Ilma,</w:t>
      </w:r>
      <w:r>
        <w:rPr>
          <w:rStyle w:val="FootnoteReference"/>
          <w:noProof/>
        </w:rPr>
        <w:footnoteReference w:id="12"/>
      </w:r>
      <w:r>
        <w:rPr>
          <w:noProof/>
        </w:rPr>
        <w:t xml:space="preserve"> il-Pjan ta’ Azzjoni għal Ekonomija Ċirkolari,</w:t>
      </w:r>
      <w:r>
        <w:rPr>
          <w:rStyle w:val="FootnoteReference"/>
          <w:noProof/>
        </w:rPr>
        <w:footnoteReference w:id="13"/>
      </w:r>
      <w:r>
        <w:rPr>
          <w:noProof/>
        </w:rPr>
        <w:t xml:space="preserve"> id-Direttiva dwar l-Emissjonijiet Industrijali</w:t>
      </w:r>
      <w:r>
        <w:rPr>
          <w:rStyle w:val="FootnoteReference"/>
          <w:noProof/>
        </w:rPr>
        <w:footnoteReference w:id="14"/>
      </w:r>
      <w:r>
        <w:rPr>
          <w:noProof/>
        </w:rPr>
        <w:t xml:space="preserve"> bħal meta ssir referenza għall-Aġenda 2030 għall-Iżvilupp Sostenibbli, ir-Regolament dwar l-Ekotikketta,</w:t>
      </w:r>
      <w:r>
        <w:rPr>
          <w:rStyle w:val="FootnoteReference"/>
          <w:noProof/>
        </w:rPr>
        <w:footnoteReference w:id="15"/>
      </w:r>
      <w:r>
        <w:rPr>
          <w:noProof/>
        </w:rPr>
        <w:t xml:space="preserve"> il-Klassifikazzjoni Statistika tal-Attivitajiet Ekonomiċi fil-Komunità Ewropea (NACE),</w:t>
      </w:r>
      <w:r>
        <w:rPr>
          <w:rStyle w:val="FootnoteReference"/>
          <w:noProof/>
        </w:rPr>
        <w:footnoteReference w:id="16"/>
      </w:r>
      <w:r>
        <w:rPr>
          <w:noProof/>
        </w:rPr>
        <w:t xml:space="preserve"> il-Klassifikazzjoni tal-Attivitajiet tal-Protezzjoni u l-Infiq Ambjentali (CEPA) u għall-Klassifika ta’ Attivitajiet ta’ Ġestjoni tar-Riżorsi (CReMA)</w:t>
      </w:r>
      <w:r>
        <w:rPr>
          <w:rStyle w:val="FootnoteReference"/>
          <w:noProof/>
        </w:rPr>
        <w:footnoteReference w:id="17"/>
      </w:r>
      <w:r>
        <w:rPr>
          <w:noProof/>
        </w:rPr>
        <w:t>.</w:t>
      </w:r>
    </w:p>
    <w:p>
      <w:pPr>
        <w:keepNext/>
        <w:spacing w:before="360"/>
        <w:outlineLvl w:val="0"/>
        <w:rPr>
          <w:b/>
          <w:smallCaps/>
          <w:noProof/>
        </w:rPr>
      </w:pPr>
      <w:r>
        <w:rPr>
          <w:b/>
          <w:smallCaps/>
          <w:noProof/>
        </w:rPr>
        <w:lastRenderedPageBreak/>
        <w:t>2.</w:t>
      </w:r>
      <w:r>
        <w:rPr>
          <w:noProof/>
        </w:rPr>
        <w:tab/>
      </w:r>
      <w:r>
        <w:rPr>
          <w:b/>
          <w:smallCaps/>
          <w:noProof/>
        </w:rPr>
        <w:t>BAŻI ĠURIDIKA, SUSSIDJARJETÀ U PROPORZJONALITÀ</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Bażi ġuridika</w:t>
      </w:r>
    </w:p>
    <w:p>
      <w:pPr>
        <w:spacing w:after="240"/>
        <w:rPr>
          <w:noProof/>
          <w:sz w:val="22"/>
        </w:rPr>
      </w:pPr>
      <w:r>
        <w:rPr>
          <w:noProof/>
        </w:rPr>
        <w:t xml:space="preserve">L-Artikolu 114 tat-Trattat dwar il-Funzjonament tal-Unjoni Ewropea (TFUE) jagħti lill-Parlament Ewropew u lill-Kunsill il-kompetenza li jadottaw miżuri għall-approssimazzjoni tad-dispożizzjonijiet stabbiliti bil-liġi, b’regolament jew b’azzjoni amministrattiva fi Stati Membri relatati mal-istabbiliment u t-tħaddim tas-suq intern. L-Artikolu 114 TFUE jippermetti lill-UE tieħu miżuri biex telimina l-ostakli attwali għall-eżerċizzju tal-libertajiet fundamentali u biex tevita tali ostakli emerġenti, inklużi dawk li jagħmluha diffiċli għall-operaturi ekonomiċi, inklużi l-investituri, biex jieħdu vantaġġ sħiħ mill-benefiċċji tas-suq intern. </w:t>
      </w:r>
    </w:p>
    <w:p>
      <w:pPr>
        <w:spacing w:after="240"/>
        <w:rPr>
          <w:noProof/>
        </w:rPr>
      </w:pPr>
      <w:r>
        <w:rPr>
          <w:noProof/>
        </w:rPr>
        <w:t xml:space="preserve">Bħalissa, Stati Membri jvarjaw fl-interpretazzjonijiet tagħhom dwar dak li jgħodd bħala investiment sostenibbli. Xi Stati Membri għandhom fis-seħħ skemi ta’ tikkettar jew inizjattivi mmexxija mis-suq li jiddeterminaw dak li jikkwalifika bħala ekoloġiku għal skopijiet ta’ investiment, oħrajn ma għandhom l-ebda regola fis-seħħ iżda aktarx li jilleġiżlaw f’dan il-qasam abbażi tad-definizzjoni tagħhom stess ta’ investiment sostenibbli. Tikketti nazzjonali bbażati fuq kriterji differenti dwar liema attivitajiet ekonomiċi jikkwalifikaw bħala ambjentalment sostenibbli jagħmluha diffiċli għall-investituri biex iqabblu l-investiment ekoloġiku, u b’hekk jiġu skoraġġuti milli jinvestu b’mod transfruntier. </w:t>
      </w:r>
    </w:p>
    <w:p>
      <w:pPr>
        <w:spacing w:after="240"/>
        <w:rPr>
          <w:noProof/>
        </w:rPr>
      </w:pPr>
      <w:r>
        <w:rPr>
          <w:noProof/>
        </w:rPr>
        <w:t xml:space="preserve">Diverġenzi eżistenti huma wkoll ta’ piż fuq l-operaturi ekonomiċi li jkollhom jikkonformaw ma’ standards differenti fi Stati Membri differenti. Biex tindirizza d-diverġenzi eżistenti u ma joħorġux iktar ostakoli għas-suq intern, din il-proposta tistabbilixxi definizzjoni standard fil-livell tal-UE ta’ dak li jikkwalifika bħala attività ekonomika ambjentalment sostenibbli għal skopijiet ta’ investiment. L-għan ta’ din il-proposta huwa li jiġi standardizzat il-kunċett ta’ investiment ambjentalment sostenibbli madwar l-Unjoni, biex b’hekk jiffaċilita l-investiment f’attivitajiet ekonomiċi ambjentalment sostenibbli, kemm fil-livell nazzjonali kif ukoll f’aktar minn pajjiż wieħed tal-UE. Il-kunċett standardizzat se jippermetti wkoll lil operaturi ekonomiċi jattiraw investiment minn barra minn pajjiżhom aktar faċilment. </w:t>
      </w:r>
    </w:p>
    <w:p>
      <w:pPr>
        <w:spacing w:after="240"/>
        <w:rPr>
          <w:noProof/>
        </w:rPr>
      </w:pPr>
      <w:r>
        <w:rPr>
          <w:noProof/>
        </w:rPr>
        <w:t>L-Artikolu 114 TFUE jipprovdi l-bażi ġuridika li fuqha l-UE tista’ tadotta din il-proposta, ladarba l-għan tagħha huwa li jkun iffaċilitat l-investiment fl-UE kollha f’attivitajiet ekonomiċi sostenibbli, irrispettivament mill-fruntieri nazzjonali.</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 xml:space="preserve">Sussidjarjetà (għall-kompetenza mhux esklużiva) </w:t>
      </w:r>
    </w:p>
    <w:p>
      <w:pPr>
        <w:spacing w:after="240"/>
        <w:rPr>
          <w:noProof/>
        </w:rPr>
      </w:pPr>
      <w:r>
        <w:rPr>
          <w:noProof/>
        </w:rPr>
        <w:t>Il-proposta tikkonforma mal-prinċipju tas-sussidjarjetà kif stabbilit fl-Artikolu 5 tat-Trattat dwar l-Unjoni Ewropea (TUE). Dan il-prinċipju jistipula li tista’ tittieħed azzjoni fil-livell tal-UE biss jekk l-għanijiet previsti ma jistgħux jintlaħqu f’livell aktar baxx.</w:t>
      </w:r>
    </w:p>
    <w:p>
      <w:pPr>
        <w:spacing w:after="240"/>
        <w:rPr>
          <w:noProof/>
        </w:rPr>
      </w:pPr>
      <w:r>
        <w:rPr>
          <w:noProof/>
        </w:rPr>
        <w:t xml:space="preserve">In-nuqqas attwali ta’ ċarezza dwar x’jikkostitwixxi attività ekonomika ambjentalment sostenibbli jista’ jiġi aggravat jekk l-Istati Membri jippruvaw jieħdu azzjoni f’dan il-qasam b’mod parallel, mingħajr koordinazzjoni. Minħabba l-impenji lejn l-għanijiet tal-politika ambjentali u klimatika kemm fil-livell internazzjonali (eż. il-Ftehim ta’ Pariġi) kif ukoll fil-livell tal-UE, iktar u iktar Stati Membri x’aktarx jesploraw l-għażla li jintroduċu tikketti għal prodotti finanzjarji sostenibbli, bl-użu ta’ tassonomiji personalizzati proprji tagħhom. Dan se jaggrava l-ostakli nazzjonali għall-operazzjoni tas-swieq tal-kapital għal fondi għal proġetti sostenibbli. Sistemi ta’ klassifikazzjoni diverġenti jżidu l-frammentazzjoni tas-suq u jqajmu problemi ta’ kompetizzjoni, u dan jagħmilha aktar diffiċli u jiswa ħafna għall-investituri biex jifhmu x’inhu u x’mhux sostenibbli. </w:t>
      </w:r>
    </w:p>
    <w:p>
      <w:pPr>
        <w:spacing w:after="240"/>
        <w:rPr>
          <w:noProof/>
        </w:rPr>
      </w:pPr>
      <w:r>
        <w:rPr>
          <w:noProof/>
        </w:rPr>
        <w:lastRenderedPageBreak/>
        <w:t>Għaldaqstant, jenħtieġ li l-kriterji li jiddeterminaw x’jikkostitwixxi attività sostenibbli għal skopijiet ta’ investiment jiġu standardizzati fil-livell tal-UE.  Sussegwentement, jenħtieġ li s-sistema ta’ klassifikazzjoni uniformi tal-UE tiġi stabbilita permezz ta’ proċess li jinvolvi l-partijiet interessati rilevanti kollha. Dan se jagħmilha aktar faċli għall-operaturi ekonomiċi biex jattiraw il-kapital għall-investiment sostenibbli minn madwar l-UE. Hija se tkun l-ewwel pass lejn l-indirizzar ta’ “greenwashing” u se tagħmilha aktar faċli għall-investituri sabiex jidentifikaw il-kriterji applikati meta prodott finanzjarju jkun qed jiġi klassifikat bħala “ekoloġiku” jew sostenibbli. Il-proposta għalhekk hija mfassla biex tindirizza n-nuqqasijiet tal-qafas legali eżistenti billi jiġu stabbiliti kriterji standard biex ikun aċċertat x’jgħodd bħala investiment ambjentalment sostenibbli. Azzjoni fil-livell tal-UE hija aktar effettiva biex tiggarantixxi l-uniformità u ċ-ċertezza legali fir-rigward tal-eżerċizzju tal-libertajiet tat-Trattat.</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Proporzjonalità</w:t>
      </w:r>
    </w:p>
    <w:p>
      <w:pPr>
        <w:pBdr>
          <w:top w:val="nil"/>
          <w:left w:val="nil"/>
          <w:bottom w:val="nil"/>
          <w:right w:val="nil"/>
          <w:between w:val="nil"/>
          <w:bar w:val="nil"/>
        </w:pBdr>
        <w:spacing w:before="0" w:after="240"/>
        <w:rPr>
          <w:rFonts w:eastAsia="Arial Unicode MS"/>
          <w:noProof/>
        </w:rPr>
      </w:pPr>
      <w:r>
        <w:rPr>
          <w:noProof/>
        </w:rPr>
        <w:t xml:space="preserve">Din il-proposta hi konformi mal-prinċipju tal-proporzjonalità kif stabbilit fl-Artikolu 5 TUE. Il-miżuri proposti joħolqu inċentivi għal investiment f'attivitajiet ekoloġiċi mingħajr ma jiġu penalizzati investimenti oħra. Dawn huma meħtieġa biex irendu l-kwistjonijiet ċari għall-investituri billi jiġu standardizzati fil-livell tal-UE l-kriterji użati sabiex jiġi aċċertat il-livell ta’ investiment ta’ sostenibbiltà ambjentali. Il-provvediment ta’ kriterji standard se jagħmilha aktar faċli għall-investituri sabiex jidentifikaw is-sostenibbiltà ambjentali relattiva ta’ investiment partikolari, u biex iqabblu l-investimenti kemm fil-livell nazzjonali kif ukoll madwar l-Istati Membri. </w:t>
      </w:r>
    </w:p>
    <w:p>
      <w:pPr>
        <w:pBdr>
          <w:top w:val="nil"/>
          <w:left w:val="nil"/>
          <w:bottom w:val="nil"/>
          <w:right w:val="nil"/>
          <w:between w:val="nil"/>
          <w:bar w:val="nil"/>
        </w:pBdr>
        <w:spacing w:before="0" w:after="240"/>
        <w:rPr>
          <w:rFonts w:eastAsia="Arial Unicode MS"/>
          <w:noProof/>
        </w:rPr>
      </w:pPr>
      <w:r>
        <w:rPr>
          <w:noProof/>
        </w:rPr>
        <w:t xml:space="preserve">Il-proposta hija mfassla biex tindirizza d-diverġenza ta’ tassonomiji nazzjonali eżistenti u inizjattivi bbażati fuq is-suq fil-livell nazzjonali, sabiex jiġi indirizzat ir-riskju ta’ “greenwashing”, jagħmilha aktar faċli għall-operaturi ekonomiċi biex jiġru fondi għal attivitajiet ambjentalment sostenibbli mil-lat transfruntier, u biex jippruvaw jistabbilixxu kondizzjonijiet ekwi għall-parteċipanti kollha fis-suq. </w:t>
      </w:r>
    </w:p>
    <w:p>
      <w:pPr>
        <w:pBdr>
          <w:top w:val="nil"/>
          <w:left w:val="nil"/>
          <w:bottom w:val="nil"/>
          <w:right w:val="nil"/>
          <w:between w:val="nil"/>
          <w:bar w:val="nil"/>
        </w:pBdr>
        <w:spacing w:before="0" w:after="240"/>
        <w:rPr>
          <w:rFonts w:eastAsia="Arial Unicode MS"/>
          <w:noProof/>
        </w:rPr>
      </w:pPr>
      <w:r>
        <w:rPr>
          <w:noProof/>
        </w:rPr>
        <w:t xml:space="preserve">Fir-rigward tal-ispejjeż ta’ din l-armonizzazzjoni fuq parteċipanti fis-suq finanzjarju, il-proposta tintroduċi l-obbligu ta’ żvelar biss għal dawk li joffru prodotti finanzjarji li huma jsostnu li huma ambjentalment sostenibbli. Dan se jsir applikabbli biss ladarba tkun ġiet żviluppata s-sistema ta’ klassifikazzjoni tal-UE. Barra minn hekk, l-approċċ meħud f’din il-proposta jagħti biżżejjed flessibbiltà għall-Istati Membri biex jiddeċiedu dwar dettalji speċifiċi tat-tikketti nazzjonali, bħall-flessibbiltà għall-parteċipant fis-swieq finanzjarji fir-rigward tal-grad li fih il-prodott finanzjarju li jkun qed jiġi offrut ikun fih assi kkunsidrati ambjentalment sostenibbli taħt is-sistema ta’ klassifikazzjoni tal-UE. </w:t>
      </w:r>
    </w:p>
    <w:p>
      <w:pPr>
        <w:pBdr>
          <w:top w:val="nil"/>
          <w:left w:val="nil"/>
          <w:bottom w:val="nil"/>
          <w:right w:val="nil"/>
          <w:between w:val="nil"/>
          <w:bar w:val="nil"/>
        </w:pBdr>
        <w:spacing w:before="0" w:after="240"/>
        <w:rPr>
          <w:rFonts w:eastAsia="Arial Unicode MS"/>
          <w:noProof/>
        </w:rPr>
      </w:pPr>
      <w:r>
        <w:rPr>
          <w:noProof/>
        </w:rPr>
        <w:t>Konsegwentement, il-proposta ma tmurx lil hinn minn dak li hu neċessarju biex tindirizza l-kwistjonijiet fil-livell tal-UE.</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Għażla tal-istrument</w:t>
      </w:r>
    </w:p>
    <w:p>
      <w:pPr>
        <w:pBdr>
          <w:top w:val="nil"/>
          <w:left w:val="nil"/>
          <w:bottom w:val="nil"/>
          <w:right w:val="nil"/>
          <w:between w:val="nil"/>
          <w:bar w:val="nil"/>
        </w:pBdr>
        <w:spacing w:before="0" w:after="240"/>
        <w:rPr>
          <w:rFonts w:eastAsia="Arial Unicode MS"/>
          <w:noProof/>
        </w:rPr>
      </w:pPr>
      <w:r>
        <w:rPr>
          <w:noProof/>
        </w:rPr>
        <w:t>Din il-proposta hija mfassla biex tistandardizza l-mod li fih jiġi determinat il-grad tas-sostenibbiltà ambjentali ta’ investiment, billi tistabbilixxi l-kriterji li tali investiment ikollu jissodisfa, sabiex jiġu evitati approċċi nazzjonali differenti. Għażla ta’ strumenti differenti, bħal miżura mhux leġiżlattiva jew direttiva li tipprovdi armonizzazzjoni minima, tħalli lill-Istati Membri d-diskrezzjoni li jiddefinixxu investiment ambjentalment sostenibbli bbażati fuq klassifiki diverġenti ta’ attivitajiet ekonomiċi. Din id-diskrezzjoni tista’ tagħmel is-suq uniku aktar frammentat u jfisser li prodotti finanzjarji bi prestazzjoni ambjentali baxxa xorta se jiġu ttikkettati bħala “ambjentalment sostenibbli”. Din il-proposta tiżgura li l-parteċipanti fis-</w:t>
      </w:r>
      <w:r>
        <w:rPr>
          <w:noProof/>
        </w:rPr>
        <w:lastRenderedPageBreak/>
        <w:t xml:space="preserve">swieq finanzjarji li joffru prodotti finanzjarji bħala investimenti ambjentalment sostenibbli jew bħala investimenti b’karatteristiċi simili jamluha ċara lill-investituri għaliex dawn il-prodotti jistgħu jiġu kkunsidrati ambjentalment sostenibbli, billi tibni fuq kriterji uniformi stabbiliti fil-livell tal-UE. Jenħtieġ regolament li japplika direttament, u li jipprovdi armonizzazzjoni sħiħa biex jinkisbu dawn l-objettivi ta’ politika. Regolament huwa għalhekk l-aħjar mod biex tinkiseb armonizzazzjoni sħiħa, jiġu evitati diverġenzi u b’hekk tiġi żgurata ċarezza ikbar għall-parteċipanti tas-suq.  </w:t>
      </w:r>
    </w:p>
    <w:p>
      <w:pPr>
        <w:keepNext/>
        <w:spacing w:before="360"/>
        <w:outlineLvl w:val="0"/>
        <w:rPr>
          <w:b/>
          <w:smallCaps/>
          <w:noProof/>
        </w:rPr>
      </w:pPr>
      <w:r>
        <w:rPr>
          <w:b/>
          <w:smallCaps/>
          <w:noProof/>
        </w:rPr>
        <w:t>3.</w:t>
      </w:r>
      <w:r>
        <w:rPr>
          <w:noProof/>
        </w:rPr>
        <w:tab/>
      </w:r>
      <w:r>
        <w:rPr>
          <w:b/>
          <w:smallCaps/>
          <w:noProof/>
        </w:rPr>
        <w:t>RIŻULTATI TAL-EVALWAZZJONIJIET EX POST, TAL-KONSULTAZZJONIJIET MAL-PARTIJIET IKKONĊERNATI U TAL-VALUTAZZJONIJIET TAL-IMPATT</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Konsultazzjonijiet mal-partijiet ikkonċernati</w:t>
      </w:r>
    </w:p>
    <w:p>
      <w:pPr>
        <w:rPr>
          <w:rFonts w:eastAsia="Arial Unicode MS"/>
          <w:noProof/>
        </w:rPr>
      </w:pPr>
      <w:r>
        <w:rPr>
          <w:noProof/>
        </w:rPr>
        <w:t>L-opinjonijiet tal-partijiet interessati kienu miġbura permezz ta’ konsultazzjoni pubblika dwar ir-Rapport Interim mill-Grupp ta’ Esperti ta’ Livell Għoli dwar finanzi sostenibbli, u intervisti mmirati tal-istituzzjonijiet finanzjarji, imwettqa mill-Kummissjoni. Il-partijiet interessati ġew mistoqsija dwar x’għandha tkopri tassonomija tal-UE, jekk jarawx il-ħtieġa għal intervent regolatorju, u x’ambitu jenħtieġ li inizjalment ikollha tassonomija tal-UE. L-opinjonijiet miġbura dwar dawn it-tliet temi jistgħu jinġabru fil-qosor kif ġej:</w:t>
      </w:r>
    </w:p>
    <w:p>
      <w:pPr>
        <w:pStyle w:val="Bullet1"/>
        <w:numPr>
          <w:ilvl w:val="0"/>
          <w:numId w:val="50"/>
        </w:numPr>
        <w:rPr>
          <w:noProof/>
        </w:rPr>
      </w:pPr>
      <w:r>
        <w:rPr>
          <w:noProof/>
        </w:rPr>
        <w:t>Intervent regolatorju tal-UE — il-biċċa l-kbira ta’ dawk li wieġbu kienu favur l-iżvilupp ta’ tassonomija (jiġifieri klassifikazzjoni ta’ attivitajiet ekonomiċi sostenibbli) fil-livell tal-UE. Ħafna minnhom qalu li jenħtieġ li tassonomija tal-UE tibni fuq, jew tal-inqas tqis, oqfsa internazzjonali eżistenti (eż. SDGs tan-NU) u klassifikazzjonijiet (eż. il-ħidma tal-Inizjattiva tal-Bonds dwar il-Klima, ta’ Eurosif, it-Task Force dwar Żvelar Finanzjarju Relatat mal-Klima, eċċ.).</w:t>
      </w:r>
    </w:p>
    <w:p>
      <w:pPr>
        <w:pStyle w:val="Bullet1"/>
        <w:rPr>
          <w:noProof/>
        </w:rPr>
      </w:pPr>
      <w:r>
        <w:rPr>
          <w:noProof/>
        </w:rPr>
        <w:t>Kamp ta’ applikazzjoni — il-maġġoranza ta’ dawk li wieġbu indikaw li jenħtieġ li tassonomija tal-UE eventwalment tkopri l-objettivi kollha ta’ sostenibbiltà (ambjentali u soċjali). Uħud minn dawk li wieġbu kienu favur approċċ gradwali li jibda bl-ambjent.</w:t>
      </w:r>
    </w:p>
    <w:p>
      <w:pPr>
        <w:pStyle w:val="Bullet1"/>
        <w:rPr>
          <w:noProof/>
        </w:rPr>
      </w:pPr>
      <w:r>
        <w:rPr>
          <w:noProof/>
        </w:rPr>
        <w:t>Livell ta’ dettall - opinjonijiet differenti rigward il-livell ta’ dettall li jenħtieġ li jkollha t-tassonomija tal-UE. Filwaqt li l-industrija finanzjarja ġeneralment tiffavorixxi tassonomija mhux preskrittiva, partijiet ikkonċernati oħra (individwi privati u s-soċjetà ċivili) ippreferew tassonomija iktar dettaljata, li tipprovdi definizzjonijiet ċari u kriterji (li jistgħu jitkejlu).</w:t>
      </w:r>
    </w:p>
    <w:p>
      <w:pPr>
        <w:pBdr>
          <w:top w:val="nil"/>
          <w:left w:val="nil"/>
          <w:bottom w:val="nil"/>
          <w:right w:val="nil"/>
          <w:between w:val="nil"/>
          <w:bar w:val="nil"/>
        </w:pBdr>
        <w:spacing w:before="0" w:after="240"/>
        <w:rPr>
          <w:rFonts w:eastAsia="Arial Unicode MS"/>
          <w:noProof/>
        </w:rPr>
      </w:pPr>
      <w:r>
        <w:rPr>
          <w:noProof/>
        </w:rPr>
        <w:t>Il-proposta tal-Kummissjoni hija ġeneralment konformi mal-opinjonijiet tal-partijiet interessati fir-rigward ta’: i) l-istabbiliment ta’ kriterji uniformi u proċess ċar għall-istabbiliment ta’ tassonomija ta’ attivitajiet ambjentalment sostenibbli f'att legalment vinkolanti, ibbażat fuq l-objettivi ambjentali; ii) l-iżgurar li t-tassonomija tal-UE tinbena fuq oqfsa internazzjonali eżistenti u li tkun granulari u dettaljata biżżejjed biex tipprovdi l-bażi għal lingwa komuni u unika dwar is-sostenibbiltà; iii) il-provvediment ta’ klawsola ta' rieżami biex possibbilment tkopri wkoll għanijiet soċjali. Jnħtieġ li dan jindirizza l-frammentazzjoni attwali u jġibu ċ-ċarezza meħtieġa għall-investituri fir-rigward ta’ x’inhuma attivitajiet ekonomiċi ambjentalment sostenibbli.</w:t>
      </w:r>
    </w:p>
    <w:p>
      <w:pPr>
        <w:keepNext/>
        <w:outlineLvl w:val="1"/>
        <w:rPr>
          <w:rFonts w:eastAsia="Arial Unicode MS"/>
          <w:b/>
          <w:noProof/>
          <w:color w:val="0000FF"/>
        </w:rPr>
      </w:pPr>
      <w:r>
        <w:rPr>
          <w:b/>
          <w:noProof/>
          <w:u w:color="000000"/>
          <w:bdr w:val="nil"/>
        </w:rPr>
        <w:t>•</w:t>
      </w:r>
      <w:r>
        <w:rPr>
          <w:noProof/>
        </w:rPr>
        <w:tab/>
      </w:r>
      <w:r>
        <w:rPr>
          <w:b/>
          <w:noProof/>
          <w:u w:color="000000"/>
          <w:bdr w:val="nil"/>
        </w:rPr>
        <w:t>Ġbir u użu tal-għarfien espert</w:t>
      </w:r>
    </w:p>
    <w:p>
      <w:pPr>
        <w:pBdr>
          <w:top w:val="nil"/>
          <w:left w:val="nil"/>
          <w:bottom w:val="nil"/>
          <w:right w:val="nil"/>
          <w:between w:val="nil"/>
          <w:bar w:val="nil"/>
        </w:pBdr>
        <w:spacing w:before="0" w:after="240"/>
        <w:rPr>
          <w:noProof/>
        </w:rPr>
      </w:pPr>
      <w:r>
        <w:rPr>
          <w:noProof/>
        </w:rPr>
        <w:t xml:space="preserve">Il-proposta hija mibnija fuq ir-rapport finali tal-Grupp ta’ Esperti ta’ Livell Għoli dwar finanzjament sostenibbli li jirrakkomanda li tiġi stabbilita u li tinżamm tassonomija ta’ </w:t>
      </w:r>
      <w:r>
        <w:rPr>
          <w:noProof/>
        </w:rPr>
        <w:lastRenderedPageBreak/>
        <w:t>sostenibbiltà komuni fil-livell tal-UE. Skont dan ir-rapport, jenħtieġ li din il-klassifikazzjoni kondiviża għall-UE kollha ta’ attivitajiet sostenibbli:</w:t>
      </w:r>
    </w:p>
    <w:p>
      <w:pPr>
        <w:pStyle w:val="Bullet1"/>
        <w:rPr>
          <w:noProof/>
        </w:rPr>
      </w:pPr>
      <w:r>
        <w:rPr>
          <w:noProof/>
        </w:rPr>
        <w:t>tkun allinjata mal-objettivi tal-politika pubblika ddikjarata tal-UE, inkluż l-implimentazzjoni tal-Ftehim ta’ Pariġi, l-SDGs;</w:t>
      </w:r>
    </w:p>
    <w:p>
      <w:pPr>
        <w:pStyle w:val="Bullet1"/>
        <w:rPr>
          <w:noProof/>
        </w:rPr>
      </w:pPr>
      <w:r>
        <w:rPr>
          <w:noProof/>
        </w:rPr>
        <w:t xml:space="preserve">tagħti lill-parteċipanti fis-suq kapitali gwida dwar ir-rilevanza ta’ attivitajiet speċifiċi jew dwar il-kontribut tagħhom; </w:t>
      </w:r>
    </w:p>
    <w:p>
      <w:pPr>
        <w:pStyle w:val="Bullet1"/>
        <w:rPr>
          <w:noProof/>
        </w:rPr>
      </w:pPr>
      <w:r>
        <w:rPr>
          <w:noProof/>
        </w:rPr>
        <w:t>jenħtieġ li l-parametri ta’ tassonomija u d-</w:t>
      </w:r>
      <w:r>
        <w:rPr>
          <w:i/>
          <w:noProof/>
        </w:rPr>
        <w:t>data</w:t>
      </w:r>
      <w:r>
        <w:rPr>
          <w:noProof/>
        </w:rPr>
        <w:t xml:space="preserve"> li ssostnihom ikunu liberament aċċessibbli, u jenħtieġ li jiġu żviluppati permezz ta’ proċess li jinvolvi diversi partijiet ikkonċernati sabiex jiġi żgurat ix-xiri sfurzat tas-suq;</w:t>
      </w:r>
    </w:p>
    <w:p>
      <w:pPr>
        <w:pStyle w:val="Bullet1"/>
        <w:rPr>
          <w:noProof/>
        </w:rPr>
      </w:pPr>
      <w:r>
        <w:rPr>
          <w:noProof/>
        </w:rPr>
        <w:t>tkun għodda li tevolvi. Ix-xjenza madwar is-sostenibbiltà hija dinamika u qed tevolvi, bħalma huma l-aspettattivi soċjali kif ukoll il-ħtiġijiet tal-investituri u tas-suq. Għalhekk, jenħtieġ li t-tassonomija titqies li tirrappreżenta l-aqwa għarfien disponibbli attwalment tagħna u se tirrikjedi reviżjoni kontinwa.</w:t>
      </w:r>
    </w:p>
    <w:p>
      <w:pPr>
        <w:pBdr>
          <w:top w:val="nil"/>
          <w:left w:val="nil"/>
          <w:bottom w:val="nil"/>
          <w:right w:val="nil"/>
          <w:between w:val="nil"/>
          <w:bar w:val="nil"/>
        </w:pBdr>
        <w:spacing w:before="0" w:after="240"/>
        <w:rPr>
          <w:noProof/>
        </w:rPr>
      </w:pPr>
      <w:r>
        <w:rPr>
          <w:noProof/>
        </w:rPr>
        <w:t>Barra minn hekk, il-proposta tibni fuq studju “li jiddefinixxi “ekoloġiku” fil-kuntest tal-finanzjament ekoloġiku” ikkummissjonat mill-Kummissjoni fl-2017 li jippreżenta:</w:t>
      </w:r>
    </w:p>
    <w:p>
      <w:pPr>
        <w:pStyle w:val="Bullet1"/>
        <w:rPr>
          <w:noProof/>
        </w:rPr>
      </w:pPr>
      <w:r>
        <w:rPr>
          <w:noProof/>
        </w:rPr>
        <w:t>ħarsa ġenerali u analiżi tal-isforzi dinjija biex jiġi definit “ekoloġiċi” fil-kuntest ta’ bonds ekoloġiċi, self u ekwità elenkata;</w:t>
      </w:r>
    </w:p>
    <w:p>
      <w:pPr>
        <w:pStyle w:val="Bullet1"/>
        <w:rPr>
          <w:noProof/>
        </w:rPr>
      </w:pPr>
      <w:r>
        <w:rPr>
          <w:noProof/>
        </w:rPr>
        <w:t xml:space="preserve">il-mezzi u l-iskop għall-identifikazzjoni ta’ assi u attivitajiet “ekoloġiċi” permezz ta’ definizzjonijiet kunċettwali, tassonomiji, metodoloġiji ta’ klassifikazzjoni u mekkaniżmi oħra; </w:t>
      </w:r>
    </w:p>
    <w:p>
      <w:pPr>
        <w:pStyle w:val="Bullet1"/>
        <w:rPr>
          <w:noProof/>
        </w:rPr>
      </w:pPr>
      <w:r>
        <w:rPr>
          <w:noProof/>
        </w:rPr>
        <w:t>lista ta’ definizzjonijiet “ekoloġiċi” disponibbli, deskrizzjonijiet u valutazzjonijiet ta’ ċerti definizzjonijiet, kif ukoll paragun ta’ tassonomiji settorjali “ekoloġiċi” disponibbli.</w:t>
      </w:r>
    </w:p>
    <w:p>
      <w:pPr>
        <w:pBdr>
          <w:top w:val="nil"/>
          <w:left w:val="nil"/>
          <w:bottom w:val="nil"/>
          <w:right w:val="nil"/>
          <w:between w:val="nil"/>
          <w:bar w:val="nil"/>
        </w:pBdr>
        <w:spacing w:before="0" w:after="240"/>
        <w:rPr>
          <w:noProof/>
        </w:rPr>
      </w:pPr>
      <w:r>
        <w:rPr>
          <w:noProof/>
        </w:rPr>
        <w:t>Din il-proposta tniedi proċess gradwali għall-istabbiliment ta’ sistema ta’ klassifikazzjoni tal-UE, li jinvolvi firxa wiesgħa ta’ partijiet ikkonċernati b’għarfien u kompetenzi rilevanti. Bħala l-ewwel pass, din il-proposta tistabbilixxi l-qafas biex tistabbilixxi kriterji uniformi biex juru meta attività ekonomika tista’ tiġi kkunsidrata bħala ambjentalment sostenibbli. Wara, il-Kummissjoni se tidentifika l-attivitajiet li se jikkwalifikaw bħala sostenibbli filwaqt li tieħu l-parir tekniku ta’ pjattaforma dwar finanzi sostenibbli li jikkonsisti minn esperti.</w:t>
      </w:r>
    </w:p>
    <w:p>
      <w:pPr>
        <w:pBdr>
          <w:top w:val="nil"/>
          <w:left w:val="nil"/>
          <w:bottom w:val="nil"/>
          <w:right w:val="nil"/>
          <w:between w:val="nil"/>
          <w:bar w:val="nil"/>
        </w:pBdr>
        <w:spacing w:before="0" w:after="240"/>
        <w:rPr>
          <w:noProof/>
        </w:rPr>
      </w:pPr>
      <w:r>
        <w:rPr>
          <w:noProof/>
        </w:rPr>
        <w:t xml:space="preserve">Dan l-approċċ jirrifletti l-fatt li għarfien tal-impatti ambjentali u l-għarfien espert fil-qasam qed jiżviluppaw b’rata mgħaġġla. Il-qafas legali jrid għalhekk jibqa’ flessibbli sabiex ikun jista’ jiġi aġġornat fejn meħtieġ fid-dawl ta’ żviluppi futuri xjentifiċi, teknoloġiċi u tas-suq. It-tieni nett, din il-proposta tqis il-livell għoli ta’ kumplessità, dettall, il-granularità u, għalhekk, ir-riżorsi meħtieġa; dan huwa tali li l-klassifikazzjoni tal-UE se teħtieġ li tkun żviluppata b’mod gradwali, billi tibda b’dawk l-oqsma ambjentali fejn hija l-aktar meħtieġa b’mod urġenti u l-għarfien huwa aktar avvanzat. </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Valutazzjoni tal-impatt</w:t>
      </w:r>
    </w:p>
    <w:p>
      <w:pPr>
        <w:autoSpaceDE w:val="0"/>
        <w:autoSpaceDN w:val="0"/>
        <w:adjustRightInd w:val="0"/>
        <w:spacing w:before="0" w:after="0"/>
        <w:rPr>
          <w:rFonts w:eastAsia="Arial Unicode MS"/>
          <w:noProof/>
          <w:szCs w:val="24"/>
        </w:rPr>
      </w:pPr>
      <w:r>
        <w:rPr>
          <w:noProof/>
        </w:rPr>
        <w:t>Il-proposta tikkunsidra l-opinjonijiet (l-opinjoni pożittiva b’riżervi maħruġa fl-14 ta’ Mejju 2018 u l-aħħar żewġ opinjonijiet negattivi) maħruġa mill-Bord tal-Iskrutinju Regolatorju (RSB). Il-proposta u l-valutazzjoni tal-impatt riveduta jindirizzaw il-kummenti tal-RSB, li kkonkludew fl-opinjonijiet tagħhom li kienu meħtieġa aktar aġġustamenti qabel ma jipproċedu b’din l-inizjattiva.</w:t>
      </w:r>
    </w:p>
    <w:p>
      <w:pPr>
        <w:autoSpaceDE w:val="0"/>
        <w:autoSpaceDN w:val="0"/>
        <w:adjustRightInd w:val="0"/>
        <w:spacing w:before="0" w:after="0"/>
        <w:rPr>
          <w:rFonts w:eastAsia="Arial Unicode MS"/>
          <w:noProof/>
          <w:szCs w:val="24"/>
        </w:rPr>
      </w:pPr>
      <w:r>
        <w:rPr>
          <w:noProof/>
        </w:rPr>
        <w:t>Kummenti li waslu bħala parti mit-tielet opinjoni pożittiva ffokaw fuq:</w:t>
      </w:r>
    </w:p>
    <w:p>
      <w:pPr>
        <w:pStyle w:val="Bullet1"/>
        <w:rPr>
          <w:noProof/>
        </w:rPr>
      </w:pPr>
      <w:r>
        <w:rPr>
          <w:noProof/>
        </w:rPr>
        <w:lastRenderedPageBreak/>
        <w:t xml:space="preserve">l-iżgurar taċ-ċarezza dwar l-operazzjonalizzazzjoni tal-kunċetti ta’ “tagħmilx ħsara” u “kkontribwixxi b’mod sostanzjali għas-sostenibbiltà”; </w:t>
      </w:r>
    </w:p>
    <w:p>
      <w:pPr>
        <w:pStyle w:val="Bullet1"/>
        <w:rPr>
          <w:noProof/>
        </w:rPr>
      </w:pPr>
      <w:r>
        <w:rPr>
          <w:noProof/>
        </w:rPr>
        <w:t>l-iżgurar li l-qafas ta’ monitoraġġ u evalwazzjoni jinkludi kwistjonijiet u riskji li jridu jiġu kkunsidrati meta jiġu żviluppati kriterji tekniċi ta’ skrinjar;</w:t>
      </w:r>
    </w:p>
    <w:p>
      <w:pPr>
        <w:pStyle w:val="Bullet1"/>
        <w:rPr>
          <w:noProof/>
        </w:rPr>
      </w:pPr>
      <w:r>
        <w:rPr>
          <w:noProof/>
        </w:rPr>
        <w:t>aktar trasparenza meta jitqabblu l-għażliet ta’ kompromess bejn il-kostijiet u l-benefiċċji</w:t>
      </w:r>
    </w:p>
    <w:p>
      <w:pPr>
        <w:autoSpaceDE w:val="0"/>
        <w:autoSpaceDN w:val="0"/>
        <w:adjustRightInd w:val="0"/>
        <w:spacing w:before="0" w:after="0"/>
        <w:rPr>
          <w:rFonts w:eastAsia="Arial Unicode MS"/>
          <w:noProof/>
          <w:szCs w:val="24"/>
        </w:rPr>
      </w:pPr>
      <w:r>
        <w:rPr>
          <w:noProof/>
        </w:rPr>
        <w:t>Dawn il-kwistjonijiet ġew indirizzati fl-aħħar verżjoni riveduta tal-valutazzjoni tal-impatt.</w:t>
      </w:r>
    </w:p>
    <w:p>
      <w:pPr>
        <w:autoSpaceDE w:val="0"/>
        <w:autoSpaceDN w:val="0"/>
        <w:adjustRightInd w:val="0"/>
        <w:spacing w:before="0" w:after="0"/>
        <w:rPr>
          <w:rFonts w:eastAsia="Arial Unicode MS"/>
          <w:noProof/>
          <w:szCs w:val="24"/>
        </w:rPr>
      </w:pPr>
      <w:r>
        <w:rPr>
          <w:noProof/>
        </w:rPr>
        <w:t>Kummenti riċevuti mingħand l-RSB preċedentement kienu indirizzati bis-sħiħ kemm fil-proposta kif ukoll fil-valutazzjoni tal-impatt riveduta li jakkumpanjaha u jistgħu jinġabru fi tliet oqsma ta’ tħassib usa’:</w:t>
      </w:r>
    </w:p>
    <w:p>
      <w:pPr>
        <w:autoSpaceDE w:val="0"/>
        <w:autoSpaceDN w:val="0"/>
        <w:adjustRightInd w:val="0"/>
        <w:spacing w:before="0" w:after="0"/>
        <w:rPr>
          <w:rFonts w:eastAsia="Arial Unicode MS"/>
          <w:noProof/>
        </w:rPr>
      </w:pPr>
      <w:r>
        <w:rPr>
          <w:noProof/>
        </w:rPr>
        <w:t>L-ewwel nett, u b’mod aktar ġenerali, l-RSB issuġġerixxa li jenħtieġ li l-valutazzjoni tal-impatt tispjega aħjar il-kamp ta' applikazzjoni, is-sekwenzjar u l-koerenza tad-diversi miżuri, inkluż it-tassonomija u kif din tinteraġixxi ma’ proposti oħra. Bħala tali, il-verżjoni finali tal-valutazzjoni tal-impatt ibbenefikat mit-titjib li ġej:</w:t>
      </w:r>
    </w:p>
    <w:p>
      <w:pPr>
        <w:pStyle w:val="Bullet1"/>
        <w:rPr>
          <w:noProof/>
        </w:rPr>
      </w:pPr>
      <w:r>
        <w:rPr>
          <w:noProof/>
        </w:rPr>
        <w:t>l-użi immedjati u potenzjali fil-futur tat-tassonomija ġew deskritti aħjar, kif ukoll kif se tiġi operazzjonalizzata;</w:t>
      </w:r>
    </w:p>
    <w:p>
      <w:pPr>
        <w:pStyle w:val="Bullet1"/>
        <w:rPr>
          <w:noProof/>
        </w:rPr>
      </w:pPr>
      <w:r>
        <w:rPr>
          <w:noProof/>
        </w:rPr>
        <w:t xml:space="preserve">ġie ċċarat li jitwettaq valutazzjoni tal-impatt fuq in-natura u d-daqs tal-kostijiet qabel l-adozzjoni ta’ kull att iddelegat li jistabbilixxi l-kriterji tekniċi ta’ skrinjar; </w:t>
      </w:r>
    </w:p>
    <w:p>
      <w:pPr>
        <w:pStyle w:val="Bullet1"/>
        <w:rPr>
          <w:noProof/>
        </w:rPr>
      </w:pPr>
      <w:r>
        <w:rPr>
          <w:noProof/>
        </w:rPr>
        <w:t xml:space="preserve">il-konsistenza u l-kumplimentarjetà ma’ leġiżlazzjoni eżistenti tal-UE u politiki f’oqsma oħra (eż. ambjent u klima, enerġija, trasport) ġew spjegati; </w:t>
      </w:r>
    </w:p>
    <w:p>
      <w:pPr>
        <w:pStyle w:val="Bullet1"/>
        <w:rPr>
          <w:noProof/>
        </w:rPr>
      </w:pPr>
      <w:r>
        <w:rPr>
          <w:noProof/>
        </w:rPr>
        <w:t>is-sekwenzar u l-interazzjonijiet bejn “tassonomija ambjentali” u “tassonomija soċjali” ġew spjegati;</w:t>
      </w:r>
    </w:p>
    <w:p>
      <w:pPr>
        <w:pStyle w:val="Bullet1"/>
        <w:rPr>
          <w:noProof/>
        </w:rPr>
      </w:pPr>
      <w:r>
        <w:rPr>
          <w:noProof/>
        </w:rPr>
        <w:t xml:space="preserve">ġie iċċarat kif it-tassonomija se tiġi estiża u aġġornata matul iż-żmien u ġew stmati l-kostijiet amministrattivi assoċjati; </w:t>
      </w:r>
    </w:p>
    <w:p>
      <w:pPr>
        <w:pStyle w:val="Bullet1"/>
        <w:rPr>
          <w:noProof/>
        </w:rPr>
      </w:pPr>
      <w:r>
        <w:rPr>
          <w:noProof/>
        </w:rPr>
        <w:t>kif ġie ċċarat kif il-koleġiżlaturi jkunu infurmati/involuti matul l-iżvilupp ta’ kriterji tekniċi ta’ skrinjar.</w:t>
      </w:r>
    </w:p>
    <w:p>
      <w:pPr>
        <w:autoSpaceDE w:val="0"/>
        <w:autoSpaceDN w:val="0"/>
        <w:adjustRightInd w:val="0"/>
        <w:spacing w:before="0" w:after="0"/>
        <w:rPr>
          <w:rFonts w:eastAsia="Arial Unicode MS"/>
          <w:noProof/>
          <w:szCs w:val="24"/>
        </w:rPr>
      </w:pPr>
      <w:r>
        <w:rPr>
          <w:noProof/>
        </w:rPr>
        <w:t>It-tieni nett, u b’mod aktar speċifiku, l-RSB esprima tħassib dwar l-użu immedjat tat-tassonomija u r-riskji assoċjati jekk tali użu jsir obbligatorju għal parteċipanti fis-suq finanzjarju qabel it-tassonomija tkun laħqet stabbiltà u maturità suffiċjenti. It-test legali propost, ibbażat fuq il-valutazzjoni tal-impatt riveduta, tindirizza dan it-tħassib kif ġej:</w:t>
      </w:r>
    </w:p>
    <w:p>
      <w:pPr>
        <w:pStyle w:val="Bullet1"/>
        <w:rPr>
          <w:noProof/>
        </w:rPr>
      </w:pPr>
      <w:r>
        <w:rPr>
          <w:b/>
          <w:noProof/>
        </w:rPr>
        <w:t>Għadd ta’ dispożizzjonijiet f’din il-proposta jiżguraw li t-tassonomija se tintuża biss ladarba tkun stabbli u matura</w:t>
      </w:r>
      <w:r>
        <w:rPr>
          <w:noProof/>
        </w:rPr>
        <w:t>, sabiex jiġu evitati kostijiet  sproporzjonati fuq il-parteċipanti fis-swieq finanzjarji. L-għan ta’ dawn is-salvagwardji huwa li l-użu tat-tassonomija tiġi biss fi tmiem il-proċess konsultattiv mal-partijiet interessati li ħolqot xiri sfurzat u fehim tajjeb tal-kunċett:</w:t>
      </w:r>
    </w:p>
    <w:p>
      <w:pPr>
        <w:pStyle w:val="Tiret2"/>
        <w:numPr>
          <w:ilvl w:val="0"/>
          <w:numId w:val="51"/>
        </w:numPr>
        <w:rPr>
          <w:noProof/>
        </w:rPr>
      </w:pPr>
      <w:r>
        <w:rPr>
          <w:noProof/>
        </w:rPr>
        <w:t>L-Artikolu 18 jistabbilixxi li l-parti operattiva ta’ dan ir-Regolament (l-Artikoli 3 sa 12) se jidħlu fis-seħħ sitt xhur wara d-dħul fis-seħħ tal-atti delegati. Dan ifisser li l-parteċipanti fis-swieq finanzjarji mhux se jkunu obbligati li japplikaw il-kriterji għal attivitajiet ekonomiċi ambjentalment sostenibbli sakemm ikollhom biżżejjed żmien biex jippreparaw u jiffamiljarizzaw ruħhom mar-regoli u l-applikazzjoni tagħhom.</w:t>
      </w:r>
    </w:p>
    <w:p>
      <w:pPr>
        <w:pStyle w:val="Tiret2"/>
        <w:rPr>
          <w:noProof/>
        </w:rPr>
      </w:pPr>
      <w:r>
        <w:rPr>
          <w:noProof/>
        </w:rPr>
        <w:lastRenderedPageBreak/>
        <w:t xml:space="preserve">Il-parteċipanti fis-swieq finanzjarji li jbigħu prodotti finanzjarji bħala ambjentalment sostenibbli se jkunu meħtieġa jipprovdu divulgazzjoni xierqa. Madankollu, din il-proposta tiżgura li l-obbligi ta’ divulgazzjoni rilevanti huma tali li ma jitfgħux piż sproporzjonat fuq il-parteċipanti fis-swieq finanzjarji rilevanti. L-Artikolu 4 jeħtieġ id-divulgazzjoni tal-mod kif u sa liema punt il-kriterji li jiddeterminaw is-sostenibbiltà ambjentali tal-investiment, kif stabbilit mit-tassonomija, kienu kkunsidrati fil-proċessi ta’ teħid ta’ deċiżjonijiet ta’ investiment. L-atti delegati se jispeċifikaw il-portata eżatta ta’ dan l-obbligu ta’ divulgazzjoni, abbażi ta’ valutazzjoni tal-impatt dettaljata. </w:t>
      </w:r>
    </w:p>
    <w:p>
      <w:pPr>
        <w:pStyle w:val="Tiret2"/>
        <w:rPr>
          <w:noProof/>
        </w:rPr>
      </w:pPr>
      <w:r>
        <w:rPr>
          <w:noProof/>
        </w:rPr>
        <w:t>Amministraturi ta’ parametri referenzjarji jew impatt pożittiv b’livell baxx tal-karbonju se jkunu jistgħu jfasslu metodoloġiji u obbligu ta’ divulgazzjoni relatati mingħajr ma jkunu obbligati jużaw it-tassonomija, li se jikkostitwixxi biss referenza għall-għażla tal-parametru referenzjarju ta’ assi sottostanti.</w:t>
      </w:r>
    </w:p>
    <w:p>
      <w:pPr>
        <w:autoSpaceDE w:val="0"/>
        <w:autoSpaceDN w:val="0"/>
        <w:adjustRightInd w:val="0"/>
        <w:spacing w:before="0" w:after="0"/>
        <w:rPr>
          <w:rFonts w:eastAsia="Arial Unicode MS"/>
          <w:noProof/>
          <w:szCs w:val="24"/>
        </w:rPr>
      </w:pPr>
      <w:r>
        <w:rPr>
          <w:noProof/>
        </w:rPr>
        <w:t>It-tielet nett, l-RSB kien imħasseb dwar il-mod li bih is-sitt objettivi ambjentali tat-tassonomija, kif stipulat fl-Artikolu 5, se jiġu operazzjonalizzati, partikolarment fir-rigward tal-kunċett ta’ “tagħmilx ħsara” u l-interazzjoni tiegħu mal-leġiżlazzjoni eżistenti tal-Unjoni, kif ukoll il-kunċett ta’ “kontribuzzjoni b’mod sostanzjali għas-sostenibbiltà”. Tħassib relatat kien il-kwistjonijiet potenzjali ta’ distorsjoni tal-kompetizzjoni meta jiġu stipulati kriterji eteroġeni għal sottosetturi differenti. Dan it-tħassib kien rifless fil-valutazzjoni tal-impatt u t-test legali jindirizzahom kif ġej:</w:t>
      </w:r>
    </w:p>
    <w:p>
      <w:pPr>
        <w:pStyle w:val="Bullet1"/>
        <w:rPr>
          <w:noProof/>
        </w:rPr>
      </w:pPr>
      <w:r>
        <w:rPr>
          <w:noProof/>
        </w:rPr>
        <w:t xml:space="preserve">Il-premessi jenfasizzaw li l-impatt tal-atti delegati li jiddeterminaw il-kriterji tekniċi tal-iskrinjar għal kull wieħed mis-sitt objettivi ambjentali se jkunu vvalutati bir-reqqa. L-għoti tas-setgħa lill-Kummissjoni jistabbilixxi li ż-żewġ settijiet ta’ kriterji — dawk li jissodisfaw ir-rekwiżit “tagħmilx ħsara” u dawk li jistabbilixxu attività sostanzjali ta’ “sostenibbiltà” — se jiġu indirizzati flimkien f’att delegat wieħed għal kull wieħed mis-sitt objettivi. </w:t>
      </w:r>
    </w:p>
    <w:p>
      <w:pPr>
        <w:pStyle w:val="Bullet1"/>
        <w:rPr>
          <w:noProof/>
        </w:rPr>
      </w:pPr>
      <w:r>
        <w:rPr>
          <w:noProof/>
        </w:rPr>
        <w:t xml:space="preserve">L-Artikolu 14(1)(d) </w:t>
      </w:r>
      <w:r>
        <w:rPr>
          <w:noProof/>
          <w:color w:val="000000"/>
        </w:rPr>
        <w:t>jitlob li l-iżvilupp ta’ kriterji tekniċi tal-iskrinjar iqis kwalunkwe leġiżlazzjoni eżistenti rilevanti tal-UE.</w:t>
      </w:r>
      <w:r>
        <w:rPr>
          <w:noProof/>
        </w:rPr>
        <w:t xml:space="preserve"> </w:t>
      </w:r>
    </w:p>
    <w:p>
      <w:pPr>
        <w:pStyle w:val="Bullet1"/>
        <w:rPr>
          <w:noProof/>
        </w:rPr>
      </w:pPr>
      <w:r>
        <w:rPr>
          <w:noProof/>
        </w:rPr>
        <w:t>L-Artikolu 14(1)(h) jitlob li l-kriterji tekniċi ta’ skrinjar jirrikonoxxu r-riskju ta’ assi mitlufa u l-impatt potenzjali tal-miżuri proposti fuq il-likwidità tas-suq. Dawn ir-riskji, kif ukoll kwalunkwe riskji potenzjali li jipprovdu l-inċentivi inkonsistenti, se jiġu vvalutati b’mod rigoruż meta jkunu qed jiġu żviluppati l-kriterji tekniċi ta’ skrinjar bħala parti mill-atti delegati, deskritti fl-Artikolu 14.</w:t>
      </w:r>
    </w:p>
    <w:p>
      <w:pPr>
        <w:pStyle w:val="Bullet1"/>
        <w:rPr>
          <w:noProof/>
        </w:rPr>
      </w:pPr>
      <w:r>
        <w:rPr>
          <w:noProof/>
        </w:rPr>
        <w:t>L-Artikolu 14(1)(i) jistipula li l-atti delegati se jiġu żviluppati skont l-objettiv, wieħed wieħed, fis-setturi rilevanti kollha, sabiex ma joħolqux distorsjoni tal-kompetizzjoni. Il-premessa 27 tappoġġja din id-dispożizzjoni.</w:t>
      </w:r>
    </w:p>
    <w:p>
      <w:pPr>
        <w:pStyle w:val="Bullet1"/>
        <w:rPr>
          <w:noProof/>
        </w:rPr>
      </w:pPr>
      <w:r>
        <w:rPr>
          <w:noProof/>
        </w:rPr>
        <w:t>L-Artikolu 18 jipprovdi salvagwardji addizzjonali għall-użu tat-tassonomija minn parteċipant fis-swieq finanzjarji meta jiddiferixxi l-applikazzjoni ta’ dispożizzjonijiet operattivi f’dan ir-Regolament. Dan jiżgura li ma jiġux imposti obbligi addizzjonali fuq il-parteċipanti fis-swieq finanzjarji sakemm ikun hemm biżżejjed ċarezza dwar il-kontenut tat-tassonomija u l-konformità magħha jkunu stabbiliti.</w:t>
      </w:r>
    </w:p>
    <w:p>
      <w:pPr>
        <w:autoSpaceDE w:val="0"/>
        <w:autoSpaceDN w:val="0"/>
        <w:adjustRightInd w:val="0"/>
        <w:spacing w:before="0" w:after="0"/>
        <w:jc w:val="left"/>
        <w:rPr>
          <w:rFonts w:eastAsia="Arial Unicode MS"/>
          <w:noProof/>
        </w:rPr>
      </w:pPr>
      <w:r>
        <w:rPr>
          <w:noProof/>
        </w:rPr>
        <w:t>Il-proposta hija konformi mal-konklużjonijiet tal-istima tal-impatt fuq l-għażla preferuta.</w:t>
      </w:r>
    </w:p>
    <w:p>
      <w:pPr>
        <w:autoSpaceDE w:val="0"/>
        <w:autoSpaceDN w:val="0"/>
        <w:adjustRightInd w:val="0"/>
        <w:spacing w:before="0" w:after="0"/>
        <w:jc w:val="left"/>
        <w:rPr>
          <w:rFonts w:eastAsia="Arial Unicode MS"/>
          <w:noProof/>
        </w:rPr>
      </w:pPr>
      <w:r>
        <w:rPr>
          <w:noProof/>
        </w:rPr>
        <w:t>L-alternattivi ġenerali tal-politika eżaminati fil-valutazzjoni tal-impatt kienu jikkonsistu fl-għażliet li ġejjin:</w:t>
      </w:r>
    </w:p>
    <w:p>
      <w:pPr>
        <w:pStyle w:val="Bullet1"/>
        <w:rPr>
          <w:noProof/>
        </w:rPr>
      </w:pPr>
      <w:r>
        <w:rPr>
          <w:noProof/>
        </w:rPr>
        <w:lastRenderedPageBreak/>
        <w:t>l-ebda azzjoni mill-UE (Għażla 1)</w:t>
      </w:r>
    </w:p>
    <w:p>
      <w:pPr>
        <w:pStyle w:val="Bullet1"/>
        <w:rPr>
          <w:noProof/>
        </w:rPr>
      </w:pPr>
      <w:r>
        <w:rPr>
          <w:noProof/>
        </w:rPr>
        <w:t>Tassonomija ambjentali tal-UE b’livell medju ta’ granularità (Għażla 2)</w:t>
      </w:r>
    </w:p>
    <w:p>
      <w:pPr>
        <w:pStyle w:val="Bullet1"/>
        <w:rPr>
          <w:noProof/>
        </w:rPr>
      </w:pPr>
      <w:r>
        <w:rPr>
          <w:noProof/>
        </w:rPr>
        <w:t>Tassonomija ambjentali tal-UE b’livell għoli ta’ granularità (Għażla 3)</w:t>
      </w:r>
    </w:p>
    <w:p>
      <w:pPr>
        <w:rPr>
          <w:noProof/>
        </w:rPr>
      </w:pPr>
      <w:r>
        <w:rPr>
          <w:noProof/>
        </w:rPr>
        <w:t xml:space="preserve">Skont l-ewwel għażla, inizjattivi mmexxija mis-suq jew ibbażati fuq is-suq b’kampijiet ta’ applikazzjoni differenti x’aktarx li jkomplu jiġu żviluppati u jikkompetu ma’ klassifikazzjonijiet żviluppati minn korpi pubbliċi fil-futur (eż. il-BEI) u għalhekk ma titfaċċax sistema ta’ klassifikazzjoni koerenti u univokali dwar attivitajiet sostenibbli fuq medda medja sa medda twila ta’ żmien. Dan x’aktarx jillimita l-possibbiltà ta’ ridirezzjoni tal-flussi kapitali lejn l-għanijiet tas-sostenibbiltà. L-Għażla 2, min-naħa l-oħra, tipprevedi l-identifikazzjoni ta’ sitt objettivi ambjentali tal-UE u l-identifikazzjoni u l-klassifikazzjoni tal-attivitajiet ekonomiċi (miġbura skont makrosetturi, setturi u sottosetturi) li jikkontribwixxu b’mod mhux ambigwu lil kwalunkwe minnhom. Madankollu, in-nuqqas ta’ kriterji tekniċi ta’ skrinjar aktar granulari jqajjem dubji dwar (i) kemm hi fil-fatt “ekoloġika” it-tassonomija taħt l-Għażla 2 (minħabba li tista’ tiffavorixxi l-attivitajiet ekonomiċi f’subsettur definit bħala “ekoloġiku” anki jekk ikollha prestazzjoni ambjentali baxxa) u (ii) x’kontribuzzjoni tagħti lejn objettiv ambjentali tal-UE (eż. in-nuqqas ta’ impatti li jistgħu jitkejlu wkoll irendi l-ġbir u l-monitoraġġ ta’ </w:t>
      </w:r>
      <w:r>
        <w:rPr>
          <w:i/>
          <w:noProof/>
        </w:rPr>
        <w:t>data</w:t>
      </w:r>
      <w:r>
        <w:rPr>
          <w:noProof/>
        </w:rPr>
        <w:t xml:space="preserve"> aktar diffiċli). </w:t>
      </w:r>
    </w:p>
    <w:p>
      <w:pPr>
        <w:rPr>
          <w:rFonts w:eastAsia="Arial Unicode MS"/>
          <w:noProof/>
        </w:rPr>
      </w:pPr>
      <w:r>
        <w:rPr>
          <w:noProof/>
        </w:rPr>
        <w:t>Għażla 3 — li minflok tipprevedi l-iżvilupp ta’ kriterji tekniċi għal skrinjar speċifiċi għal sottosetturi u l-objettiv ambjentali li l-UE tikkontribwixxi għalihom — hija l-għażla preferuta peress li tipprovdi ċarezza sħiħa dwar liema attivitajiet huma ambjentalment sostenibbli billi jingħelbu n-nuqqasijiet ewlenin identifikati taħt it-tassonomija inqas granulari (Għażla 2). F’termini tal-impatti ekonomiċi, klassifikazzjoni uniformi fil-livell tal-UE tgħin biex jiġi determinat liema attivitajiet jistgħu jitqiesu bħala sostenibbli u tibgħat sinjali xierqa għal atturi ekonomiċi, billi din “tittraduċi” l-għanijiet tal-politika tal-UE lejn gwida tanġibbli biex jiġu identifikati l-proġetti jew investimenti rilevanti. Għalhekk tista’ tgħin biex torjenta l-flussi kapitali lejn investimenti aktar sostenibbli.  Dan ir-Regolament huwa l-ewwel pass importanti lejn l-għoti ta’ ċarezza dwar x’jikkostitwixxi investiment sostenibbli, iżda t-tassonomija stess se tiġi żviluppata permezz ta’ atti delegati. L-impatti fuq il-partijiet ikkonċernati jiddependu fuq l-użi finali tat-tassonomija u fuq id-dettalji tat-tassonomija. F’termini ta’ kostijiet, l-iżvilupp ta’ tali tassonomija se tieħu ż-żmien u tirrekjedi riżorsi, li se jkollu wkoll impatt fuq il-baġit tal-UE (ara t-taqsima dwar l-implikazzjoni għall-baġit iktar ‘l isfel).</w:t>
      </w:r>
    </w:p>
    <w:p>
      <w:pPr>
        <w:rPr>
          <w:noProof/>
        </w:rPr>
      </w:pPr>
      <w:r>
        <w:rPr>
          <w:noProof/>
        </w:rPr>
        <w:t>F’termini ta’ impatt ambjentali, ladarba tkun operattiva, it-tassonomija tal-UE hija mistennija li jkollha impatt ambjentali pożittiv indirett fl-UE. Billi tipprovdi ċarezza dwar x’inhu “ekoloġiku”, tiffaċilita l-investimenti fi proġetti sostenibbli u assi fl-UE kollha.  Dan jikkontribwixxi biex jintlaħqu l-għanijiet ambjentali tal-UE, pereżempju t-tnaqqis tal-emissjonijiet ta’ gassijiet serra f’konformità mal-Ftehim ta’ Pariġi, u nersqu lejn ekonomija effiċjenti fir-riżorsi u l-ekonomija ċirkolari. Investimenti addizzjonali li jirriżultaw minn żieda fit-trasparenza u l-armonizzazzjoni tas-suq jistgħu jgħinu biex tiġi żgurata trasformazzjoni sostenibbli estensiva prevista permezz tal-politiki ambjentali diġà fis-seħħ fil-livell tal-UE u f’dak tal-Istati Membri.  L-investimenti f’setturi ekoloġiċi (eż. l-enerġija rinnovabbli, l-effiċjenza fl-użu tal-enerġija, il-ġestjoni tal-iskart, ir-restawr tal-ambjent) b’hekk jissarrfu f’benefiċċji ambjentali immedjati u fuq perjodu ta’ żmien itwal bħal livelli mnaqqsa tat-tniġġis (eż. fl-arja, l-ilma u l-ħamrija) b’benefiċċji tas-saħħa relatati, tnaqqis fl-emissjonijiet tal-gassijiet serra li jtaffi t-tibdil fil-klima perikoluż u l-preservazzjoni u t-titjib tal-kapital naturali u s-servizzi tal-ekosistema.</w:t>
      </w:r>
    </w:p>
    <w:p>
      <w:pPr>
        <w:rPr>
          <w:noProof/>
        </w:rPr>
      </w:pPr>
      <w:r>
        <w:rPr>
          <w:noProof/>
        </w:rPr>
        <w:t xml:space="preserve">F'termini ta’ impatti soċjali, billi l-proposta fiha salvagwardji minimi inkluż dwar aspetti soċjali, huma mistennija wkoll impatti soċjali minimi pożittivi. Impatti soċjali iktar importanti </w:t>
      </w:r>
      <w:r>
        <w:rPr>
          <w:noProof/>
        </w:rPr>
        <w:lastRenderedPageBreak/>
        <w:t>jistgħu jiġu mistennija ladarba l-inizjattiva proposta tiġi riveduta biex eventwalment tkopri l-għanijiet soċjali u l-attivitajiet soċjalment sostenibbli skont il-klawżola ta’ reviżjoni.</w:t>
      </w:r>
    </w:p>
    <w:p>
      <w:pPr>
        <w:pBdr>
          <w:top w:val="nil"/>
          <w:left w:val="nil"/>
          <w:bottom w:val="nil"/>
          <w:right w:val="nil"/>
          <w:between w:val="nil"/>
          <w:bar w:val="nil"/>
        </w:pBdr>
        <w:spacing w:before="0" w:after="240"/>
        <w:rPr>
          <w:rFonts w:eastAsia="Arial Unicode MS"/>
          <w:b/>
          <w:noProof/>
          <w:u w:color="000000"/>
          <w:bdr w:val="nil"/>
        </w:rPr>
      </w:pPr>
      <w:r>
        <w:rPr>
          <w:noProof/>
        </w:rPr>
        <w:t>•</w:t>
      </w:r>
      <w:r>
        <w:rPr>
          <w:noProof/>
        </w:rPr>
        <w:tab/>
      </w:r>
      <w:r>
        <w:rPr>
          <w:b/>
          <w:noProof/>
          <w:u w:color="000000"/>
          <w:bdr w:val="nil"/>
        </w:rPr>
        <w:t>Drittijiet fundamentali</w:t>
      </w:r>
    </w:p>
    <w:p>
      <w:pPr>
        <w:rPr>
          <w:noProof/>
        </w:rPr>
      </w:pPr>
      <w:r>
        <w:rPr>
          <w:noProof/>
        </w:rPr>
        <w:t>Il-proposta tirrispetta d-drittijiet fundamentali u tosserva l-prinċipji rikonoxxuti mill-Karta tad-Drittijiet Fundamentali tal-Unjoni Ewropea minħabba l-obbligu li l-attività ekonomika ambjentalment sostenibbli identifikata trid titwettaq b’rispett għal xi salvagwardji minimi soċjali u ta’ governanza.</w:t>
      </w:r>
    </w:p>
    <w:p>
      <w:pPr>
        <w:keepNext/>
        <w:spacing w:before="360"/>
        <w:outlineLvl w:val="0"/>
        <w:rPr>
          <w:b/>
          <w:smallCaps/>
          <w:noProof/>
        </w:rPr>
      </w:pPr>
      <w:r>
        <w:rPr>
          <w:b/>
          <w:smallCaps/>
          <w:noProof/>
        </w:rPr>
        <w:t>4.</w:t>
      </w:r>
      <w:r>
        <w:rPr>
          <w:noProof/>
        </w:rPr>
        <w:tab/>
      </w:r>
      <w:r>
        <w:rPr>
          <w:b/>
          <w:smallCaps/>
          <w:noProof/>
        </w:rPr>
        <w:t xml:space="preserve">IMPLIKAZZJONIJIET FUQ IL-BAĠIT </w:t>
      </w:r>
    </w:p>
    <w:p>
      <w:pPr>
        <w:rPr>
          <w:noProof/>
        </w:rPr>
      </w:pPr>
      <w:r>
        <w:rPr>
          <w:noProof/>
        </w:rPr>
        <w:t xml:space="preserve">Il-proposta tinkludi artikolu dwar il-ħolqien ta’ Pjattaforma dwar il-Finanzi Sostenibbli. Din il-Pjattaforma se tgħin lill-Kummissjoni fl-iżvilupp progressiv u l-aġġornament tas-sistema ta’ klassifikazzjoni tal-UE. Hija se twettaq kompiti oħra meħtieġa biex jintlaħqu l-objettivi ta’ pjan ta’ azzjoni dwar finanzi sostenibbli, u b’mod partikolari tagħti parir lill-Kummissjoni dwar il-ħtieġa li jiġi emendat il-qafas stabbilit minn din il-proposta. Barra minn hekk se tingħata l-kompitu li timmonitorja u tirrapporta regolarment lill-Kummissjoni dwar il-flussi ta’ kapital lejn l-investiment sostenibbli. </w:t>
      </w:r>
    </w:p>
    <w:p>
      <w:pPr>
        <w:rPr>
          <w:noProof/>
        </w:rPr>
      </w:pPr>
      <w:r>
        <w:rPr>
          <w:noProof/>
        </w:rPr>
        <w:t xml:space="preserve">L-Awtoritajiet Superviżorji Ewropej (ASE) se jkollhom rwol ewlieni fl-iżvilupp ta’ tassonomija ta’ sostenibbiltà tal-UE biex jiżguraw li jkun jista’ jintuża mill-istituzzjonijiet finanzjarji, applikabbli għal prodotti finanzjarji u kompatibbli mal-leġiżlazzjoni finanzjarja tal-UE. L-ASE se jkollhom rwol importanti fl-iżgurar li t-tassonomija ta’ sostenibbiltà tal-UE hija żviluppata b’tali mod li tkun utli għal analiżi tax-xenarju tal-klima u, fi stadju aktar tard, għat-testjar tal-istress tal-klima. Sabiex twettaq dawn u kompiti oħra, kull awtorità tkun teħtieġ impjegat full-time addizzjonali mill-2020 meta d-dispożizzjonijiet differenti tal-proposta huma mistennija li jidħlu fis-seħħ. </w:t>
      </w:r>
    </w:p>
    <w:p>
      <w:pPr>
        <w:rPr>
          <w:noProof/>
        </w:rPr>
      </w:pPr>
      <w:r>
        <w:rPr>
          <w:noProof/>
        </w:rPr>
        <w:t xml:space="preserve">Jenħtieġ li jiġi nnotat li kwalunkwe talbiet baġitarji mill-ASE xorta se jkunu soġġetti għall-mekkaniżmi kollha ta’ akkontabilità u verifika implimentati fir-Regolamenti dwar l-ASE, għat-tħejjija, l-adozzjoni u l-eżekuzzjoni tal-baġits annwali tagħhom. Barra minn hekk, id-deċiżjoni annwali dwar il-kontribuzzjoni ta' bilanċ tal-UE lill-ASE u l-pjanijiet ta’ stabbiliment tagħhom (eż. deċiżjoni dwar il-livell tal-persunal) xorta se tkun awtorizzata mill-Parlament u mill-Kunsill u soġġetta għal kwittanza mill-Parlament Ewropew fuq rakkomandazzjoni mill-Kunsill. </w:t>
      </w:r>
    </w:p>
    <w:p>
      <w:pPr>
        <w:rPr>
          <w:noProof/>
        </w:rPr>
      </w:pPr>
      <w:r>
        <w:rPr>
          <w:noProof/>
        </w:rPr>
        <w:t xml:space="preserve">L-Aġenzija Ewropea għall-Ambjent (EEA) se tkun ukoll involuta mill-qrib fil-ħidma dwar finanzi sostenibbli, b’mod partikolari billi tipprovdi l-għarfien tekniku f’bosta oqsma ambjentali biex tiżviluppa u żżomm it-tassonomija tal-UE dwar is-sostenibbiltà għall-kwistjonijiet relatati mal-klima u ambjentali. Barra minn hekk l-EEA se tiġbor u tipprovdi </w:t>
      </w:r>
      <w:r>
        <w:rPr>
          <w:i/>
          <w:noProof/>
        </w:rPr>
        <w:t>data</w:t>
      </w:r>
      <w:r>
        <w:rPr>
          <w:noProof/>
        </w:rPr>
        <w:t xml:space="preserve"> dwar il-ħtiġijiet u l-flussi ta’ investiment fl-Istati Membri bħala parti mill-Osservatorju tal-Finanzi Sostenibbli, u tipprovdi konsulenza lill-Istati Membri tal-UE biex jiżviluppaw l-istrateġiji ta’ investiment tagħhom dwar karbonju baxx u sostenibbli. Sabiex jitwettqu dawn u kompiti oħra, l-EEA teħtieġ żewġ impjegati full-time oħra mill-2020. </w:t>
      </w:r>
    </w:p>
    <w:p>
      <w:pPr>
        <w:rPr>
          <w:noProof/>
        </w:rPr>
      </w:pPr>
      <w:r>
        <w:rPr>
          <w:noProof/>
        </w:rPr>
        <w:t>Il-Kummissjoni Ewropea se tkun responsabbli għall-ġestjoni tal-Pjattaforma (pereżempju, l-organizzazzjoni tal-laqgħat tagħha u l-laqgħat ta’ kwalunkwe sottogrupp, ir-rapportar dwar l-eżitu, it-tħejjija tal-proposta leġiżlattivi, il-koordinazzjoni mal-ASE u ż-ŻEE, il-manutenzjoni ta’ għodda kollaborattiva tal-IT, il-ħlas tal-esperti, it-twettiq ta’ kompiti segretarjali oħrajn, eċċ.). Sabiex jitwettqu dawn u kompiti oħra, il-Kummissjoni Ewropea teħtieġ għaxar impjegati full-time mill-2020 (tmien AD u żewġ AST).</w:t>
      </w:r>
    </w:p>
    <w:p>
      <w:pPr>
        <w:rPr>
          <w:noProof/>
        </w:rPr>
      </w:pPr>
      <w:r>
        <w:rPr>
          <w:noProof/>
        </w:rPr>
        <w:lastRenderedPageBreak/>
        <w:t xml:space="preserve">L-impatt finanzjarju u baġitarju ta’ din il-proposta huwa spjegat fid-dettall fid-dikjarazzjoni finanzjarja leġiżlattiva annessa ma’ din il-proposta. </w:t>
      </w:r>
    </w:p>
    <w:p>
      <w:pPr>
        <w:rPr>
          <w:rFonts w:eastAsia="Arial Unicode MS"/>
          <w:noProof/>
        </w:rPr>
      </w:pPr>
      <w:r>
        <w:rPr>
          <w:noProof/>
        </w:rPr>
        <w:t xml:space="preserve">Jenħtieġ li jiġi nnotat li l-informazzjoni pprovduta fid-dikjarazzjoni finanzjarja leġiżlattiva hija kompatibbli mal-proposta tal-QFP ta’ wara l-2020. </w:t>
      </w:r>
    </w:p>
    <w:p>
      <w:pPr>
        <w:keepNext/>
        <w:spacing w:before="360"/>
        <w:outlineLvl w:val="0"/>
        <w:rPr>
          <w:b/>
          <w:smallCaps/>
          <w:noProof/>
        </w:rPr>
      </w:pPr>
      <w:r>
        <w:rPr>
          <w:b/>
          <w:smallCaps/>
          <w:noProof/>
        </w:rPr>
        <w:t>5.</w:t>
      </w:r>
      <w:r>
        <w:rPr>
          <w:noProof/>
        </w:rPr>
        <w:tab/>
      </w:r>
      <w:r>
        <w:rPr>
          <w:b/>
          <w:smallCaps/>
          <w:noProof/>
        </w:rPr>
        <w:t>ELEMENTI OĦRA</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Pjanijiet ta’ implimentazzjoni u arranġamenti dwar il-monitoraġġ, l-evalwazzjoni u r-rapportar</w:t>
      </w:r>
    </w:p>
    <w:p>
      <w:pPr>
        <w:tabs>
          <w:tab w:val="left" w:pos="567"/>
        </w:tabs>
        <w:rPr>
          <w:rFonts w:eastAsia="Arial Unicode MS"/>
          <w:noProof/>
        </w:rPr>
      </w:pPr>
      <w:r>
        <w:rPr>
          <w:noProof/>
        </w:rPr>
        <w:t xml:space="preserve">Il-kriterji uniformi għad-determinazzjoni ta’ attivitajiet ekonomiċi ambjentalment sostenibbli se jiġu żviluppati u implimentati permezz ta’ atti delegati sussegwenti, li se jiddefinixxu l-kriterji tekniċi. Dawk l-atti delegati se jiġu debitament ivvalutati għall-impatt. L-iżvilupp tal-kriterji tekniċi ta’ skrinjar se jqisu, b’mod partikolari, l-impatt tagħhom fuq il-kompetizzjoni fi ħdan u bejn l-industriji, fuq prodotti u swieq finanzjarji ekoloġiċi eżistenti, u fuq likwidità fis-swieq finanzjarji kif ukoll riskji finanzjarji ta’ twassil ta’ inċentivi inkonsistenti. </w:t>
      </w:r>
    </w:p>
    <w:p>
      <w:pPr>
        <w:tabs>
          <w:tab w:val="left" w:pos="567"/>
        </w:tabs>
        <w:rPr>
          <w:rFonts w:eastAsia="Arial Unicode MS"/>
          <w:noProof/>
        </w:rPr>
      </w:pPr>
      <w:r>
        <w:rPr>
          <w:noProof/>
        </w:rPr>
        <w:t>Il-valutazzjoni u r-rapportar huwa previst kull tliet snin wara d-dħul fis-seħħ ta’ dan ir-Regolament. Il-Kummissjoni għandha tippubblika rapport dwar l-applikazzjoni ta’ dan ir-Regolament, li jevalwa l-progress dwar l-implimentazzjoni biex jiġu żviluppati kriterji tekniċi għal attivitajiet ekonomiċi sostenibbli u l-ħtieġa possibbli li jiġu riveduti l-kriterji stabbiliti f’dan ir-Regolament għall-konsiderazzjoni ta’ attività ekonomika ambjentalment sostenibbli.</w:t>
      </w:r>
    </w:p>
    <w:p>
      <w:pPr>
        <w:tabs>
          <w:tab w:val="left" w:pos="567"/>
        </w:tabs>
        <w:rPr>
          <w:rFonts w:eastAsia="Arial Unicode MS"/>
          <w:noProof/>
        </w:rPr>
      </w:pPr>
      <w:r>
        <w:rPr>
          <w:noProof/>
        </w:rPr>
        <w:t xml:space="preserve">Jenħtieġ li l-Kummissjoni tivvaluta wkoll jekk huwiex xieraq li jitwaqqaf mekkaniżmu ta’ verifikazzjoni biex tiġi verifikata l-konformità mal-allokazzjoni tal-kriterji għad-determinazzjoni tas-sostenibbiltà ambjentali ta’ attività ekonomika. </w:t>
      </w:r>
    </w:p>
    <w:p>
      <w:pPr>
        <w:tabs>
          <w:tab w:val="left" w:pos="567"/>
        </w:tabs>
        <w:rPr>
          <w:rFonts w:eastAsia="Arial Unicode MS"/>
          <w:noProof/>
        </w:rPr>
      </w:pPr>
      <w:r>
        <w:rPr>
          <w:noProof/>
        </w:rPr>
        <w:t>Fl-aħħar nett, jenħtieġ li l-Kummissjoni tivvaluta jekk huwiex xieraq li jiġi estiż il-kamp ta' applikazzjoni ta’ dan ir-Regolament biex ikopri objettivi oħra tas-sostenibbiltà, b’mod partikolari għanijiet soċjali, kif ukoll l-użu ambjentalment sostenibbli tal-kunċett komuni ta’ investiment ambjentalment sostenibbli fil-liġi tal-Unjoni, kif ukoll fil-livell tal-Istati Membri.</w:t>
      </w:r>
    </w:p>
    <w:p>
      <w:pPr>
        <w:tabs>
          <w:tab w:val="left" w:pos="567"/>
        </w:tabs>
        <w:rPr>
          <w:rFonts w:eastAsia="Arial Unicode MS"/>
          <w:noProof/>
        </w:rPr>
      </w:pPr>
      <w:r>
        <w:rPr>
          <w:noProof/>
        </w:rPr>
        <w:t xml:space="preserve">Kwalunkwe proposta leġiżlattiva futura tal-Kummissjoni li tipprevedt l-użu vinkolanti tal-klassifikazzjoni tal-UE ta’ attivitajiet ambjentalment sostenibbli f’oqsma oħra se tkun suġġetta għal valutazzjonijiet tal-impatt, f’konformità mal-prinċipji ta’ Regolamentazzjoni Aħjar. </w:t>
      </w:r>
    </w:p>
    <w:p>
      <w:pPr>
        <w:rPr>
          <w:rFonts w:eastAsia="Arial Unicode MS"/>
          <w:noProof/>
        </w:rPr>
      </w:pPr>
      <w:r>
        <w:rPr>
          <w:noProof/>
        </w:rPr>
        <w:t xml:space="preserve">Il-Kummissjoni hija meħtieġa tibgħat ir-rapport tagħha lill-Parlament Ewropew u lill-Kunsill. Il-Kummissjoni hija meħtieġa tressaq proposti biex jiġi emendat dan ir-Regolament kif xieraq. </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Spjegazzjoni fid-dettall tad-dispożizzjonijiet speċifiċi tal-proposta</w:t>
      </w:r>
    </w:p>
    <w:p>
      <w:pPr>
        <w:pBdr>
          <w:top w:val="nil"/>
          <w:left w:val="nil"/>
          <w:bottom w:val="nil"/>
          <w:right w:val="nil"/>
          <w:between w:val="nil"/>
          <w:bar w:val="nil"/>
        </w:pBdr>
        <w:spacing w:before="0" w:after="240"/>
        <w:rPr>
          <w:rFonts w:eastAsia="Arial Unicode MS"/>
          <w:noProof/>
        </w:rPr>
      </w:pPr>
      <w:r>
        <w:rPr>
          <w:noProof/>
        </w:rPr>
        <w:t xml:space="preserve">L-Artikolu 1 jiddefinixxi s-suġġett u l-kamp ta’ applikazzjoni tar-Regolament. </w:t>
      </w:r>
    </w:p>
    <w:p>
      <w:pPr>
        <w:pBdr>
          <w:top w:val="nil"/>
          <w:left w:val="nil"/>
          <w:bottom w:val="nil"/>
          <w:right w:val="nil"/>
          <w:between w:val="nil"/>
          <w:bar w:val="nil"/>
        </w:pBdr>
        <w:spacing w:before="0" w:after="240"/>
        <w:rPr>
          <w:rFonts w:eastAsia="Arial Unicode MS"/>
          <w:noProof/>
        </w:rPr>
      </w:pPr>
      <w:r>
        <w:rPr>
          <w:noProof/>
        </w:rPr>
        <w:t xml:space="preserve">Din il-proposta tistabbilixxi l-qafas biex jiġu stabbiliti kriterji uniformi biex tiġi ddeterminata s-sostenibbiltà ambjentali ta’ attività ekonomika, esklussivament għall-finijiet li jiġi ddeterminat il-grad ta’ sostenibilità ta’ investiment. </w:t>
      </w:r>
    </w:p>
    <w:p>
      <w:pPr>
        <w:pBdr>
          <w:top w:val="nil"/>
          <w:left w:val="nil"/>
          <w:bottom w:val="nil"/>
          <w:right w:val="nil"/>
          <w:between w:val="nil"/>
          <w:bar w:val="nil"/>
        </w:pBdr>
        <w:spacing w:before="0" w:after="240"/>
        <w:rPr>
          <w:rFonts w:eastAsia="Arial Unicode MS"/>
          <w:noProof/>
        </w:rPr>
      </w:pPr>
      <w:r>
        <w:rPr>
          <w:noProof/>
        </w:rPr>
        <w:t xml:space="preserve">Din il-proposta tipprovdi l-bażi sabiex tiġi stabbilita s-sostenibbiltà ambjentali tal-attivitajiet ekonomiċi, minflok dik ta’ kumpaniji jew assi. Għalhekk ma tarmonizzax il-metodoloġija biex tiġi determinata s-sostenibbiltà ambjentali ta’ investiment f’ċerti kumpaniji jew assi. Madankollu, il-kriterji uniformi għal attivitajiet li huma ambjentalment sostenibbli se jippermettu li jiġi stabbilit il-livell ta’ sostenibbiltà ambjentali ta’ kumpanija partikolari, għall-fini ta’ investiment. Jekk kumpanija twettaq biss attivitajiet li huma ambjentalment </w:t>
      </w:r>
      <w:r>
        <w:rPr>
          <w:noProof/>
        </w:rPr>
        <w:lastRenderedPageBreak/>
        <w:t xml:space="preserve">sostenibbli, l-investiment f’din il-kumpannija huwa meqjus bħala ambjentalment sostenibbli. Għalhekk, sehem ta’ din il-kumpanija se jkun assi ambjentalment sostenibbli. Dawk il-kumpaniji li jwettqu diversi attivitajiet u li biss uħud minnhom huma ambjentalment sostenibbli, jista' jkollhom livelli differenti ta’ sostenibbiltà ambjentali, li tista’ tkun determinata, pereżempju, abbażi tal-proporzjon tal-fatturat li joriġina minn attivitajiet sostenibbli meta mqabbla ma’ attivitajiet oħra. L-assi li jintużaw biex jiffinanzjaw biss attivitajiet li huma ambjentalment sostenibbli ta’ kumpanija (eż ċerti tipi ta’ bonds) se jiġu kkunsidrati investimenti ambjentalment sostenibbli, filwaqt li assi oħrajn jista’ jkollhom grad differenti ta’ sostenibbiltà ambjentali. Il-grad ta’ sostenibbiltà ambjentali tista’ tiġi determinata b’mod simili għal portafolli ta’ investiment li jikkonsistu f’bosta kumpaniji, li jinċentivaw investimenti f’attivitajiet ekonomiċi ambjentalment sostenibbli, mingħajr ma jippenalizzaw jew joħolqu diżinċentivi għal investimenti f’attivitajiet ekonomiċi oħra. </w:t>
      </w:r>
    </w:p>
    <w:p>
      <w:pPr>
        <w:pBdr>
          <w:top w:val="nil"/>
          <w:left w:val="nil"/>
          <w:bottom w:val="nil"/>
          <w:right w:val="nil"/>
          <w:between w:val="nil"/>
          <w:bar w:val="nil"/>
        </w:pBdr>
        <w:spacing w:before="0" w:after="240"/>
        <w:rPr>
          <w:rFonts w:eastAsia="Arial Unicode MS"/>
          <w:noProof/>
        </w:rPr>
      </w:pPr>
      <w:r>
        <w:rPr>
          <w:noProof/>
        </w:rPr>
        <w:t>Dan ir-Regolament japplika għall-Istati Membri u l-Unjoni fil-kuntest tal-ħtiġijiet ta’ ta’ kummerċjalizzazzjoni għall-atturi tas-suq u l-offerta ta’ prodotti finanzjarji jew bonds korporattivi li għandhom għanijiet ambjentali, b’mod partikolari fil-kuntest tat-tikkettar.</w:t>
      </w:r>
    </w:p>
    <w:p>
      <w:pPr>
        <w:pBdr>
          <w:top w:val="nil"/>
          <w:left w:val="nil"/>
          <w:bottom w:val="nil"/>
          <w:right w:val="nil"/>
          <w:between w:val="nil"/>
          <w:bar w:val="nil"/>
        </w:pBdr>
        <w:spacing w:before="0" w:after="240"/>
        <w:rPr>
          <w:rFonts w:eastAsia="Arial Unicode MS"/>
          <w:noProof/>
        </w:rPr>
      </w:pPr>
      <w:r>
        <w:rPr>
          <w:noProof/>
        </w:rPr>
        <w:t>Dan ir-Regolament ma jistabbilixxix tikketta għall-prodotti finanzjarji sostenibbli. Minflok, jipprovdi l-qafas biex jiġu stabbiliti l-kriterji li għandhom jiġu kkunsidrati meta jiġu stabbiliti tikketti bħal dawn fil-livell nazzjonali jew tal-UE. Għalhekk, dan ir-Regolament ma jwaqqafx lill-Istati Membri milli jżommu fis-seħħ, jew jiżviluppaw aktar, skemi ta’ tikkettar — sakemm dawn ikunu konformi mal-kriterji stabbiliti hawnhekk għal attivitajiet ekonomiċi ambjentalment sostenibbli.</w:t>
      </w:r>
    </w:p>
    <w:p>
      <w:pPr>
        <w:pBdr>
          <w:top w:val="nil"/>
          <w:left w:val="nil"/>
          <w:bottom w:val="nil"/>
          <w:right w:val="nil"/>
          <w:between w:val="nil"/>
          <w:bar w:val="nil"/>
        </w:pBdr>
        <w:spacing w:before="0" w:after="240"/>
        <w:rPr>
          <w:rFonts w:eastAsia="Arial Unicode MS"/>
          <w:noProof/>
        </w:rPr>
      </w:pPr>
      <w:r>
        <w:rPr>
          <w:noProof/>
        </w:rPr>
        <w:t>'Il quddiem, jekk tiġi żviluppata tikketta għall-prodotti finanzjarji skont ir-Regolament dwar l-Ekotikketta, l-iskemi ta’ tikkettar nazzjonali diġà eżistenti jistgħu jeżistu flimkien ma’ dik l-Ekotikketta, jekk jissodisfaw il-kundizzjonijiet stabbiliti fl-Artikolu 11 tar-Regolament tal-Ekotikketta.</w:t>
      </w:r>
    </w:p>
    <w:p>
      <w:pPr>
        <w:pBdr>
          <w:top w:val="nil"/>
          <w:left w:val="nil"/>
          <w:bottom w:val="nil"/>
          <w:right w:val="nil"/>
          <w:between w:val="nil"/>
          <w:bar w:val="nil"/>
        </w:pBdr>
        <w:spacing w:before="0" w:after="240"/>
        <w:rPr>
          <w:rFonts w:eastAsia="Arial Unicode MS"/>
          <w:noProof/>
        </w:rPr>
      </w:pPr>
      <w:r>
        <w:rPr>
          <w:noProof/>
        </w:rPr>
        <w:t xml:space="preserve">Din il-proposta hija marbuta mal-proposta għal Regolament dwar it-titjib tal-iżvelar dwar is-sostenibbiltà [proposta tal-Kummissjoni għal Regolament dwar żvelar marbut mal-investimenti sostenibbli u riskji ta’ sostenibbiltà u li temenda d-Direttiva (UE) 2016/2341]. </w:t>
      </w:r>
    </w:p>
    <w:p>
      <w:pPr>
        <w:pBdr>
          <w:top w:val="nil"/>
          <w:left w:val="nil"/>
          <w:bottom w:val="nil"/>
          <w:right w:val="nil"/>
          <w:between w:val="nil"/>
          <w:bar w:val="nil"/>
        </w:pBdr>
        <w:spacing w:before="0" w:after="240"/>
        <w:rPr>
          <w:rFonts w:eastAsia="Arial Unicode MS"/>
          <w:noProof/>
        </w:rPr>
      </w:pPr>
      <w:r>
        <w:rPr>
          <w:noProof/>
        </w:rPr>
        <w:t>Dan ir-Regolament jirrikjedi li dawk il-parteċipanti fis-swieq finanzjarji li huma suġġetti għall-obbligi ta’ żvelar stabbiliti fir-Regolament propost dwar it-titjib tas-sostenibbiltà tal-iżvelar msemmija hawn fuq (pereżempju maniġers ta’ fondi) jiżvelaw il-livell ta’ sostenibbiltà ambjentali ta’ dawk il-prodotti finanzjarji li huma jsostnu li huma favur l-ambjent.</w:t>
      </w:r>
    </w:p>
    <w:p>
      <w:pPr>
        <w:pBdr>
          <w:top w:val="nil"/>
          <w:left w:val="nil"/>
          <w:bottom w:val="nil"/>
          <w:right w:val="nil"/>
          <w:between w:val="nil"/>
          <w:bar w:val="nil"/>
        </w:pBdr>
        <w:spacing w:before="0" w:after="240"/>
        <w:rPr>
          <w:rFonts w:eastAsia="Arial Unicode MS"/>
          <w:noProof/>
        </w:rPr>
      </w:pPr>
      <w:r>
        <w:rPr>
          <w:noProof/>
        </w:rPr>
        <w:t xml:space="preserve">Jekk maniġer tal-fondi joffri fond filwaqt li jgħid li huwa “fond ekoloġiku”, allura għal dak il-fond partikolari l-maniġer ikollu jindika kif u kemm ġew użati l-kriterji għal attivitajiet ekonomiċi ambjentalment sostenibbli biex tiġi determinata s-sostenibbiltà ambjentali tal-investiment fid-dokument ta’ żvelar prekuntrattwali tal-fond. </w:t>
      </w:r>
    </w:p>
    <w:p>
      <w:pPr>
        <w:pBdr>
          <w:top w:val="nil"/>
          <w:left w:val="nil"/>
          <w:bottom w:val="nil"/>
          <w:right w:val="nil"/>
          <w:between w:val="nil"/>
          <w:bar w:val="nil"/>
        </w:pBdr>
        <w:spacing w:before="0" w:after="240"/>
        <w:rPr>
          <w:rFonts w:eastAsia="Arial Unicode MS"/>
          <w:noProof/>
        </w:rPr>
      </w:pPr>
      <w:r>
        <w:rPr>
          <w:noProof/>
        </w:rPr>
        <w:t xml:space="preserve">Il-kamp ta’ applikazzjoni ta’ dan l-obbligu se jkun speċifikat minn atti delegati hekk kif jiġu żviluppati kriterji ta’ skrinjar tekniċi għal attivitajiet li huma ambjentalment sostenibbli. </w:t>
      </w:r>
    </w:p>
    <w:p>
      <w:pPr>
        <w:pBdr>
          <w:top w:val="nil"/>
          <w:left w:val="nil"/>
          <w:bottom w:val="nil"/>
          <w:right w:val="nil"/>
          <w:between w:val="nil"/>
          <w:bar w:val="nil"/>
        </w:pBdr>
        <w:spacing w:before="0" w:after="240"/>
        <w:rPr>
          <w:rFonts w:eastAsia="Arial Unicode MS"/>
          <w:noProof/>
        </w:rPr>
      </w:pPr>
      <w:r>
        <w:rPr>
          <w:noProof/>
        </w:rPr>
        <w:t>Dan l-obbligu ta’ żvelar jgħin lill-investituri jifhmu aħjar il-livell ta’ sostenibbiltà ambjentali ta’ prodott finanzjarju, u jqabbluhom aħjar qabel ma jieħdu d-deċiżjonijiet ta’ investiment tagħhom.</w:t>
      </w:r>
    </w:p>
    <w:p>
      <w:pPr>
        <w:pBdr>
          <w:top w:val="nil"/>
          <w:left w:val="nil"/>
          <w:bottom w:val="nil"/>
          <w:right w:val="nil"/>
          <w:between w:val="nil"/>
          <w:bar w:val="nil"/>
        </w:pBdr>
        <w:spacing w:before="0" w:after="240"/>
        <w:rPr>
          <w:rFonts w:eastAsia="Arial Unicode MS"/>
          <w:noProof/>
        </w:rPr>
      </w:pPr>
      <w:r>
        <w:rPr>
          <w:noProof/>
        </w:rPr>
        <w:lastRenderedPageBreak/>
        <w:t xml:space="preserve">Dan ir-Regolament jistabbilixxi d-dispożizzjonijiet li joħolqu l-qafas tal-proċess għall-iżvilupp tal-kriterji ta’ skrinjar tekniċi li jservu ta’ pedament għat-twaqqif tal-klassifikazzjoni tal-UE tal-attivitajiet ekonomiċi ambjentalment sostenibbli. </w:t>
      </w:r>
    </w:p>
    <w:p>
      <w:pPr>
        <w:pBdr>
          <w:top w:val="nil"/>
          <w:left w:val="nil"/>
          <w:bottom w:val="nil"/>
          <w:right w:val="nil"/>
          <w:between w:val="nil"/>
          <w:bar w:val="nil"/>
        </w:pBdr>
        <w:spacing w:before="0" w:after="240"/>
        <w:rPr>
          <w:rFonts w:eastAsia="Arial Unicode MS"/>
          <w:noProof/>
        </w:rPr>
      </w:pPr>
      <w:r>
        <w:rPr>
          <w:noProof/>
        </w:rPr>
        <w:t xml:space="preserve">L-applikazzjoni gradwali tar-Regolament hija prevista biss meta l-kriterji ta’ klassifikazzjoni għal kull għan ambjentali jkunu żviluppati u stabbli biżżejjed, sabiex tippermetti proċess konsultattiv mal-partijiet ikkonċernati biex joħolqu xiri sfurzat u fehim tajjeb tal-kunċett fost parteċipanti rilevanti tas-suq finanzjarju. </w:t>
      </w:r>
    </w:p>
    <w:p>
      <w:pPr>
        <w:pBdr>
          <w:top w:val="nil"/>
          <w:left w:val="nil"/>
          <w:bottom w:val="nil"/>
          <w:right w:val="nil"/>
          <w:between w:val="nil"/>
          <w:bar w:val="nil"/>
        </w:pBdr>
        <w:spacing w:before="0" w:after="240"/>
        <w:rPr>
          <w:rFonts w:eastAsia="Arial Unicode MS"/>
          <w:noProof/>
        </w:rPr>
      </w:pPr>
      <w:r>
        <w:rPr>
          <w:noProof/>
        </w:rPr>
        <w:t xml:space="preserve">L-Artikolu 2 fih id-definizzjonijiet tat-termini użati f’dan ir-Regolament. </w:t>
      </w:r>
    </w:p>
    <w:p>
      <w:pPr>
        <w:pBdr>
          <w:top w:val="nil"/>
          <w:left w:val="nil"/>
          <w:bottom w:val="nil"/>
          <w:right w:val="nil"/>
          <w:between w:val="nil"/>
          <w:bar w:val="nil"/>
        </w:pBdr>
        <w:spacing w:before="0" w:after="240"/>
        <w:rPr>
          <w:rFonts w:eastAsia="Arial Unicode MS"/>
          <w:noProof/>
        </w:rPr>
      </w:pPr>
      <w:r>
        <w:rPr>
          <w:noProof/>
        </w:rPr>
        <w:t xml:space="preserve">Id-definizzjonijiet ta’ parteċipanti fis-suq finanzjarju u ta’ prodotti finanzjarji huma dawk previsti fil-proposta għal Regolament dwar titjib fl-iżvelar dwar is-sostenibbiltà. </w:t>
      </w:r>
    </w:p>
    <w:p>
      <w:pPr>
        <w:pBdr>
          <w:top w:val="nil"/>
          <w:left w:val="nil"/>
          <w:bottom w:val="nil"/>
          <w:right w:val="nil"/>
          <w:between w:val="nil"/>
          <w:bar w:val="nil"/>
        </w:pBdr>
        <w:spacing w:before="0" w:after="240"/>
        <w:rPr>
          <w:rFonts w:eastAsia="Arial Unicode MS"/>
          <w:noProof/>
        </w:rPr>
      </w:pPr>
      <w:r>
        <w:rPr>
          <w:noProof/>
        </w:rPr>
        <w:t>L-Artikolu 3 jistabbilixxi l-kriterji biex tiġi ddeterminata s-sostenibbiltà ambjentali ta’ attività ekonomika, esklussivament għall-finijiet li jiġi ddeterminat il-grad ta’ sostenibbilità ta’ investiment. Dawk il-kriterji jeħtieġu li l-attività ekonomika tikkontribwixxi b’mod sostanzjali lejn wieħed jew aktar mill-objettivi ambjentali u ma tagħmilx ħsara sinifikanti lil ħaddieħor. Filwaqt li jirrikonoxxu l-prinċipji minquxa fil-Pilastru Ewropew tad-Drittijiet Soċjali, jeħtieġu wkoll li l-attività ekonomika ssir f’konformità mal-istandards internazzjonali soċjali u tax-xogħol minimi.</w:t>
      </w:r>
    </w:p>
    <w:p>
      <w:pPr>
        <w:pBdr>
          <w:top w:val="nil"/>
          <w:left w:val="nil"/>
          <w:bottom w:val="nil"/>
          <w:right w:val="nil"/>
          <w:between w:val="nil"/>
          <w:bar w:val="nil"/>
        </w:pBdr>
        <w:spacing w:before="0" w:after="240"/>
        <w:rPr>
          <w:rFonts w:eastAsia="Arial Unicode MS"/>
          <w:noProof/>
        </w:rPr>
      </w:pPr>
      <w:r>
        <w:rPr>
          <w:noProof/>
        </w:rPr>
        <w:t xml:space="preserve">Ladarba l-Kummissjoni tispeċifika, permezz ta’ atti delegati, il-kriterji ta’ skrinjar tekniċi biex jiġi determinat x’jikkostitwixxi kontribuzzjoni sostanzjali għal għan ambjentali u x’jikkostitwixxi ħsara sostanzjali lil għanijiet oħra, dawk il-kriterji japplikaw ukoll. </w:t>
      </w:r>
    </w:p>
    <w:p>
      <w:pPr>
        <w:pBdr>
          <w:top w:val="nil"/>
          <w:left w:val="nil"/>
          <w:bottom w:val="nil"/>
          <w:right w:val="nil"/>
          <w:between w:val="nil"/>
          <w:bar w:val="nil"/>
        </w:pBdr>
        <w:spacing w:before="0" w:after="240"/>
        <w:rPr>
          <w:rFonts w:eastAsia="Arial Unicode MS"/>
          <w:noProof/>
        </w:rPr>
      </w:pPr>
      <w:r>
        <w:rPr>
          <w:noProof/>
        </w:rPr>
        <w:t xml:space="preserve">L-Artikolu 4 jistabbilixxi l-obbligi fuq l-Istati Membri u l-parteċipanti tas-suq finanzjarju biex jużaw il-kriterji stabbiliti fl-Artikolu 3 f’każijiet speċifiċi. </w:t>
      </w:r>
    </w:p>
    <w:p>
      <w:pPr>
        <w:pBdr>
          <w:top w:val="nil"/>
          <w:left w:val="nil"/>
          <w:bottom w:val="nil"/>
          <w:right w:val="nil"/>
          <w:between w:val="nil"/>
          <w:bar w:val="nil"/>
        </w:pBdr>
        <w:spacing w:before="0" w:after="240"/>
        <w:rPr>
          <w:rFonts w:eastAsia="Arial Unicode MS"/>
          <w:noProof/>
        </w:rPr>
      </w:pPr>
      <w:r>
        <w:rPr>
          <w:noProof/>
        </w:rPr>
        <w:t xml:space="preserve">Huwa jipprovdi li kemm l-Istati Membri kif ukoll l-Unjoni jużaw il-kriterji uniformi għall-attivitajiet ekonomiċi ambjentalment sostenibbli meta jiddeterminaw ir-rekwiżiti għall-kummerċjalizzazzjoni tal-prodotti finanzjarji jew bonds korporattivi bħala ambjentalment sostenibbli, b’mod partikolari fil-kuntest tal-iskemi ta’ tikkettar (pereżempju għal bonds ħodor). Huwa jistabbilixxi obbligu ta’ żvelar fuq il-maniġers tal-assi u l-investituri istituzzjonali li joffru prodotti finanzjarji, li huma kkumerċjalizzati bħala ambjentalment sostenibbli jew bħala investimenti b’karatteristiċi simili, bl-għan tiegħu speċifikat ulterjorment fl-atti delegati tal-Kummissjoni. </w:t>
      </w:r>
    </w:p>
    <w:p>
      <w:pPr>
        <w:pBdr>
          <w:top w:val="nil"/>
          <w:left w:val="nil"/>
          <w:bottom w:val="nil"/>
          <w:right w:val="nil"/>
          <w:between w:val="nil"/>
          <w:bar w:val="nil"/>
        </w:pBdr>
        <w:spacing w:before="0" w:after="240"/>
        <w:rPr>
          <w:rFonts w:eastAsia="Arial Unicode MS"/>
          <w:noProof/>
        </w:rPr>
      </w:pPr>
      <w:r>
        <w:rPr>
          <w:noProof/>
        </w:rPr>
        <w:t>Skont l-Artikolu 18, dawn l-obbligi se jsiru applikabbli biss meta l-Kummissjoni tispeċifika l-kriterji tekniċi li jridu jintużaw biex jiġi determinat meta attività tikkontribwixxi b’mod sostanzjali għal għan ambjentali speċifiku u ma tikkawżax ħsara sinifikanti lil għanijiet oħra.</w:t>
      </w:r>
    </w:p>
    <w:p>
      <w:pPr>
        <w:pBdr>
          <w:top w:val="nil"/>
          <w:left w:val="nil"/>
          <w:bottom w:val="nil"/>
          <w:right w:val="nil"/>
          <w:between w:val="nil"/>
          <w:bar w:val="nil"/>
        </w:pBdr>
        <w:spacing w:before="0" w:after="240"/>
        <w:rPr>
          <w:rFonts w:eastAsia="Arial Unicode MS"/>
          <w:noProof/>
        </w:rPr>
      </w:pPr>
      <w:r>
        <w:rPr>
          <w:noProof/>
        </w:rPr>
        <w:t xml:space="preserve">L-Artikolu 5 jistabbilixxi li għall-finijiet ta’ dan ir-Regolament, l-għanijiet ambjentali huma dawn li ġejjin: 1) il-mitigazzjoni tat-tibdil fil-klima; 2) l-adattament għat-tibdil fil-klima; 3) l-użu sostenibbli u l-protezzjoni tal-ilma u r-riżorsi marini; 4) it-tranżizzjoni għal ekonomija ċirkolari, il-prevenzjoni tal-iskart u r-riċiklaġġ; 5) il-prevenzjoni u l-kontroll tat-tniġġis; 6) il-protezzjoni tal-ekosistemi b’saħħithom. </w:t>
      </w:r>
    </w:p>
    <w:p>
      <w:pPr>
        <w:pBdr>
          <w:top w:val="nil"/>
          <w:left w:val="nil"/>
          <w:bottom w:val="nil"/>
          <w:right w:val="nil"/>
          <w:between w:val="nil"/>
          <w:bar w:val="nil"/>
        </w:pBdr>
        <w:spacing w:before="0" w:after="240"/>
        <w:rPr>
          <w:rFonts w:eastAsia="Arial Unicode MS"/>
          <w:noProof/>
        </w:rPr>
      </w:pPr>
      <w:r>
        <w:rPr>
          <w:noProof/>
        </w:rPr>
        <w:t>L-Artikoli 6 sa 11 jispjegaw f’aktar dettall il-kriterji għal kontribuzzjoni sostanzjali għal kull għan ambjentali.</w:t>
      </w:r>
    </w:p>
    <w:p>
      <w:pPr>
        <w:pBdr>
          <w:top w:val="nil"/>
          <w:left w:val="nil"/>
          <w:bottom w:val="nil"/>
          <w:right w:val="nil"/>
          <w:between w:val="nil"/>
          <w:bar w:val="nil"/>
        </w:pBdr>
        <w:spacing w:before="0" w:after="240"/>
        <w:rPr>
          <w:rFonts w:eastAsia="Arial Unicode MS"/>
          <w:noProof/>
        </w:rPr>
      </w:pPr>
      <w:r>
        <w:rPr>
          <w:noProof/>
        </w:rPr>
        <w:lastRenderedPageBreak/>
        <w:t>Il-Kummissjoni għandha s-setgħa li tadotta atti delegati sabiex tispeċifika l-kriterji ta’ skrinjar tekniċi għal dak li jikkwalifika bħala kontribuzzjoni sostanzjali għal għan ambjentali speċifiku għal attività ekonomika speċifika u x’jiġi meqjus li jikkawża ħsara sinifikanti lil għanijiet oħra.</w:t>
      </w:r>
    </w:p>
    <w:p>
      <w:pPr>
        <w:pBdr>
          <w:top w:val="nil"/>
          <w:left w:val="nil"/>
          <w:bottom w:val="nil"/>
          <w:right w:val="nil"/>
          <w:between w:val="nil"/>
          <w:bar w:val="nil"/>
        </w:pBdr>
        <w:spacing w:before="0" w:after="240"/>
        <w:rPr>
          <w:rFonts w:eastAsia="Arial Unicode MS"/>
          <w:noProof/>
        </w:rPr>
      </w:pPr>
      <w:r>
        <w:rPr>
          <w:noProof/>
        </w:rPr>
        <w:t>Kull Artikolu jindika d-data ta’ adozzjoni tal-att delegat rilevanti, sabiex jipprovdi għall-iżvilupp progressiv tal-klassifikazzjoni tal-UE bbażat fuq il-kriterji ta’ skrinjar tekniċi. Dawk marbuta mal-mitigazzjoni tat-tibdil fil-klima u l-adattament se jiġu adottati l-ewwel (sa Diċembru 2019). Dawk marbuta mal-għanijiet l-oħra se jiġu adottati progressivament u applikati sa Diċembru 2021 (it-tranżizzjoni għal ekonomija ċirkolari, il-prevenzjoni tal-iskart u r-riċiklaġġ kif ukoll il-prevenzjoni u l-kontroll tat-tniġġis) u sa Diċembru 2022 (l-użu sostenibbli u l-protezzjoni tal-ilma u r-riżorsi marini u l-protezzjoni tal-ekosistemi b’saħħithom).</w:t>
      </w:r>
    </w:p>
    <w:p>
      <w:pPr>
        <w:pBdr>
          <w:top w:val="nil"/>
          <w:left w:val="nil"/>
          <w:bottom w:val="nil"/>
          <w:right w:val="nil"/>
          <w:between w:val="nil"/>
          <w:bar w:val="nil"/>
        </w:pBdr>
        <w:spacing w:before="0" w:after="240"/>
        <w:rPr>
          <w:rFonts w:eastAsia="Arial Unicode MS"/>
          <w:noProof/>
        </w:rPr>
      </w:pPr>
      <w:r>
        <w:rPr>
          <w:noProof/>
        </w:rPr>
        <w:t>L-Artikolu 12 jispjega fid-dettall il-kriterji biex jiġi determinat meta attività ekonomika tikkawża ħsara lil xi għan ambjentali b’mod sinifikanti.</w:t>
      </w:r>
    </w:p>
    <w:p>
      <w:pPr>
        <w:pBdr>
          <w:top w:val="nil"/>
          <w:left w:val="nil"/>
          <w:bottom w:val="nil"/>
          <w:right w:val="nil"/>
          <w:between w:val="nil"/>
          <w:bar w:val="nil"/>
        </w:pBdr>
        <w:spacing w:before="0" w:after="240"/>
        <w:rPr>
          <w:rFonts w:eastAsia="Arial Unicode MS"/>
          <w:noProof/>
        </w:rPr>
      </w:pPr>
      <w:r>
        <w:rPr>
          <w:noProof/>
        </w:rPr>
        <w:t>L-Artikolu 13 jipprevedi salvagwardji minimi b’referenza għall-prinċipji u d-drittijiet previsti fit-tmien konvenzjonijiet fundamentali identifikati fid-Dikjarazzjoni tal-Organizzazzjoni Internazzjonali tax-Xogħol dwar il-Prinċipji u d-Drittijiet Fundamentali fuq il-Post tax-Xogħol.</w:t>
      </w:r>
    </w:p>
    <w:p>
      <w:pPr>
        <w:pBdr>
          <w:top w:val="nil"/>
          <w:left w:val="nil"/>
          <w:bottom w:val="nil"/>
          <w:right w:val="nil"/>
          <w:between w:val="nil"/>
          <w:bar w:val="nil"/>
        </w:pBdr>
        <w:spacing w:before="0" w:after="240"/>
        <w:rPr>
          <w:rFonts w:eastAsia="Arial Unicode MS"/>
          <w:noProof/>
        </w:rPr>
      </w:pPr>
      <w:r>
        <w:rPr>
          <w:noProof/>
        </w:rPr>
        <w:t xml:space="preserve">L-Artikolu 14 ikompli jagħti qafas lill-għoti ta’ setgħa tal-Kummissjoni billi jistabbilixxi r-rekwiżiti għall-kriterji ta’ skrinjar tekniċi li jridu jiġu determinati mill-atti delegati. </w:t>
      </w:r>
    </w:p>
    <w:p>
      <w:pPr>
        <w:pBdr>
          <w:top w:val="nil"/>
          <w:left w:val="nil"/>
          <w:bottom w:val="nil"/>
          <w:right w:val="nil"/>
          <w:between w:val="nil"/>
          <w:bar w:val="nil"/>
        </w:pBdr>
        <w:spacing w:before="0" w:after="240"/>
        <w:rPr>
          <w:rFonts w:eastAsia="Arial Unicode MS"/>
          <w:noProof/>
        </w:rPr>
      </w:pPr>
      <w:r>
        <w:rPr>
          <w:noProof/>
        </w:rPr>
        <w:t xml:space="preserve">B’mod partikolari, l-Artikolu jeħtieġ li dawk il-kriterji jibnu fuq l-istandards u t-tabelli li jeżistu diġa’ fuq livell Ewropew, li jistabbilixxu kriterji ta’ sostenibbiltà ambjentali f’kuntesti oħra (bħala tikkettar tal-prodotti, protezzjoni tal-ambjent, eċċ). Minħabba li dawk l-istandards ma jsarrfux awtomatikament f’assi li jistgħu jkunu soġġetti għal investiment, il-kriterji tekniċi għandhom jgħinuhom isiru operattivi għall-fini ta’ investiment. </w:t>
      </w:r>
    </w:p>
    <w:p>
      <w:pPr>
        <w:pBdr>
          <w:top w:val="nil"/>
          <w:left w:val="nil"/>
          <w:bottom w:val="nil"/>
          <w:right w:val="nil"/>
          <w:between w:val="nil"/>
          <w:bar w:val="nil"/>
        </w:pBdr>
        <w:spacing w:before="0" w:after="240"/>
        <w:rPr>
          <w:rFonts w:eastAsia="Arial Unicode MS"/>
          <w:noProof/>
        </w:rPr>
      </w:pPr>
      <w:r>
        <w:rPr>
          <w:noProof/>
        </w:rPr>
        <w:t xml:space="preserve">Jenħtieġ li dawk il-kriterji jikkunsidraw ukoll ir-rekwiżiti stabbiliti fil-leġiżlazzjoni eżistenti tal-UE, b’mod partikolari biex jiddeterminaw ir-rekwiżiti minimi li jridu jiġu ssodisfati biex tiġi evitata ħsara sinifikanti lil għan ambjentali. Dan jimplika valutazzjoni tar-rekwiżiti biex jiġi meqjus jekk humiex suffiċjenti għal dak il-għan. </w:t>
      </w:r>
    </w:p>
    <w:p>
      <w:pPr>
        <w:pBdr>
          <w:top w:val="nil"/>
          <w:left w:val="nil"/>
          <w:bottom w:val="nil"/>
          <w:right w:val="nil"/>
          <w:between w:val="nil"/>
          <w:bar w:val="nil"/>
        </w:pBdr>
        <w:spacing w:before="0" w:after="240"/>
        <w:rPr>
          <w:rFonts w:eastAsia="Arial Unicode MS"/>
          <w:noProof/>
        </w:rPr>
      </w:pPr>
      <w:r>
        <w:rPr>
          <w:noProof/>
        </w:rPr>
        <w:t xml:space="preserve">Jenħtieġ li l-kriterji ta’ skrinjar tekniċi jkunu prattiċi, b’applikazzjoni faċli, u li jistgħu jkunu verifikati b’mod raġonevoli f’dak li għandu x’jaqsam mal-ispejjeż għall-konformità, u jipprovdu ċertezza legali suffiċjenti. </w:t>
      </w:r>
    </w:p>
    <w:p>
      <w:pPr>
        <w:pBdr>
          <w:top w:val="nil"/>
          <w:left w:val="nil"/>
          <w:bottom w:val="nil"/>
          <w:right w:val="nil"/>
          <w:between w:val="nil"/>
          <w:bar w:val="nil"/>
        </w:pBdr>
        <w:spacing w:before="0" w:after="240"/>
        <w:rPr>
          <w:rFonts w:eastAsia="Arial Unicode MS"/>
          <w:noProof/>
        </w:rPr>
      </w:pPr>
      <w:r>
        <w:rPr>
          <w:noProof/>
        </w:rPr>
        <w:t xml:space="preserve">Meta tistabbilixxi l-kriterji ta’ skrinjar tekniċi, jenħtieġ li l-Kummissjoni tevalwa l-użu ta’ kriterji potenzjali differenti ta’ eliġibilità għal kull settur u subsettur ekonomiku, u jenħtieġ li tagħmel ħilitha biex tiżgura li operatur ekonomiku jsibha daqstant faċli biex jidħol għal attività li titqies sostenibbli f’kull settur. </w:t>
      </w:r>
    </w:p>
    <w:p>
      <w:pPr>
        <w:pBdr>
          <w:top w:val="nil"/>
          <w:left w:val="nil"/>
          <w:bottom w:val="nil"/>
          <w:right w:val="nil"/>
          <w:between w:val="nil"/>
          <w:bar w:val="nil"/>
        </w:pBdr>
        <w:spacing w:before="0" w:after="240"/>
        <w:rPr>
          <w:rFonts w:eastAsia="Arial Unicode MS"/>
          <w:noProof/>
        </w:rPr>
      </w:pPr>
      <w:r>
        <w:rPr>
          <w:noProof/>
        </w:rPr>
        <w:t xml:space="preserve">Jenħtieġ li l-Kummissjoni tqis ukoll l-impatt potenzjali ta’ dawn il-kriterji fuq il-valutazzjoni ta’ dawk l-assi li sal-adozzjoni tal-kriterji ta’ skrinjar tekniċi kienu kkunsidrati bħala assi “ekoloġiċi” skont il-prattiki tas-suq attwali. Jenħtieġ li tqis ukoll jekk dawn il-kriterji għall-attivitajiet sostenibbli jagħtux lok għal assi mhux irkuprabbli u r-riskju li ċerti assi jitilfu l-valur minħabba t-tranżizzjoni lejn ekonomija aktar sostenibbli, kif ukoll ir-riskju ta’ twassil ta’ inċentivi inkonsistenti. </w:t>
      </w:r>
    </w:p>
    <w:p>
      <w:pPr>
        <w:pBdr>
          <w:top w:val="nil"/>
          <w:left w:val="nil"/>
          <w:bottom w:val="nil"/>
          <w:right w:val="nil"/>
          <w:between w:val="nil"/>
          <w:bar w:val="nil"/>
        </w:pBdr>
        <w:spacing w:before="0" w:after="240"/>
        <w:rPr>
          <w:rFonts w:eastAsia="Arial Unicode MS"/>
          <w:noProof/>
        </w:rPr>
      </w:pPr>
      <w:r>
        <w:rPr>
          <w:noProof/>
        </w:rPr>
        <w:lastRenderedPageBreak/>
        <w:t>Jenħtieġ li l-kriterji ta’ skrinjar tekniċi jikkunsidraw ukoll l-impatti fuq il-likwidità tas-swieq u l-kompetizzjoni.</w:t>
      </w:r>
    </w:p>
    <w:p>
      <w:pPr>
        <w:pBdr>
          <w:top w:val="nil"/>
          <w:left w:val="nil"/>
          <w:bottom w:val="nil"/>
          <w:right w:val="nil"/>
          <w:between w:val="nil"/>
          <w:bar w:val="nil"/>
        </w:pBdr>
        <w:spacing w:before="0" w:after="240"/>
        <w:rPr>
          <w:rFonts w:eastAsia="Arial Unicode MS"/>
          <w:noProof/>
        </w:rPr>
      </w:pPr>
      <w:r>
        <w:rPr>
          <w:noProof/>
        </w:rPr>
        <w:t>L-Artikolu 15 jitlob lill-Kummissjoni biex twaqqaf Pjattaforma dwar il-finanzjament sostenibbli ffurmata minn esperti, li jagħtu pariri lill-Kummissjoni dwar il-kriterji ta’ skrinjar tekniċi. Il-Pjattaforma tieħu s-sura ta’ grupp ta’ esperti tal-Kummissjoni mwaqqfa skont ir-regoli Orizzontali dwar il-gruppi ta’ esperti, u tieħu post il-grupp ta’ esperti li kien imwaqqaf qabel b’kompiti simili.</w:t>
      </w:r>
    </w:p>
    <w:p>
      <w:pPr>
        <w:pBdr>
          <w:top w:val="nil"/>
          <w:left w:val="nil"/>
          <w:bottom w:val="nil"/>
          <w:right w:val="nil"/>
          <w:between w:val="nil"/>
          <w:bar w:val="nil"/>
        </w:pBdr>
        <w:spacing w:before="0" w:after="240"/>
        <w:rPr>
          <w:rFonts w:eastAsia="Arial Unicode MS"/>
          <w:noProof/>
        </w:rPr>
      </w:pPr>
      <w:r>
        <w:rPr>
          <w:noProof/>
        </w:rPr>
        <w:t>L-Artikolu 16 jirregola l-eżerċizzju tas-setgħtat delegati.</w:t>
      </w:r>
    </w:p>
    <w:p>
      <w:pPr>
        <w:pBdr>
          <w:top w:val="nil"/>
          <w:left w:val="nil"/>
          <w:bottom w:val="nil"/>
          <w:right w:val="nil"/>
          <w:between w:val="nil"/>
          <w:bar w:val="nil"/>
        </w:pBdr>
        <w:spacing w:before="0" w:after="240"/>
        <w:rPr>
          <w:rFonts w:eastAsia="Arial Unicode MS"/>
          <w:noProof/>
        </w:rPr>
      </w:pPr>
      <w:r>
        <w:rPr>
          <w:noProof/>
        </w:rPr>
        <w:t>L-Artikolu 17 għandu klawżola ta’ reviżjoni, li titlob li l-Kummissjoni tippubblika rapport fejn tevalwa l-implimentazzjoni ta’ dan ir-Regolament u l-ħtieġa potenzjali għal emendi sal-31 ta’ Diċembru 2021 u kull tliet snin wara dik id-data.</w:t>
      </w:r>
    </w:p>
    <w:p>
      <w:pPr>
        <w:pBdr>
          <w:top w:val="nil"/>
          <w:left w:val="nil"/>
          <w:bottom w:val="nil"/>
          <w:right w:val="nil"/>
          <w:between w:val="nil"/>
          <w:bar w:val="nil"/>
        </w:pBdr>
        <w:spacing w:before="0" w:after="240"/>
        <w:rPr>
          <w:rFonts w:eastAsia="Arial Unicode MS"/>
          <w:noProof/>
        </w:rPr>
      </w:pPr>
      <w:r>
        <w:rPr>
          <w:noProof/>
        </w:rPr>
        <w:t>L-Artikolu 18 jistabbilixxi d-data tad-dħul fis-seħħ u l-applikabbiltà diretta ta’ dan ir-Regolament.</w:t>
      </w:r>
    </w:p>
    <w:p>
      <w:pPr>
        <w:pStyle w:val="Text4"/>
        <w:ind w:left="0"/>
        <w:rPr>
          <w:rFonts w:eastAsia="Arial Unicode MS"/>
          <w:noProof/>
        </w:rPr>
      </w:pPr>
      <w:r>
        <w:rPr>
          <w:noProof/>
        </w:rPr>
        <w:t>L-applikazzjoni tar-Regolament hija differita għal data wara l-adozzjoni tal-atti delegati li jistabbilixxu l-kriterji ta’ skrinjar tekniċi, għal kull għan ambjentali. Għalhekk, għal kull wieħed mill-għanijiet ambjentali, id-dispożizzjonijiet marbuta ma’ kull wieħed minnhom japplikaw biss sitt xhur wara li jiġu stabbiliti l-kriterji ta’ skrinjar tekniċi, sabiex l-atturi tas-suq ikkonċernati jkollhom biżżejjed ħin biex jippreparaw.</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2018/0178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dwar it-twaqqif ta’ qafas biex jiġi ffaċilitat l-investiment sostenibbli</w:t>
      </w:r>
    </w:p>
    <w:p>
      <w:pPr>
        <w:pStyle w:val="IntrtEEE"/>
        <w:rPr>
          <w:noProof/>
        </w:rPr>
      </w:pPr>
      <w:r>
        <w:rPr>
          <w:noProof/>
        </w:rPr>
        <w:t>(Test b’relevanza għaż-ŻEE)</w:t>
      </w:r>
    </w:p>
    <w:p>
      <w:pPr>
        <w:pStyle w:val="Institutionquiagit"/>
        <w:rPr>
          <w:noProof/>
        </w:rPr>
      </w:pPr>
      <w:r>
        <w:rPr>
          <w:noProof/>
        </w:rPr>
        <w:t>IL-PARLAMENT EWROPEW U L-KUNSILL TAL-UNJONI EWROPEA,</w:t>
      </w:r>
    </w:p>
    <w:p>
      <w:pPr>
        <w:rPr>
          <w:noProof/>
        </w:rPr>
      </w:pPr>
      <w:r>
        <w:rPr>
          <w:noProof/>
        </w:rPr>
        <w:t>Wara li kkunsidraw it-Trattat dwar il-Funzjonament tal-Unjoni Ewropea, u b'mod partikolari l-Artikolu 114 tiegħu,</w:t>
      </w:r>
    </w:p>
    <w:p>
      <w:pPr>
        <w:rPr>
          <w:noProof/>
        </w:rPr>
      </w:pPr>
      <w:r>
        <w:rPr>
          <w:noProof/>
        </w:rPr>
        <w:t>Wara li kkunsidraw il-proposta tal-Kummissjoni Ewropea,</w:t>
      </w:r>
    </w:p>
    <w:p>
      <w:pPr>
        <w:rPr>
          <w:noProof/>
        </w:rPr>
      </w:pPr>
      <w:r>
        <w:rPr>
          <w:noProof/>
        </w:rPr>
        <w:t>Wara li l-abbozz tal-att leġiżlattiv intbagħat lill-parlamenti nazzjonali,</w:t>
      </w:r>
    </w:p>
    <w:p>
      <w:pPr>
        <w:rPr>
          <w:noProof/>
        </w:rPr>
      </w:pPr>
      <w:r>
        <w:rPr>
          <w:noProof/>
        </w:rPr>
        <w:t>Wara li kkunsidraw l-opinjoni tal-Bank Ċentrali Ewropew,</w:t>
      </w:r>
      <w:r>
        <w:rPr>
          <w:rStyle w:val="FootnoteReference"/>
          <w:noProof/>
        </w:rPr>
        <w:footnoteReference w:id="18"/>
      </w:r>
    </w:p>
    <w:p>
      <w:pPr>
        <w:rPr>
          <w:noProof/>
        </w:rPr>
      </w:pPr>
      <w:r>
        <w:rPr>
          <w:noProof/>
        </w:rPr>
        <w:t>Wara li kkunsidraw l-opinjoni tal-Kumitat Ekonomiku u Soċjali Ewropew,</w:t>
      </w:r>
      <w:r>
        <w:rPr>
          <w:rStyle w:val="FootnoteReference"/>
          <w:noProof/>
        </w:rPr>
        <w:footnoteReference w:id="19"/>
      </w:r>
    </w:p>
    <w:p>
      <w:pPr>
        <w:rPr>
          <w:noProof/>
        </w:rPr>
      </w:pPr>
      <w:r>
        <w:rPr>
          <w:noProof/>
        </w:rPr>
        <w:t>Filwaqt li jaġixxu skont il-proċedura leġiżlattiva ordinarja,</w:t>
      </w:r>
    </w:p>
    <w:p>
      <w:pPr>
        <w:rPr>
          <w:noProof/>
        </w:rPr>
      </w:pPr>
      <w:r>
        <w:rPr>
          <w:noProof/>
        </w:rPr>
        <w:t>Billi:</w:t>
      </w:r>
    </w:p>
    <w:p>
      <w:pPr>
        <w:pStyle w:val="ManualConsidrant"/>
        <w:rPr>
          <w:noProof/>
        </w:rPr>
      </w:pPr>
      <w:r>
        <w:t>(1)</w:t>
      </w:r>
      <w:r>
        <w:tab/>
      </w:r>
      <w:r>
        <w:rPr>
          <w:noProof/>
        </w:rPr>
        <w:t xml:space="preserve">L-Artikolu 3(3) tat-Trattat dwar l-Unjoni Ewropea għandu l-għan li jistabbilixxi suq intern li jaħdem għall-iżvilupp sostenibbli tal-Ewropa, mibni fost affarijiet oħra fuq tkabbir ekonomiku bbilanċjat u livell għoli ta’ protezzjoni u ta’ titjib tal-kwalità tal-ambjent. </w:t>
      </w:r>
    </w:p>
    <w:p>
      <w:pPr>
        <w:pStyle w:val="ManualConsidrant"/>
        <w:rPr>
          <w:noProof/>
        </w:rPr>
      </w:pPr>
      <w:r>
        <w:t>(2)</w:t>
      </w:r>
      <w:r>
        <w:tab/>
      </w:r>
      <w:r>
        <w:rPr>
          <w:noProof/>
        </w:rPr>
        <w:t>Fil-25 ta’ Settembru 2015, l-Assemblea Ġenerali tan-NU adottat qafas globali ġdid għall-iżvilupp sostenibbli: l-Aġenda 2030 għall-Iżvilupp Sostenibbli</w:t>
      </w:r>
      <w:r>
        <w:rPr>
          <w:rStyle w:val="FootnoteReference"/>
          <w:noProof/>
        </w:rPr>
        <w:footnoteReference w:id="20"/>
      </w:r>
      <w:r>
        <w:rPr>
          <w:noProof/>
        </w:rPr>
        <w:t xml:space="preserve"> li fil-qalba tagħha hemm l-Għanijiet ta’ Żvilupp Sostenibbli (SDGs) li jkopru tliet pilastri ta’ sostenibbiltà: l-ambjent, il-governanza soċjali u ekonomika. Il-Komunikazzjoni tal-Kummissjoni tal-2016 dwar il-passi li jmiss għal futur Ewropew sostenibbli</w:t>
      </w:r>
      <w:r>
        <w:rPr>
          <w:rStyle w:val="FootnoteReference"/>
          <w:noProof/>
        </w:rPr>
        <w:footnoteReference w:id="21"/>
      </w:r>
      <w:r>
        <w:rPr>
          <w:noProof/>
        </w:rPr>
        <w:t xml:space="preserve"> tgħaqqad l-Għanijiet ta’ Żvilupp Sostenibbli (SDGs) mal-qafas tal-politika Ewropea biex tiżgura li l-azzjonijiet kollha tal-UE u inizjattivi ta’ politika, fi ħdan l-UE u globalment, iqisu l-SDGs mill-bidu nett. Il-konklużjonijiet tal-Kunsill Ewropew tal-20 ta’ Ġunju 2017</w:t>
      </w:r>
      <w:r>
        <w:rPr>
          <w:rStyle w:val="FootnoteReference"/>
          <w:noProof/>
        </w:rPr>
        <w:footnoteReference w:id="22"/>
      </w:r>
      <w:r>
        <w:rPr>
          <w:noProof/>
        </w:rPr>
        <w:t xml:space="preserve"> ikkonfermaw l-impenn tal-Unjoni u tal-Istati Membri għall-implimentazzjoni tal-Aġenda 2030 b’mod koerenti, komprensiv, integrat, effettiv u bis-sħiħ u b’kooperazzjoni mill-qrib mal-imsieħba u l-partijiet ikkonċernati l-oħra.</w:t>
      </w:r>
    </w:p>
    <w:p>
      <w:pPr>
        <w:pStyle w:val="ManualConsidrant"/>
        <w:rPr>
          <w:noProof/>
        </w:rPr>
      </w:pPr>
      <w:r>
        <w:t>(3)</w:t>
      </w:r>
      <w:r>
        <w:tab/>
      </w:r>
      <w:r>
        <w:rPr>
          <w:noProof/>
        </w:rPr>
        <w:t>Fl-2016, f’isem l-Unjoni l-Kunsill ikkonkluda l-Ftehim ta’ Pariġi dwar il-Klima</w:t>
      </w:r>
      <w:r>
        <w:rPr>
          <w:rStyle w:val="FootnoteReference"/>
          <w:noProof/>
        </w:rPr>
        <w:footnoteReference w:id="23"/>
      </w:r>
      <w:r>
        <w:rPr>
          <w:noProof/>
        </w:rPr>
        <w:t>. L-Artikolu 2(1)(c) tal-Ftehim ta’ Pariġi dwar il-Klima jistabblilixxi l-għan li jissaħħaħ ir-rispons għat-tibdil fil-klima, fost affarijiet oħra permezz ta’ flussi finanzjarji konsistenti mal-mixja lejn emissjonijiet ta’ gassijiet serra baxxi u żvilupp reżiljenti għall-klima.</w:t>
      </w:r>
    </w:p>
    <w:p>
      <w:pPr>
        <w:pStyle w:val="ManualConsidrant"/>
        <w:rPr>
          <w:noProof/>
        </w:rPr>
      </w:pPr>
      <w:r>
        <w:lastRenderedPageBreak/>
        <w:t>(4)</w:t>
      </w:r>
      <w:r>
        <w:tab/>
      </w:r>
      <w:r>
        <w:rPr>
          <w:noProof/>
        </w:rPr>
        <w:t>Is-sostenibbiltà u t-tranżizzjoni lejn ekonomija ċirkolari b’livelli baxxi ta’ karbionju, reżiljenti għall-klima, aktar effiċjenti fir-riżorsi huwa essenzjali sabiex tiġi żgurata l-kompetittività fit-tul tal-ekonomija tal-Unjoni. Is-sostenibbiltà ilha ħafna fiċ-ċentru tal-proġett tal-Unjoni Ewropea u t-Trattati jirrikonoxxu d-dimensjonijiet soċjali u ambjentali tagħha.</w:t>
      </w:r>
    </w:p>
    <w:p>
      <w:pPr>
        <w:pStyle w:val="ManualConsidrant"/>
        <w:rPr>
          <w:noProof/>
        </w:rPr>
      </w:pPr>
      <w:r>
        <w:t>(5)</w:t>
      </w:r>
      <w:r>
        <w:tab/>
      </w:r>
      <w:r>
        <w:rPr>
          <w:noProof/>
        </w:rPr>
        <w:t>F’Diċembru 2016, il-Kummissjoni ddelegat Grupp ta’ Esperti ta’ Livell Għoli biex jiżviluppa strateġija komprensiva u ambizzjuża tal-Unjoni għall-finanzjament sostenibbli.  Ir-rapport tal-Grupp ta’ Esperti ta’ Livell Għoli ppubblikat fil-31 ta’ Jannar 2018</w:t>
      </w:r>
      <w:r>
        <w:rPr>
          <w:rStyle w:val="FootnoteReference"/>
          <w:noProof/>
        </w:rPr>
        <w:footnoteReference w:id="24"/>
      </w:r>
      <w:r>
        <w:rPr>
          <w:noProof/>
        </w:rPr>
        <w:t xml:space="preserve"> isejjaħ għall-ħolqien ta’ sistema ta’ klassifikazzjoni teknikament b’saħħitha fuq livell Ewropew sabiex ikun ċar liema attivitajiet huma “ekoloġiċi” jew “sostenibbli”, ibda mill-mitigazzjoni tat-tibdil fil-klima. </w:t>
      </w:r>
    </w:p>
    <w:p>
      <w:pPr>
        <w:pStyle w:val="ManualConsidrant"/>
        <w:rPr>
          <w:noProof/>
        </w:rPr>
      </w:pPr>
      <w:r>
        <w:t>(6)</w:t>
      </w:r>
      <w:r>
        <w:tab/>
      </w:r>
      <w:r>
        <w:rPr>
          <w:noProof/>
        </w:rPr>
        <w:t>F’Marzu 2018, il-Kummissjoni ppubblikat il-Pjan ta’ Azzjoni tagħha "Niffinanzjaw it-Tkabbir Sostenibbli"</w:t>
      </w:r>
      <w:r>
        <w:rPr>
          <w:rStyle w:val="FootnoteReference"/>
          <w:noProof/>
        </w:rPr>
        <w:footnoteReference w:id="25"/>
      </w:r>
      <w:r>
        <w:rPr>
          <w:noProof/>
        </w:rPr>
        <w:t xml:space="preserve"> (Financing Sustainable Growth) fejn waqqfet strateġija ambizzjuża u komprensiva dwar il-finanzjament sostenibbli. Wieħed mill-għanijiet stabbiliti fil-Pjan ta’ Azzjoni huwa li tingħata direzzjoni ġdida lill-flussi tal-kapital lejn investiment sostenibbli sabiex jinkiseb tkabbir sostenibbli u inklussiv. It-twaqqif ta’ sistema unika ta’ klassifikazzjoni għall-attivitajiet sostenibbli hija l-azzjoni l-aktar importanti u urġenti prevista mill-Pjan ta’ Azzjoni. Il-Pjan ta’ Azzjoni jirrikonoxxi li l-bidla tal-flussi tal-kapital lejn attivitajiet iktar sostenibbli trid tkun appoġġjata minn fehim kondiviż ta’ xi jfisser “sostenibbli”. Bħala l-ewwel pass, jenħtieġ li l-investituri jiġu infurmati dwar l-investimenti li jiffinanzjaw attivitajiet ekonomiċi ambjentalment sostenibbli bi gwida ċara dwar l-attivitajiet li jitqiesu li jikkontribwixxu għall-għanijiet ambjentali. Fi stadju ulterjuri tista’ tiġi żviluppata gwida oħra dwar l-attivitajiet li jikkontribwixxu għal għanijiet sostenibbli oħra, inkluż għanijiet soċjali.</w:t>
      </w:r>
    </w:p>
    <w:p>
      <w:pPr>
        <w:pStyle w:val="ManualConsidrant"/>
        <w:rPr>
          <w:noProof/>
        </w:rPr>
      </w:pPr>
      <w:r>
        <w:t>(7)</w:t>
      </w:r>
      <w:r>
        <w:tab/>
      </w:r>
      <w:r>
        <w:rPr>
          <w:noProof/>
        </w:rPr>
        <w:t>Id-Deċiżjoni Nru 1386/2013/UE tal-Parlament Ewropew u tal-Kunsill</w:t>
      </w:r>
      <w:r>
        <w:rPr>
          <w:rStyle w:val="FootnoteReference"/>
          <w:noProof/>
        </w:rPr>
        <w:footnoteReference w:id="26"/>
      </w:r>
      <w:r>
        <w:rPr>
          <w:noProof/>
        </w:rPr>
        <w:t xml:space="preserve"> issejjaħ għal żieda fil-finanzjament mis-settur privat għal infiq ambjentali u dak marbut mal-klima, l-aktar permezz ta’ inċentivi u metodoloġiji li jixprunaw lill-kumpaniji biex ikejlu l-kost ambjentali tan-negozju tagħhom u l-profitt li sar permezz tas-servizzi ambjentali.</w:t>
      </w:r>
    </w:p>
    <w:p>
      <w:pPr>
        <w:pStyle w:val="ManualConsidrant"/>
        <w:rPr>
          <w:noProof/>
        </w:rPr>
      </w:pPr>
      <w:r>
        <w:t>(8)</w:t>
      </w:r>
      <w:r>
        <w:tab/>
      </w:r>
      <w:r>
        <w:rPr>
          <w:noProof/>
        </w:rPr>
        <w:t xml:space="preserve">Il-kisba tal-SDGs fl-Unjoni teħtieġ li l-flussi ta’ kapital jintbagħtu lejn investimenti sostenibbli. Huwa mportanti li jiġi sfruttat il-potenzjal sħiħ tas-suq intern għall-kisba ta’ dawn l-għanijiet. Huwa importanti wkoll li l-flussi ta’ kapital li jmorru f’investiment sostenibbli ma jfixklux is-suq intern. </w:t>
      </w:r>
    </w:p>
    <w:p>
      <w:pPr>
        <w:pStyle w:val="ManualConsidrant"/>
        <w:rPr>
          <w:noProof/>
        </w:rPr>
      </w:pPr>
      <w:r>
        <w:t>(9)</w:t>
      </w:r>
      <w:r>
        <w:tab/>
      </w:r>
      <w:r>
        <w:rPr>
          <w:noProof/>
        </w:rPr>
        <w:t xml:space="preserve">L-offerta ta’ prodotti finanzjarji li jfittxu għanijiet ambjentalment sostenibbli hija mod effettiv ta’ kif l-investiment privat imur f’attivitajiet sostenibbli. Ir-rekwiżiti nazzjonali għall-kummerċjalizzazzjoni ta’ prodotti finanzjarji u bonds korporattivi bħala investimenti sostenibbli, b’mod partikolari rekwiżiti li jippermetti lill-atturi rilevanti tas-suq li jużaw tikketta nazzjonali, għandhom l-għan li jtejbu l-fiduċja tal-investitur, biex joħolqu l-viżibbiltà u jindirizzaw it-tħassib dwar “greenwashing”. Il-greenwashing hija prattika fejn jinkiseb vantaġġ kompetittiv inġust permezz tal-kummerċjalizzazzjoni ta’ prodott finanzjarju bħala favur l-ambjent, meta fil-fatt ma jkunux jissodisfa l-istandards ambjentali minimi. Bħalissa xi ftit Stati Membri għandhom skemi ta’ tikkettar. Huma jibnu fuq tassonomiji differenti li jikklassifikaw l-attivitajiet ekonomiċi ambjentalment sostenibbli. </w:t>
      </w:r>
      <w:r>
        <w:rPr>
          <w:noProof/>
        </w:rPr>
        <w:lastRenderedPageBreak/>
        <w:t xml:space="preserve">Fid-dawl tal-impenji politiċi taħt il-Ftehim ta’ Pariġi u fuq livell Ewropew, x’aktarx li aktar u aktar Stati Membri se jintroduċu skemi ta’ tikkettar jew rekwiżiti oħra fuq l-atturi tas-suq b’rabta mal-prodotti finanzjarji jew bonds korporattivi ppreżentati bħala ambjentalment sostenibbli. B’hekk, l-Istati Membri jkunu qegħdin jużaw it-tassonomiji nazzjonali tagħhom biex jiddeterminaw liema investimenti jikkwalifikaw bħala sostenibbli. Jekk dawn ir-rekwiżiti nazzjonali huma bbażati fuq kriterji differenti biex jiġi determinat liema attivitajiet ekonomiċi jikkwalifikaw bħala ambjentalment sostenibbli, l-investituri ma jkollhomx interess jinvestu mal-fruntieri, minħabba d-diffikultajiet fi tqabbil tal-opportunitajiet differenti ta’ investiment. Barra minn hekk, l-operaturi ekonomiċi li jixtiequ jattiraw l-investiment minn madwar l-Unjoni jkollhom jissodisfaw kriterji differenti f’diversi Stati Membri sabiex l-attivitajiet tagħhom jikkwalifikaw bħala ambjentalment sostenibbli għall-finijiet tat-tikketti differenti. In-nuqqas ta’ kriterji komuni b’hekk iżidu l-ispejjeż u joħolqu diżinċentiv sinifikanti għall-operaturi ekonomiċi, li jirriżulta f’impediment għall-aċċess transfruntier tas-swieq kapitali għall-investmenti sostenibbli. L-ostakli għall-aċċess għas-swieq kapitali transfruntiera sabiex jinġabru fondi għall-proġetti sostenibbli huma mistennija li jkompli jikbru. Il-kriterji biex jiġi determinat jekk attività ekonomika hix ambjentalment sostenibbli għalhekk jenħtieġ li jiġu armonizzati fuq livell Ewropew, sabiex jitneħħew l-ostakli għall-funzjonament tas-suq intern u jiġi evitat li jerġgħu jitfaċċaw 'il quddiem. B’din l-armonizzazzjoni l-operaturi ekonomiċi jsibuha aktar faċli biex jiġbru fondi għall-attivitajiet ambjentali tagħhom meta jaqsmu l-fruntieri, għaliex l-attivitajiet ekonomiċi tagħhom jistgħu jitqabblu ma’ kriterji uniformi sabiex jintgħażlu bħala assi sottostanti għall-investimenti ambjentalment sostenibbli. B’hekk isir aktar faċli biex jiġi attirat l-investiment bejn il-fruntieri fl-Unjoni. </w:t>
      </w:r>
    </w:p>
    <w:p>
      <w:pPr>
        <w:pStyle w:val="ManualConsidrant"/>
        <w:rPr>
          <w:noProof/>
        </w:rPr>
      </w:pPr>
      <w:r>
        <w:t>(10)</w:t>
      </w:r>
      <w:r>
        <w:tab/>
      </w:r>
      <w:r>
        <w:rPr>
          <w:noProof/>
        </w:rPr>
        <w:t xml:space="preserve">Barra minn hekk, jekk il-parteċipanti tas-suq ma jagħtux spjegazzjoni lill-investituri ta’ kif l-attivitajiet li jinvestu fihom jikkontribwixxu lejn għanijiet ambjentali, jew jekk jużawx kunċetti differenti fl-ispjegazzjoni tagħhom ta’ x’inhi attività ekonomika “sostenibbli”, l-investituri jsibu piż sproporzjonat biex jivverifikaw u jqabblu dawn il-prodotti finanzjarji differenti. Instab li dan l-aspett ma jħajjarx lill-investituri biex jinvestu fi prodotti finanzjarji ekoloġiċi. Barra minn hekk, in-nuqqas ta’ fiduċja fl-investituri għandu effetti negattivi importanti fuq is-suq għall-investiment sostenibbli. Intwera wkoll li regoli nazzjonali jew inizjattivi bbażati fuq is-suq li jkunu ttieħdu biex tiġi indirizzata din is-sitwazzjoni ġewwa l-fruntieri nazzjonali jwasslu għal frammentazzjoni tas-suq intern. Jekk il-parteċipanti tas-suq finanzjarju jiżvelaw kif il-prodotti finanzjarji li qegħdin isostnu huma favur l-ambjent jissodisfaw l-għanijiet ambjentali, u għal dan l-iżvelar jużaw kriterji komuni mal-Unjoni dwar fiex tikkonsisti attività ekonomika ambjentalment sostenibbli, din tgħin lill-investituri jqabblu l-opportunitajiet ta’ investiment favur l-ambjent mal-fruntieri. L-investituri jinvestu fi prodotti finanzjarji ekoloġiċi b’aktar fiduċija madwar l-Unjoni, li jtejjeb il-funzjonament tas-suq intern. </w:t>
      </w:r>
    </w:p>
    <w:p>
      <w:pPr>
        <w:pStyle w:val="ManualConsidrant"/>
        <w:rPr>
          <w:noProof/>
        </w:rPr>
      </w:pPr>
      <w:r>
        <w:t>(11)</w:t>
      </w:r>
      <w:r>
        <w:tab/>
      </w:r>
      <w:r>
        <w:rPr>
          <w:noProof/>
        </w:rPr>
        <w:t>Biex jindirizzaw l-ostakoli eżistenti fil-funzjonament tas-suq intern u biex jevitaw it-tfaċċar ta’ dawn l-ostakoli fil-futur, l-Istati Membri jenħtieġ li jintalbu jużaw kunċett komuni ta’ investiment ambjentalment sostenibbli meta jistabbilixxu rekwiżiti għal atturi tas-suq għall-finijiet ta’ tikkettar ta’ prodotti finanzjarji jew bonds korporattivi ppreżentati bħala ambjentalment sostenibbli fuq livell nazzjonali. Għall-istess raġunijiet, jenħtieġ li l-maniġers tal-fondi u l-investituri istituzzjonali li jgħidu li qegħdin isegwu għanijiet ambjentali jużaw l-istess kunċett ta’ investiment ambjentalment sostenibbli meta’ jiżvelaw kif se jilħqu dawk l-għanijiet.</w:t>
      </w:r>
    </w:p>
    <w:p>
      <w:pPr>
        <w:pStyle w:val="ManualConsidrant"/>
        <w:rPr>
          <w:noProof/>
        </w:rPr>
      </w:pPr>
      <w:r>
        <w:t>(12)</w:t>
      </w:r>
      <w:r>
        <w:tab/>
      </w:r>
      <w:r>
        <w:rPr>
          <w:noProof/>
        </w:rPr>
        <w:t xml:space="preserve">It-twaqqif ta’ kriterji għal attivitajiet ekonomiċi ambjentalment sostenibbli jistgħu jħeġġu lill-kumpaniji biex jiżvelaw fuq is-siti webtagħhom, fuq bażi volontarja, informazzjoni dwar l-attivitajiet ekonomiċi ambjentalment sostenibbli li jwettqu. Din l-informazzjoni tgħin mhux biss lill-atturi rilevanti fis-swieq finanzjarji biex jidentifikaw malajr liema kumpaniji </w:t>
      </w:r>
      <w:r>
        <w:rPr>
          <w:noProof/>
        </w:rPr>
        <w:lastRenderedPageBreak/>
        <w:t>jwettqu attivitajiet ekonomiċi ambjentalment sostenibbli, iżda se tiffaċilitalhom ukoll il-ġbir ta’ fondi għall-attivitajiet ambjentali tagħhom.</w:t>
      </w:r>
    </w:p>
    <w:p>
      <w:pPr>
        <w:pStyle w:val="ManualConsidrant"/>
        <w:rPr>
          <w:noProof/>
        </w:rPr>
      </w:pPr>
      <w:r>
        <w:t>(13)</w:t>
      </w:r>
      <w:r>
        <w:tab/>
      </w:r>
      <w:r>
        <w:rPr>
          <w:noProof/>
        </w:rPr>
        <w:t xml:space="preserve">Jenħtieġ li klassifikazzjoni tal-Unjoni ta’ attivitajiet ekonomiċi ambjentalment sostenibbli tippermetti l-iżvilupp ta’ politiki futuri tal-Unjoni, inklużi standards mal-Unjoni kollha għal prodotti finanzjarji ambjentalment sostenibbli u eventwalment it-twaqqif ta’ tikketti li formalment jirrikonoxxu l-konformità ma’ dawk l-istandards madwar l-Unjoni. Rekwiżiti legali uniformi sabiex l-investimenti jitqiesu bħala investimenti ambjentalment sostenibbli, ibbażati fuq kriterji uniformi għal attivitajiet ekonomiċi ambjentalment sostenibbli, huma meħtieġa bħala referenza għal leġiżlazzjoni futura tal-Unjoni li għandha l-għan li tippermetti dawk l-investimenti. </w:t>
      </w:r>
    </w:p>
    <w:p>
      <w:pPr>
        <w:pStyle w:val="ManualConsidrant"/>
        <w:rPr>
          <w:noProof/>
        </w:rPr>
      </w:pPr>
      <w:r>
        <w:t>(14)</w:t>
      </w:r>
      <w:r>
        <w:tab/>
      </w:r>
      <w:r>
        <w:rPr>
          <w:noProof/>
        </w:rPr>
        <w:t>Fil-kuntest tal-kisba tal-SDGs fl-Unjoni, l-għażla tal-politiki bħal l-ħolqien ta’ Fond Ewropew għall-Investimenti Strateġiċi, intwerew li huma effettivi għaliex jagħtu sehemhom fit-twassil ta’ investiment privat flimkien man-nefqa pubblika lejn investimenti sostenibbli. Ir-Regolament (UE) Nru 2015/1017 tal-Parlament Ewropew u tal-Kunsill</w:t>
      </w:r>
      <w:r>
        <w:rPr>
          <w:rStyle w:val="FootnoteReference"/>
          <w:noProof/>
        </w:rPr>
        <w:footnoteReference w:id="27"/>
      </w:r>
      <w:r>
        <w:rPr>
          <w:noProof/>
        </w:rPr>
        <w:t xml:space="preserve"> jispeċifika mira għall-investiment fl-ambjent ta’ 40 % għal proġetti ta’ infrastruttura u ta’ innovazzjoni taħt il-Fond Ewropew għall-Investimenti Strateġiċi. Il-kriterji komuni għas-sostenibbiltà tal-attivitajiet ekonomiċi jistgħu jservu ta’ pedament għal inizjattivi futuri simili tal-Unjoni li jappoġġjaw l-investiment li għandu għanijiet marbuta mal-klima jew għanijiet ambjentali oħra. </w:t>
      </w:r>
    </w:p>
    <w:p>
      <w:pPr>
        <w:pStyle w:val="ManualConsidrant"/>
        <w:rPr>
          <w:noProof/>
        </w:rPr>
      </w:pPr>
      <w:r>
        <w:t>(15)</w:t>
      </w:r>
      <w:r>
        <w:tab/>
      </w:r>
      <w:r>
        <w:rPr>
          <w:noProof/>
        </w:rPr>
        <w:t xml:space="preserve">Sabiex tiġi evitata l-frammentazzjoni tas-suq kif ukoll ħsara lill-interessi tal-konsumaturi minħabba ideat differenti dwar l-attivitajiet ekonomiċi ambjentalment sostenibbli, jenħtieġ li r-rekwiżiti nazzjonali li jenħtieġ li l-atturi tas-suq jissodisfaw meta jixtiequ jbigħu prodotti finanzjarji jew bonds korporattivi bħala ambjentalment sostenibbli jibnu fuq il-kriterji uniformi għall-attivitajiet ekonomiċi ambjentalment sostenibbli. Dawk l-atturi tas-suq jinkludu l-parteċipanti tas-suq finanzjarju li joffru prodotti finanzjarji “ekoloġiċi” u kumpaniji mhux finanzjarji li joħorġu bonds korporattivi “ħodor”. </w:t>
      </w:r>
    </w:p>
    <w:p>
      <w:pPr>
        <w:pStyle w:val="ManualConsidrant"/>
        <w:rPr>
          <w:noProof/>
        </w:rPr>
      </w:pPr>
      <w:r>
        <w:t>(16)</w:t>
      </w:r>
      <w:r>
        <w:tab/>
      </w:r>
      <w:r>
        <w:rPr>
          <w:noProof/>
        </w:rPr>
        <w:t xml:space="preserve">Sabiex tiġi evitata ħsara lill-interessi tal-konsumaturi, il-maniġers tal-fondi u l-investituri istituzzjonali li joffru prodotti finanzjarji li jsejħulhom ambjentalment sostenibbli, jenħtieġ li jiżvelaw kif u sa fejn jintużaw il-kriterji għal attivitajiet ekonomiċi ambjentalment sostenibbli biex tiġi determinata s-sostenibbiltà ambjentali tal-investimenti. L-informazzjoni żvelata jenħtieġ li tħalli lill-investituri jifhmu s-sehem tal-investiment li jiffinanzja l-attivitajiet ekonomiċi ambjentalment sostenibbli bħala perċentwal tal-attivitajiet ekonomiċi kollha u b’hekk il-livell ta’ sostenibbiltà ambjentali tal-investiment. Il-Kummissjoni jenħtieġ li tispeċifika l-informazzjoni li trid tiġi żvelata għal dak il-għan. Jenħtieġ li dik l-informazzjoni tippermetti lill-awtoritajiet nazzjonali tal-kompetizzjoni jivverifikaw faċilment il-konformità mal-obbligu tal-iżvelar, u jeżegwixxu dak l-obbligu skont il-liġi nazzjonali applikabbli. </w:t>
      </w:r>
    </w:p>
    <w:p>
      <w:pPr>
        <w:pStyle w:val="ManualConsidrant"/>
        <w:rPr>
          <w:noProof/>
        </w:rPr>
      </w:pPr>
      <w:r>
        <w:t>(17)</w:t>
      </w:r>
      <w:r>
        <w:tab/>
      </w:r>
      <w:r>
        <w:rPr>
          <w:noProof/>
        </w:rPr>
        <w:t xml:space="preserve">Sabiex l-obbligu ta’ żvelar ma jiġix evitat, jenħtieġ li dak l-obbligu japplika wkoll meta l-prodotti finanzjarji jiġu ppreżentati bħallikieku għandhom karatteristiċi simili bħal investimenti ambjentalment sostenibbli, inkluż dawk li l-mira tagħhom hija l-protezzjoni tal-ambjent b’mod wiesa'. Jenħtieġ li l-parteċipanti tas-suq finanzjarju ma jkollhomx għalfejn jiġu mitluba jinvestu biss f’attivitajiet ekonomiċi ambjentalment sostenibbli skont il-kriterji ta’ skrinjar tekniċi previsti f’dan ir-Regolament. Jenħtieġ li jiġu mħeġġa jinfurmaw lill-Kummissjoni jekk jikkunsidraw li attività ekonomika li ma tissodisfax il-kriterji ta’ skrinjar tekniċi, jew attività li għaliha għad mhemmx kriterji, jenħtieġ li titqies ambjentalment </w:t>
      </w:r>
      <w:r>
        <w:rPr>
          <w:noProof/>
        </w:rPr>
        <w:lastRenderedPageBreak/>
        <w:t xml:space="preserve">sostenibbli, biex jgħinu lill-Kummissjoni tevalwa jekk ikunx xieraq tikkumplimenta jew taġġorna l-kriterji ta’ skrinjar tekniċi. </w:t>
      </w:r>
    </w:p>
    <w:p>
      <w:pPr>
        <w:pStyle w:val="ManualConsidrant"/>
        <w:rPr>
          <w:noProof/>
        </w:rPr>
      </w:pPr>
      <w:r>
        <w:t>(18)</w:t>
      </w:r>
      <w:r>
        <w:tab/>
      </w:r>
      <w:r>
        <w:rPr>
          <w:noProof/>
        </w:rPr>
        <w:t xml:space="preserve">Sabiex jiġi determinat jekk attività ekonomika hix ambjentalment sostenibbli, jenħtieġ li titwaqqaf lista eżawrjenti ta’ għanijiet ambjentali. </w:t>
      </w:r>
    </w:p>
    <w:p>
      <w:pPr>
        <w:pStyle w:val="ManualConsidrant"/>
        <w:rPr>
          <w:noProof/>
        </w:rPr>
      </w:pPr>
      <w:r>
        <w:t>(19)</w:t>
      </w:r>
      <w:r>
        <w:tab/>
      </w:r>
      <w:r>
        <w:rPr>
          <w:noProof/>
        </w:rPr>
        <w:t>Jenħtieġ li l-għan ambjentali tal-protezzjoni tal-ekosistemi b'saħħithom jiġi interpretat filwaqt li jitqiesu l-istrumenti leġiżlattivi u mhux leġiżlattivi rilevanti tal-Unjoni, inkluż id-Direttiva 2009/147/KE tal-Parlament Ewropew u tal-Kunsill</w:t>
      </w:r>
      <w:r>
        <w:rPr>
          <w:rStyle w:val="FootnoteReference"/>
          <w:noProof/>
        </w:rPr>
        <w:footnoteReference w:id="28"/>
      </w:r>
      <w:r>
        <w:rPr>
          <w:noProof/>
        </w:rPr>
        <w:t>, id-Direttiva tal-Kunsill 92/43/KEE</w:t>
      </w:r>
      <w:r>
        <w:rPr>
          <w:rStyle w:val="FootnoteReference"/>
          <w:noProof/>
        </w:rPr>
        <w:footnoteReference w:id="29"/>
      </w:r>
      <w:r>
        <w:rPr>
          <w:noProof/>
        </w:rPr>
        <w:t>, ir-Regolament (UE) Nru 1143/2014 tal-Parlament Ewropew u tal-Kunsill,</w:t>
      </w:r>
      <w:r>
        <w:rPr>
          <w:rStyle w:val="FootnoteReference"/>
          <w:noProof/>
        </w:rPr>
        <w:footnoteReference w:id="30"/>
      </w:r>
      <w:r>
        <w:rPr>
          <w:noProof/>
        </w:rPr>
        <w:t xml:space="preserve"> l-Istrateġija għall-Bijodiversità tal-UE għall-2020,</w:t>
      </w:r>
      <w:r>
        <w:rPr>
          <w:rStyle w:val="FootnoteReference"/>
          <w:noProof/>
        </w:rPr>
        <w:footnoteReference w:id="31"/>
      </w:r>
      <w:r>
        <w:rPr>
          <w:noProof/>
        </w:rPr>
        <w:t xml:space="preserve"> l-Istrateġija tal-UE għall-Infrastruttura Ekoloġika, id-Direttiva tal-Kunsill 91/676,</w:t>
      </w:r>
      <w:r>
        <w:rPr>
          <w:rStyle w:val="FootnoteReference"/>
          <w:noProof/>
        </w:rPr>
        <w:footnoteReference w:id="32"/>
      </w:r>
      <w:r>
        <w:rPr>
          <w:noProof/>
        </w:rPr>
        <w:t xml:space="preserve"> ir-Regolament (UE) Nru 511/2014 tal-Parlament Ewropew u tal-Kunsill,</w:t>
      </w:r>
      <w:r>
        <w:rPr>
          <w:rStyle w:val="FootnoteReference"/>
          <w:noProof/>
        </w:rPr>
        <w:footnoteReference w:id="33"/>
      </w:r>
      <w:r>
        <w:rPr>
          <w:noProof/>
        </w:rPr>
        <w:t xml:space="preserve"> ir-Regolament (UE) Nru 995/2010 tal-Parlament Ewropew u tal-Kunsill,</w:t>
      </w:r>
      <w:r>
        <w:rPr>
          <w:rStyle w:val="FootnoteReference"/>
          <w:noProof/>
        </w:rPr>
        <w:footnoteReference w:id="34"/>
      </w:r>
      <w:r>
        <w:rPr>
          <w:noProof/>
        </w:rPr>
        <w:t xml:space="preserve"> il-Pjan ta’ Azzjoni għall-Infurzar tal-Liġi, it-Tmexxija u l-Kummerċ fis-Settur Forestali</w:t>
      </w:r>
      <w:r>
        <w:rPr>
          <w:rStyle w:val="FootnoteReference"/>
          <w:noProof/>
        </w:rPr>
        <w:footnoteReference w:id="35"/>
      </w:r>
      <w:r>
        <w:rPr>
          <w:noProof/>
        </w:rPr>
        <w:t xml:space="preserve"> u l-Pjan ta’ Azzjoni kontra t-Traffikar ta' Organiżmi Selvaġġi</w:t>
      </w:r>
      <w:r>
        <w:rPr>
          <w:rStyle w:val="FootnoteReference"/>
          <w:noProof/>
        </w:rPr>
        <w:footnoteReference w:id="36"/>
      </w:r>
      <w:r>
        <w:rPr>
          <w:noProof/>
        </w:rPr>
        <w:t>.</w:t>
      </w:r>
    </w:p>
    <w:p>
      <w:pPr>
        <w:pStyle w:val="ManualConsidrant"/>
        <w:rPr>
          <w:noProof/>
        </w:rPr>
      </w:pPr>
      <w:r>
        <w:t>(20)</w:t>
      </w:r>
      <w:r>
        <w:tab/>
      </w:r>
      <w:r>
        <w:rPr>
          <w:noProof/>
        </w:rPr>
        <w:t>Għal kull għan ambjentali, jenħtieġ li jiġu stabbili kriterji uniformi biex attivitajiet ekonomiċi jitqiesu li qegħdin jagħtu kontribut sostanzjali għal dak il-għan. Jenħtieġ li element wieħed tal-kriterji uniformi jkun li tiġi evitata ħsara sinifikanti lil xi wieħed mill-għanijiet ambjentali previsti f’dan ir-Regolament. Dan sabiex jiġi evitat li ċerti investimenti jitqiesu ambjentalment sostenibbli minkejja li l-attivitajiet ekonomiċi li jgawdu minn dawk l-investimenti jikkawżaw ħsara lill-ambjent li taqbeż il-kontribut tagħhom għal għan ambjentali. Jenħtieġ li l-kundizzjonijiet għal kontribut sostanzjali u biex ma tiġix ikkawżata ħsara sinifikanti jippermettu lill-investimenti f’attivitajiet ekonomiċi ambjentalment sostenibbli biex jagħtu kontribut reali lill-għanijiet ambjentali.</w:t>
      </w:r>
    </w:p>
    <w:p>
      <w:pPr>
        <w:pStyle w:val="ManualConsidrant"/>
        <w:rPr>
          <w:noProof/>
        </w:rPr>
      </w:pPr>
      <w:r>
        <w:t>(21)</w:t>
      </w:r>
      <w:r>
        <w:tab/>
      </w:r>
      <w:r>
        <w:rPr>
          <w:noProof/>
        </w:rPr>
        <w:t xml:space="preserve">Bi tfakkira tal-impenn konġunt tal-Parlament Ewropew, tal-Kunsill u tal-Kummissjoni biex jiksbu l-prinċipju minquxa fil-Pilastru Ewropew tad-Drittijiet Soċjali b’appoġġ tat-tkabbir sostenibbli u inklussiv u b’rikonoxximent tar-rilevanza tal-istandards u drittijiet tal-bniedem u tax-xogħol minimi internazzjonali, jenħtieġ li l-konformità mas-salvagwardji minimi tkun kundizzjoni għall-attivitajiet ekonomiċi biex jikkwalifikaw bħala ambjentalment sostenibbli. Għal dik ir-raġuni jenħtieġ li l-attivitajiet ekonomiċi jikkwalifikaw bħala ambjentalment sostenibbli biss meta jitwettqu b’konformità mad-dikjarazzjoni tal-Organizzazzjoni Internazzjonali tax-Xogħol (“ILO”) dwar il-Prinċipju u d-Drittijiet fuq ix-Xogħol u t-tmien konvenzjonijiet ewlenin tal-ILO. Il-konvenzjonijiet ewlenin tal-ILOs jiddefinixxu d-drittijiet </w:t>
      </w:r>
      <w:r>
        <w:rPr>
          <w:noProof/>
        </w:rPr>
        <w:lastRenderedPageBreak/>
        <w:t>tal-bniedem u tax-xogħol li l-kumpaniji jridu jirrispettaw. Uħud minn dawn l-istandards internazzjonali huma minquxa wkoll fil-Karta tad-Drittijiet Fundamentali tal-Unjoni Ewropea, b’mod partikolari il-projbizzjoni tal-iskjavitù u tax-xogħol forzat u l-prinċipju ta’ nondiskriminazzjoni. Dawk is-salvagwardji minimi huma mingħajr preġudizzju għall-applikazzjoni ta’ rekwiżiti aktar stretti fuq l-ambjent, is-saħħa u s-sigurtà u s-sostenibbiltà soċjali stabbiliti fil-liġi tal-Unjoni, fejn japplikaw.</w:t>
      </w:r>
    </w:p>
    <w:p>
      <w:pPr>
        <w:pStyle w:val="ManualConsidrant"/>
        <w:rPr>
          <w:noProof/>
        </w:rPr>
      </w:pPr>
      <w:r>
        <w:t>(22)</w:t>
      </w:r>
      <w:r>
        <w:tab/>
      </w:r>
      <w:r>
        <w:rPr>
          <w:noProof/>
        </w:rPr>
        <w:t xml:space="preserve">Kont tenut tad-dettalji tekniċi speċifiċi meħtieġa biex jiġi evalwat l-impatt ambjentali ta’ attività ekonomika u n-natura tinbidel malajr ta’ kemm ix-xjenza u t-teknoloġija, jenħtieġ li l-kriterji tal-attivitajiet ekonomiċi ambjentalment sostenibbli jiġu adattati regolarment għal dak it-tibdil. Biex il-kriterji jkunu aġġornati, ibbażati fuq evidenza xjentifika u l-informazzjoni minn esperti kif ukoll minn partijiet ikkonċernati rilevanti, jenħtieġ li l-kundizzjonijiet għal kontribut sostanzjali u ħsara sinifikanti jiġu speċifikati b’aktar granularità għal attivitajiet ekonomiċi differenti u jenħtieġ li jkunu aġġornati regolarment. Għal dan il-għan, jenħtieġ li l-Kummissjoni tistabbilixxi kriterji ta’ skrinjar tekniċi granulari u kalibrati, għall-attivitajiet ekonomiċi differenti, abbażi tal-input tekniku ta’ Pjattaforma dwar il-Finanzi Sostenibbli b’diversi partijiet ikkonċernati. </w:t>
      </w:r>
    </w:p>
    <w:p>
      <w:pPr>
        <w:pStyle w:val="ManualConsidrant"/>
        <w:rPr>
          <w:noProof/>
        </w:rPr>
      </w:pPr>
      <w:r>
        <w:t>(23)</w:t>
      </w:r>
      <w:r>
        <w:tab/>
      </w:r>
      <w:r>
        <w:rPr>
          <w:noProof/>
        </w:rPr>
        <w:t xml:space="preserve">Ċerti attivitajiet ekonomiċi għandhom impatt negattiv fuq l-ambjent, u kontribut sostanzjali lil wieħed jew aktar għanijiet ambjentali jista’ jinkiseb jekk jitnaqqas dak l-impatt negattiv. Għal dawk l-attivitajiet ekonomiċi, huwa xieraq li jiġu stabbiliti kriterji ta’ skrinjar tekniċi li jeħtieġu titjib sostanzjali fil-prestazzjoni ambjentali meta mqabbla ma', fost affarijiet oħra, il-medja tal-industrija.  Jenħtieġ li dawk il-kriterji jikkunsidraw ukoll l-impatt fit-tul ta’ attività ekonomika speċifika. </w:t>
      </w:r>
    </w:p>
    <w:p>
      <w:pPr>
        <w:pStyle w:val="ManualConsidrant"/>
        <w:rPr>
          <w:noProof/>
        </w:rPr>
      </w:pPr>
      <w:r>
        <w:t>(24)</w:t>
      </w:r>
      <w:r>
        <w:tab/>
      </w:r>
      <w:r>
        <w:rPr>
          <w:noProof/>
        </w:rPr>
        <w:t>Jenħtieġ li attività ekonomija ma titqies ambjentalment sostenibbli jekk tikkawża aktar ħsara lill-ambjent mill-benefiċċji li tagħti.  Jenħtieġ li l-kriterji ta’ skrinjar tekniċi jidentifikaw ir-rekwiżiti minimi meħtieġa sabiex tiġi evitata ħsara sinifikanti lil għanijiet oħra. Meta tistabbilixxi u taġġorna l-kriterji ta’ skrinjar tekniċi, jenħtieġ li l-Kummissjoni tiżgura li dawk il-kriterji jkunu bbażati fuq l-evidenza xjentifika disponibbli u jiġu aġġornati regolarment. Meta l-evalwazzjoni xjentifika ma tippermettix l-identifikazzjoni tar-riskju b’ċertezza adegwata, jenħtieġ li japplika l-prinċipju ta’ prekawzjoni, skont l-Artikolu 191 TFUE.</w:t>
      </w:r>
    </w:p>
    <w:p>
      <w:pPr>
        <w:pStyle w:val="ManualConsidrant"/>
        <w:rPr>
          <w:noProof/>
        </w:rPr>
      </w:pPr>
      <w:r>
        <w:t>(25)</w:t>
      </w:r>
      <w:r>
        <w:tab/>
      </w:r>
      <w:r>
        <w:rPr>
          <w:noProof/>
        </w:rPr>
        <w:t>Meta tistabbilixxi u taġġorna l-kriterji ta’ skrinjar tekniċi, jenħtieġ li l-Kummissjoni tikkunsidra l-liġi tal-Unjoni rilevanti, kif ukoll l-istrumenti mhux leġiżlattivi tal-Unjoni diġà fis-seħħ, inkluż ir-Regolament (UE) 66/2010 tal-Parlament Ewropew u tal-Kunsill</w:t>
      </w:r>
      <w:r>
        <w:rPr>
          <w:rStyle w:val="FootnoteReference"/>
          <w:noProof/>
        </w:rPr>
        <w:footnoteReference w:id="37"/>
      </w:r>
      <w:r>
        <w:rPr>
          <w:noProof/>
        </w:rPr>
        <w:t>, l-Iskema ta’ Ġestjoni u Verifika Ambjentali tal-UE,</w:t>
      </w:r>
      <w:r>
        <w:rPr>
          <w:rStyle w:val="FootnoteReference"/>
          <w:noProof/>
        </w:rPr>
        <w:footnoteReference w:id="38"/>
      </w:r>
      <w:r>
        <w:rPr>
          <w:noProof/>
        </w:rPr>
        <w:t xml:space="preserve"> il-Kriterji dwar l-Akkwist Pubbliku Ekoloġiku tal-UE</w:t>
      </w:r>
      <w:r>
        <w:rPr>
          <w:rStyle w:val="FootnoteReference"/>
          <w:noProof/>
        </w:rPr>
        <w:footnoteReference w:id="39"/>
      </w:r>
      <w:r>
        <w:rPr>
          <w:noProof/>
        </w:rPr>
        <w:t xml:space="preserve"> u x-xogħol li għadu għaddej fuq ir-regoli dwar l-Impronta Ambjentali tal-Prodotti u dwar l-Impronta Ambjentali tal-Organizzazzjonijiet</w:t>
      </w:r>
      <w:r>
        <w:rPr>
          <w:rStyle w:val="FootnoteReference"/>
          <w:noProof/>
        </w:rPr>
        <w:footnoteReference w:id="40"/>
      </w:r>
      <w:r>
        <w:rPr>
          <w:noProof/>
        </w:rPr>
        <w:t>.  Sabiex jiġu evitati inkonsistenzi mhux neċessarji bil-klassifikazzjonijiet tal-attivitajiet ekonomiċi li diġà jeżistu għal għanijiet oħra, jenħtieġ li l-Kummissjoni tikkunsidra wkoll il-klassifikazzjonijiet tal-istatistika marbuta mas-Settur tal-Prodotti u s-Servizzi Ambjentali, prinċipalment il-</w:t>
      </w:r>
      <w:r>
        <w:rPr>
          <w:noProof/>
        </w:rPr>
        <w:lastRenderedPageBreak/>
        <w:t>Klassifikazzjoni tal-Attivitajiet u n-Nefqa għall-Protezzjoni Ambjentali (CEPA) u l-Klassifikazzjoni tal-Attivitajiet ta’ Ġestjoni tar-Riżorsi (CreMA)</w:t>
      </w:r>
      <w:r>
        <w:rPr>
          <w:rStyle w:val="FootnoteReference"/>
          <w:noProof/>
        </w:rPr>
        <w:footnoteReference w:id="41"/>
      </w:r>
      <w:r>
        <w:rPr>
          <w:noProof/>
        </w:rPr>
        <w:t>.</w:t>
      </w:r>
    </w:p>
    <w:p>
      <w:pPr>
        <w:pStyle w:val="ManualConsidrant"/>
        <w:rPr>
          <w:noProof/>
        </w:rPr>
      </w:pPr>
      <w:r>
        <w:t>(26)</w:t>
      </w:r>
      <w:r>
        <w:tab/>
      </w:r>
      <w:r>
        <w:rPr>
          <w:noProof/>
        </w:rPr>
        <w:t>Meta tistabbilixxi u taġġorna l-kriterji ta’ skrinjar tekniċi jenħtieġ li l-Kummissjoni tqis ukoll l-ispeċifiċitajiet tas-settur tal-infrastruttura kif ukoll l-esternalitajiet ambjentali, soċjali u ekonomiċi fi ħdan analiżi tal-ispejjeż u l-benefiċċji. F’dak ir-rigward, jenħtieġ li l-Kummissjoni tikkunsidra x-xogħol tal-organizzazzjonijiet internazzjonali, bħal l-OECD, il-leġiżlazzjoni u l-istandards rilevanti tal-Unjoni, inkluż id-Direttiva 2001/42/KE tal-Parlament Ewropew u tal-Kunsill</w:t>
      </w:r>
      <w:r>
        <w:rPr>
          <w:rStyle w:val="FootnoteReference"/>
          <w:noProof/>
        </w:rPr>
        <w:footnoteReference w:id="42"/>
      </w:r>
      <w:r>
        <w:rPr>
          <w:noProof/>
        </w:rPr>
        <w:t>, id-Direttiva 2011/92/UE tal-Parlament Ewropew u tal-Kunsill</w:t>
      </w:r>
      <w:r>
        <w:rPr>
          <w:rStyle w:val="FootnoteReference"/>
          <w:noProof/>
        </w:rPr>
        <w:footnoteReference w:id="43"/>
      </w:r>
      <w:r>
        <w:rPr>
          <w:noProof/>
        </w:rPr>
        <w:t>, id-Direttiva 2014/23/UE tal-Parlament Ewropew u tal-Kunsill</w:t>
      </w:r>
      <w:r>
        <w:rPr>
          <w:rStyle w:val="FootnoteReference"/>
          <w:noProof/>
        </w:rPr>
        <w:footnoteReference w:id="44"/>
      </w:r>
      <w:r>
        <w:rPr>
          <w:noProof/>
        </w:rPr>
        <w:t>, id-Direttiva 2014/24/UE tal-Parlament Ewropew u tal-Kunsill</w:t>
      </w:r>
      <w:r>
        <w:rPr>
          <w:rStyle w:val="FootnoteReference"/>
          <w:noProof/>
        </w:rPr>
        <w:footnoteReference w:id="45"/>
      </w:r>
      <w:r>
        <w:rPr>
          <w:noProof/>
        </w:rPr>
        <w:t>, id-Direttiva 2014/25/UE tal-Parlament Ewropew u tal-Kunsill</w:t>
      </w:r>
      <w:r>
        <w:rPr>
          <w:rStyle w:val="FootnoteReference"/>
          <w:noProof/>
        </w:rPr>
        <w:footnoteReference w:id="46"/>
      </w:r>
      <w:r>
        <w:rPr>
          <w:noProof/>
        </w:rPr>
        <w:t xml:space="preserve"> u l-metodoloġija attwali. F’dak il-kuntest, jenħtieġ li l-kriterji ta’ skrinjar tekniċi jippromwovu l-oqfsa xierqa ta’ governanza li jintegraw il-fatturi ambjentali, soċjali u ta’ governanza, kif imsemmija fil-Prinċipji li huma appoġġati min-Nazzjonijiet Uniti għall-Investiment Responsabbli</w:t>
      </w:r>
      <w:r>
        <w:rPr>
          <w:rStyle w:val="FootnoteReference"/>
          <w:noProof/>
        </w:rPr>
        <w:footnoteReference w:id="47"/>
      </w:r>
      <w:r>
        <w:rPr>
          <w:noProof/>
        </w:rPr>
        <w:t>, f’kull stadju taċ-ċiklu tal-ħajja ta’ proġett.</w:t>
      </w:r>
    </w:p>
    <w:p>
      <w:pPr>
        <w:pStyle w:val="ManualConsidrant"/>
        <w:rPr>
          <w:noProof/>
        </w:rPr>
      </w:pPr>
      <w:r>
        <w:t>(27)</w:t>
      </w:r>
      <w:r>
        <w:tab/>
      </w:r>
      <w:r>
        <w:rPr>
          <w:noProof/>
        </w:rPr>
        <w:t xml:space="preserve">Biex jevitaw li jfixklu l-kompetizzjoni meta jiġbru l-fondi għall-attivitajiet ekonomiċi ambjentalment sostenibbli, jenħtieġ li l-kriterji ta’ skrinjar tekniċi jiżguraw li l-attivitajiet ekonomiċi kollha f’settur speċifiku jistgħu jikkwalifikaw bħala ambjentalment sostenibbli u jiġu trattati indaqs jekk jikkontribwixxu lejn wieħed jew aktar mill-għanijiet ambjentali stabbiliti f’dan ir-Regolament. Il-kapaċità potenzjali ta’ kontribuzzjoni lejn dawk l-għanijiet ambjentali tista’ madankollu tvarja fis-setturi, li jenħtieġ li jiġi rifless f’dawk il-kriterji. Madankollu, f’kull settur, jenħtieġ li dawk il-kriterji ma jagħtux vantaġġ inġust lil ċerti attivitajiet ekonomiċi biss jekk attivitajiet oħra jikkontribwixxu lejn l-għanijiet ambjentali bl-istess mod bħal dawk tal-ewwel. </w:t>
      </w:r>
    </w:p>
    <w:p>
      <w:pPr>
        <w:pStyle w:val="ManualConsidrant"/>
        <w:rPr>
          <w:noProof/>
        </w:rPr>
      </w:pPr>
      <w:r>
        <w:t>(28)</w:t>
      </w:r>
      <w:r>
        <w:tab/>
      </w:r>
      <w:r>
        <w:rPr>
          <w:noProof/>
        </w:rPr>
        <w:t xml:space="preserve">Meta tistabbilixxi l-kriterji ta’ skrinjar tekniċi, jenħtieġ li l-Kummissjoni tevalwa jekk l-adozzjoni ta’ dawk il-kriterji għall-attivitajiet ambjentalment sostenibbli tagħtix lok għal assi mhux irkuprabbli jew tipproduċi inċentivi inkonsistenti, u jekk ikollhiex impatt negattiv fuq il-likwidità fis-swieq finanzjarji. </w:t>
      </w:r>
    </w:p>
    <w:p>
      <w:pPr>
        <w:pStyle w:val="ManualConsidrant"/>
        <w:rPr>
          <w:noProof/>
        </w:rPr>
      </w:pPr>
      <w:r>
        <w:t>(29)</w:t>
      </w:r>
      <w:r>
        <w:tab/>
      </w:r>
      <w:r>
        <w:rPr>
          <w:noProof/>
        </w:rPr>
        <w:t>Sabiex tevita spejjeż għall-konformità wisq onerużi fuq l-operaturi ekonomiċi, jenħtieġ li l-Kummissjoni tistabbilixxi kriterji ta’ skrinjar tekniċi li jipprovdu ċertezza legali suffiċjenti, ikunu prattiċi, b’applikazzjoni faċli u li permezz tagħhom tista’ tiġi vverifikata l-konformità b'mod raġonevoli f’termini ta’ spejjeż tal-konformità.</w:t>
      </w:r>
    </w:p>
    <w:p>
      <w:pPr>
        <w:pStyle w:val="ManualConsidrant"/>
        <w:rPr>
          <w:noProof/>
        </w:rPr>
      </w:pPr>
      <w:r>
        <w:t>(30)</w:t>
      </w:r>
      <w:r>
        <w:tab/>
      </w:r>
      <w:r>
        <w:rPr>
          <w:noProof/>
        </w:rPr>
        <w:t xml:space="preserve">Sabiex tiżgura li l-investimenti jmorru għand attivitajiet ekonomiċi li jkollhom l-akbar impatt pożittiv fuq l-għanijiet ambjentali, jenħtieġ li l-Kummissjoni tagħti prijorità lit-twaqqif ta’ kriterji ta’ skrinjar tekniċi għall-attivitajiet ekonomiċi li għandhom il-potenzjal li jagħtu l-akbar kontribut lill-għanijiet ambjentali. </w:t>
      </w:r>
    </w:p>
    <w:p>
      <w:pPr>
        <w:pStyle w:val="ManualConsidrant"/>
        <w:rPr>
          <w:noProof/>
        </w:rPr>
      </w:pPr>
      <w:r>
        <w:lastRenderedPageBreak/>
        <w:t>(31)</w:t>
      </w:r>
      <w:r>
        <w:tab/>
      </w:r>
      <w:r>
        <w:rPr>
          <w:noProof/>
        </w:rPr>
        <w:t>Jenħtieġ li jiġu stabbiliti kriterji ta’ skrinjar tekniċi xierqa għas-settur tat-trasport, inkluż għal assi mobbli, li jenħtieġ li jqisu l-fatt li s-settur tat-trasport, inkluż it-trasport marittimu internazzjonali, jikkontribwixxi mas-26 % tal-emissjonijiet ta’ gass b’effett ta’ serra totali fl-Unjoni. Kif muri fil-Pjan ta’ Azzjoni dwar il-Finanzi għal Tkabbir Sostenibbli</w:t>
      </w:r>
      <w:r>
        <w:rPr>
          <w:rStyle w:val="FootnoteReference"/>
          <w:noProof/>
        </w:rPr>
        <w:footnoteReference w:id="48"/>
      </w:r>
      <w:r>
        <w:rPr>
          <w:noProof/>
        </w:rPr>
        <w:t>, is-settur tat-trasport jirrapreżenta madwar 30 % tal-ħtiġijiet addizzjonali annwali ta’ investiment għall-iżvilupp sostenibbli fl-Unjoni, inkluż biż-żieda tal-elettriku jew it-tranżizzjoni lejn metodi aktar nodfa ta’ trasport bil-promozzjoni ta’ bidla modali u ġestjoni tat-traffiku.</w:t>
      </w:r>
    </w:p>
    <w:p>
      <w:pPr>
        <w:pStyle w:val="ManualConsidrant"/>
        <w:rPr>
          <w:noProof/>
        </w:rPr>
      </w:pPr>
      <w:r>
        <w:t>(32)</w:t>
      </w:r>
      <w:r>
        <w:tab/>
      </w:r>
      <w:r>
        <w:rPr>
          <w:noProof/>
        </w:rPr>
        <w:t xml:space="preserve">Huwa ta’ importanza partikolari li meta tkun qed tipprepara t-tfassil tal-kriterji ta’ skrinjar tekniċi, il-Kummissjoni twettaq konsultazzjonijiet xierqa skont ir-rekwiżiti ta’ Regolamentazzjoni Aħjar. Jenħtieġ li l-proċess għall-iżvilupp u l-aġġornament tal-kriterji ta’ skrinjar tekniċi jinvolvi wkoll lill-partijiet ikkonċernati u jibbaża ruħu fuq il-pariri ta’ esperti b’għarfien u esperjenza ppruvata fl-oqsma rilevanti. Għal dak il-għan, jenħtieġ li l-Kummissjoni twaqqaf Pjattaforma dwar il-finanzjament sostenibbli. Jenħtieġ li din il-Pjattaforma tkun iffurmata minn esperti li jirrapreżentaw kemm lis-settur privat kif ukoll lis-settur pubbliku. Jenħtieġ li r-rappreżentanti tas-settur pubbliku jinkludu esperti mill-Aġenzija Ewropea għall-Ambjent, mill-Awtoritajiet Superviżorji Ewropej u mill-Bank Ewropew għall-Investiment. Jenħtieġ li l-esperti tas-settur privat jinkludu rappreżentanti tal-partijiet ikkonċernati rilevanti, inkluż l-attur tas-swieq finanzjarji, l-universitajiet, l-istituti tar-riċerki, l-assoċjazzjonijiet u l-organizzazzjonijiet. Jenħtieġ li l-Pjattaforma tagħti pariri lill-Kummissjoni dwar l-iżvilupp, l-analiżi u r-reviżjoni tal-kriterji ta’ skrinjar tekniċi, kif ukoll l-impatt potenzjali tagħhom fuq il-valutazzjoni ta’ dawk l-assi li sal-adozzjoni tal-kriterji ta’ skrinjar tekniċi kienu kkunsidrati bħala assi “ekoloġiċi” skont il-prattiki tas-suq attwali. Jenħtieġ li l-Pjattaforma tagħti pariri lill-Kummissjoni wkoll dwar jekk il-kriterji ta’ skrinjar tekniċi humiex adegwati għal użu ulterjuri fl-inizjattivi ta’ politika futuri tal-Unjoni li għandhom l-għan li jiffaċilitaw l-investiment sostenibbli. </w:t>
      </w:r>
    </w:p>
    <w:p>
      <w:pPr>
        <w:pStyle w:val="ManualConsidrant"/>
        <w:rPr>
          <w:noProof/>
        </w:rPr>
      </w:pPr>
      <w:r>
        <w:t>(33)</w:t>
      </w:r>
      <w:r>
        <w:tab/>
      </w:r>
      <w:r>
        <w:rPr>
          <w:noProof/>
        </w:rPr>
        <w:t>Sabiex tkun tista’ tispeċifika r-rekwiżiti previsti f’dan ir-Regolament, u b’mod partikolari sabiex tistabbilixxi u taġġorna kriterji ta’ skrinjar tekniċi granulari u kalibrati għal attivitajiet ekonomiċi differenti dwar x’jikkostitwixxi kontribuzzjoni sostanzjali u ħsara sinifikanti għall-għanijiet ambjentali, is-setgħa biex jiġu adottati atti skont l-Artikolu 290 tat-Trattat dwar il-Funzjonament tal-Unjoni Ewropea jenħtieġ li tiġi delegata lill-Kummissjoni f'dak li għandu x’jaqsam mal-informazzjoni meħtieġa biex ikun hemm konformità mal-obbligu ta’ żvelar previst fl-Artikolu 4(3) u l-kriterji ta’ skrinjar tekniċi msemmija fl-Artikolu 6(2), l-Artikolu 7(2), l-Artikolu 8(2), l-Artikolu 9(2), l-Artikolu 10(2) u l-Artikolu 11(2). Huwa ta’ importanza partikolari li waqt il-ħidma preparatorja tagħha, il-Kummissjoni twettaq konsultazzjonijiet xierqa anke fil-livell tal-esperti, u li dawk il-konsultazzjonijiet jsiru f’konformità mal-prinċipji stabbiliti fil-Ftehim Interistituzzjonali dwar it-Tfassil Aħjar tal-Liġijiet tat-13 ta’ April 2016. B’mod partikolari, sabiex tiżgura parteċipazzjoni indaqs fil-preparazzjoni tal-atti delegati, jenħtieġ li l-Parlament Ewropew u l-Kunsill jirċievu d-dokumenti kollha fl-istess ħin mal-esperti tal-Istati Membri, u jenħtieġ li l-esperti tal-Parlament Ewropew u tal-Kunsill ikollhom aċċess sistematiku għal-laqgħat tal-gruppi ta’ esperti tal-Kummissjoni li huma involuti fil-preparazzjoni tal-atti delegati.</w:t>
      </w:r>
    </w:p>
    <w:p>
      <w:pPr>
        <w:pStyle w:val="ManualConsidrant"/>
        <w:rPr>
          <w:noProof/>
        </w:rPr>
      </w:pPr>
      <w:r>
        <w:t>(34)</w:t>
      </w:r>
      <w:r>
        <w:tab/>
      </w:r>
      <w:r>
        <w:rPr>
          <w:noProof/>
        </w:rPr>
        <w:t>Sabiex jingħata biżżejjed ħin lill-atturi rilevanti biex jiffamiljarizzaw ruħhom mal-kriterji għal attivitajiet ekonomiċi ambjentalment sostenibbli u stabbiliti f’dan ir-Regolament u biex iħejju ruħhom għall-applikazzjoni tagħhom, jenħtieġ li l-obbligi stabbiliti f’dan ir-Regolament isiru applikabbli, għal kull objettiv ambjentali, sitt xhur wara li jkunu ġew adottati l-kriterji tekniċi ta’ skrinjar rilevanti.</w:t>
      </w:r>
    </w:p>
    <w:p>
      <w:pPr>
        <w:pStyle w:val="ManualConsidrant"/>
        <w:rPr>
          <w:noProof/>
        </w:rPr>
      </w:pPr>
      <w:r>
        <w:t>(35)</w:t>
      </w:r>
      <w:r>
        <w:tab/>
      </w:r>
      <w:r>
        <w:rPr>
          <w:noProof/>
        </w:rPr>
        <w:t xml:space="preserve">Jenħtieġ li dan ir-Regolament jiġi rieżaminat regolarment sabiex jivvaluta l-progress fuq l-iżvilupp ta’ kriterji tekniċi ta’ skrinjar għal attivitajiet ambjentalment sostenibbli, l-użu tad-definizzjoni ta’ investiment ambjentalment sostenibbli, u jekk il-konformità mal-obbligi </w:t>
      </w:r>
      <w:r>
        <w:rPr>
          <w:noProof/>
        </w:rPr>
        <w:lastRenderedPageBreak/>
        <w:t xml:space="preserve">tirrikjedix l-istabbiliment ta’ mekkaniżmu ta’ verifika. Jenħtieġ li r-rieżami jinkludi wkoll valutazzjoni ta’ jekk il-kamp ta’ applikazzjoni ta’ dan ir-Regolament jenħtieġx li jiġi estiż biex ikopri objettivi ta’ sostenibbiltà soċjali. </w:t>
      </w:r>
    </w:p>
    <w:p>
      <w:pPr>
        <w:pStyle w:val="ManualConsidrant"/>
        <w:rPr>
          <w:noProof/>
        </w:rPr>
      </w:pPr>
      <w:r>
        <w:t>(36)</w:t>
      </w:r>
      <w:r>
        <w:tab/>
      </w:r>
      <w:r>
        <w:rPr>
          <w:noProof/>
        </w:rPr>
        <w:t>Billi l-Istati Membri ma jistgħux jilħqu biżżejjed l-objettivi ta’ dan ir-Regolament, iżda jistgħu jintlaħqu aħjar fil-livell tal-UE, minħabba l-ħtieġa li jiġu introdotti kriterji uniformi fil-livell tal-Unjoni għal attivitajiet ekonomiċi ambjentalment sostenibbli, l-Unjoni tista’ tadotta miżuri, skont il-prinċipju tas-sussidjarjetà stabbilit fl-Artikolu 5 tat-Trattat dwar l-Unjoni Ewropea. F'konformità mal-prinċipju tal-proporzjonalità, kif stabbilit f'dak l-Artikolu, dan ir-Regolament ma jmurx lil hinn minn dak li hu meħtieġ sabiex jinkisbu dawk l-objettivi,</w:t>
      </w:r>
    </w:p>
    <w:p>
      <w:pPr>
        <w:pStyle w:val="Formuledadoption"/>
        <w:rPr>
          <w:noProof/>
        </w:rPr>
      </w:pPr>
      <w:r>
        <w:rPr>
          <w:noProof/>
        </w:rPr>
        <w:t>ADOTTAW DAN IR-REGOLAMENT:</w:t>
      </w:r>
    </w:p>
    <w:p>
      <w:pPr>
        <w:pStyle w:val="ChapterTitle"/>
        <w:spacing w:before="360" w:after="120"/>
        <w:rPr>
          <w:noProof/>
        </w:rPr>
      </w:pPr>
      <w:r>
        <w:rPr>
          <w:noProof/>
        </w:rPr>
        <w:t>Kapitolu I</w:t>
      </w:r>
    </w:p>
    <w:p>
      <w:pPr>
        <w:pStyle w:val="ChapterTitle"/>
        <w:rPr>
          <w:noProof/>
        </w:rPr>
      </w:pPr>
      <w:r>
        <w:rPr>
          <w:noProof/>
        </w:rPr>
        <w:t>Suġġett, kamp ta’ applikazzjoni u definizzjonijiet</w:t>
      </w:r>
    </w:p>
    <w:p>
      <w:pPr>
        <w:pStyle w:val="Titrearticle"/>
        <w:rPr>
          <w:noProof/>
        </w:rPr>
      </w:pPr>
      <w:r>
        <w:rPr>
          <w:noProof/>
        </w:rPr>
        <w:t>Artikolu 1</w:t>
      </w:r>
      <w:r>
        <w:rPr>
          <w:noProof/>
        </w:rPr>
        <w:br/>
        <w:t>Suġġett u kamp ta’ applikazzjoni</w:t>
      </w:r>
    </w:p>
    <w:p>
      <w:pPr>
        <w:pStyle w:val="ManualNumPar1"/>
        <w:rPr>
          <w:noProof/>
        </w:rPr>
      </w:pPr>
      <w:r>
        <w:t>1.</w:t>
      </w:r>
      <w:r>
        <w:tab/>
      </w:r>
      <w:r>
        <w:rPr>
          <w:noProof/>
        </w:rPr>
        <w:t>Dan ir-Regolament jistabbilixxi l-kriterji biex jiġi determinat jekk attività ekonomika hijiex ambjentalment sostenibbli għall-finijiet ta’ stabbiliment tal-livell ta’ sostenibbiltà ambjentali ta’ investiment.</w:t>
      </w:r>
    </w:p>
    <w:p>
      <w:pPr>
        <w:pStyle w:val="ManualNumPar1"/>
        <w:rPr>
          <w:noProof/>
        </w:rPr>
      </w:pPr>
      <w:r>
        <w:t>2.</w:t>
      </w:r>
      <w:r>
        <w:tab/>
      </w:r>
      <w:r>
        <w:rPr>
          <w:noProof/>
        </w:rPr>
        <w:t xml:space="preserve">Dan ir-Regolament japplika għal dawn li ġejjin: </w:t>
      </w:r>
    </w:p>
    <w:p>
      <w:pPr>
        <w:pStyle w:val="Point1letter"/>
        <w:numPr>
          <w:ilvl w:val="3"/>
          <w:numId w:val="8"/>
        </w:numPr>
        <w:rPr>
          <w:noProof/>
        </w:rPr>
      </w:pPr>
      <w:r>
        <w:rPr>
          <w:noProof/>
        </w:rPr>
        <w:t>miżuri adottati mill-Istati Membri jew mill-Unjoni li jistabbilixxu kwalunkwe rekwiżit dwar atturi fis-suq fir-rigward ta’ prodotti finanzjarji jew bonds korporattivi li huma kummerċjalizzati bħala ambjentalment sostenibbli.</w:t>
      </w:r>
    </w:p>
    <w:p>
      <w:pPr>
        <w:pStyle w:val="Point1letter"/>
        <w:rPr>
          <w:noProof/>
        </w:rPr>
      </w:pPr>
      <w:r>
        <w:rPr>
          <w:noProof/>
        </w:rPr>
        <w:t>parteċipanti fis-swieq finanzjarji li joffru prodotti finanzjarji bħala investimenti ambjentalment sostenibbli jew bħala investimenti b’karatteristiċi simili.</w:t>
      </w:r>
    </w:p>
    <w:p>
      <w:pPr>
        <w:pStyle w:val="Titrearticle"/>
        <w:rPr>
          <w:noProof/>
        </w:rPr>
      </w:pPr>
      <w:r>
        <w:rPr>
          <w:noProof/>
        </w:rPr>
        <w:t>Artikolu 2</w:t>
      </w:r>
      <w:r>
        <w:rPr>
          <w:noProof/>
        </w:rPr>
        <w:br/>
        <w:t xml:space="preserve">Definizzjonijiet </w:t>
      </w:r>
    </w:p>
    <w:p>
      <w:pPr>
        <w:pStyle w:val="ManualNumPar1"/>
        <w:rPr>
          <w:noProof/>
        </w:rPr>
      </w:pPr>
      <w:r>
        <w:t>1.</w:t>
      </w:r>
      <w:r>
        <w:tab/>
      </w:r>
      <w:r>
        <w:rPr>
          <w:noProof/>
        </w:rPr>
        <w:t>Għall-finijiet ta’ dan ir-Regolament għandhom japplikaw id-definizzjonijiet li ġejjin:</w:t>
      </w:r>
    </w:p>
    <w:p>
      <w:pPr>
        <w:pStyle w:val="Point0letter"/>
        <w:numPr>
          <w:ilvl w:val="1"/>
          <w:numId w:val="47"/>
        </w:numPr>
        <w:rPr>
          <w:noProof/>
        </w:rPr>
      </w:pPr>
      <w:r>
        <w:rPr>
          <w:noProof/>
        </w:rPr>
        <w:t xml:space="preserve">“investiment ambjentalment sostenibbli” tfisser investiment li jiffinanzja attività ekonomika waħda jew aktar li jikkwalifikaw taħt dan ir-Regolament bħala ambjentalment sostenibbli; </w:t>
      </w:r>
    </w:p>
    <w:p>
      <w:pPr>
        <w:pStyle w:val="Point0letter"/>
        <w:numPr>
          <w:ilvl w:val="1"/>
          <w:numId w:val="8"/>
        </w:numPr>
        <w:rPr>
          <w:noProof/>
        </w:rPr>
      </w:pPr>
      <w:r>
        <w:rPr>
          <w:noProof/>
        </w:rPr>
        <w:t>“parteċipanti fis-swieq finanzjarji” tfisser parteċipanti fis-swieq finanzjarji kif definit fl-Artikoli 2(a) ta’ [proposta tal-Kummissjoni għal Regolament dwar żvelar relatat ma’ investimenti sostenibbli u riskji għas-sostenibbiltà u li temenda d-Direttiva (UE) 2016/2341];</w:t>
      </w:r>
    </w:p>
    <w:p>
      <w:pPr>
        <w:pStyle w:val="Point0letter"/>
        <w:numPr>
          <w:ilvl w:val="1"/>
          <w:numId w:val="8"/>
        </w:numPr>
        <w:rPr>
          <w:noProof/>
        </w:rPr>
      </w:pPr>
      <w:r>
        <w:rPr>
          <w:noProof/>
        </w:rPr>
        <w:t xml:space="preserve">“prodotti finanzjarji” tfisser prodotti finanzjarji kif definit fl-Artikoli 2(j) ta’ [proposta tal-Kummissjoni għal Regolament dwar żvelar relatat ma’ investimenti sostenibbli u riskji għas-sostenibbiltà u li temenda d-Direttiva (UE) 2016/2341]; </w:t>
      </w:r>
    </w:p>
    <w:p>
      <w:pPr>
        <w:pStyle w:val="Point0letter"/>
        <w:numPr>
          <w:ilvl w:val="1"/>
          <w:numId w:val="8"/>
        </w:numPr>
        <w:rPr>
          <w:noProof/>
        </w:rPr>
      </w:pPr>
      <w:r>
        <w:rPr>
          <w:noProof/>
        </w:rPr>
        <w:t>“mitigazzjoni tat-tibdil fil-klima” tfisser il-proċess biex titrażżan iż-żieda tat-temperatura medja globali biex tinżamm ferm inqas minn 2 °C iktar mil-livelli preindustrijali u biex iż-żieda tat-temperatura tiġi limitata għal 1.5 °C iktar mil-livelli preindustrijali;</w:t>
      </w:r>
    </w:p>
    <w:p>
      <w:pPr>
        <w:pStyle w:val="Point0letter"/>
        <w:numPr>
          <w:ilvl w:val="1"/>
          <w:numId w:val="8"/>
        </w:numPr>
        <w:rPr>
          <w:noProof/>
        </w:rPr>
      </w:pPr>
      <w:r>
        <w:rPr>
          <w:noProof/>
        </w:rPr>
        <w:t>“adattament għat-tibdil fil-klima” tfisser il-proċess ta’ aġġustament għal klima attwali u mistennija u l-effetti tagħha;</w:t>
      </w:r>
    </w:p>
    <w:p>
      <w:pPr>
        <w:pStyle w:val="Point0letter"/>
        <w:numPr>
          <w:ilvl w:val="1"/>
          <w:numId w:val="8"/>
        </w:numPr>
        <w:rPr>
          <w:noProof/>
        </w:rPr>
      </w:pPr>
      <w:r>
        <w:rPr>
          <w:noProof/>
        </w:rPr>
        <w:lastRenderedPageBreak/>
        <w:t>“gass serra” tfisser gass serra elenkat fl-Anness I tar-Regolament (UE) Nru 525/2013 tal-Parlament Ewropew u tal-Kunsill</w:t>
      </w:r>
      <w:r>
        <w:rPr>
          <w:rStyle w:val="FootnoteReference"/>
          <w:noProof/>
        </w:rPr>
        <w:footnoteReference w:id="49"/>
      </w:r>
      <w:r>
        <w:rPr>
          <w:noProof/>
        </w:rPr>
        <w:t xml:space="preserve">; </w:t>
      </w:r>
    </w:p>
    <w:p>
      <w:pPr>
        <w:pStyle w:val="Point0letter"/>
        <w:numPr>
          <w:ilvl w:val="1"/>
          <w:numId w:val="8"/>
        </w:numPr>
        <w:rPr>
          <w:noProof/>
        </w:rPr>
      </w:pPr>
      <w:r>
        <w:rPr>
          <w:noProof/>
        </w:rPr>
        <w:t>“ekonomija ċirkolari” tfisser li jinżamm il-valur tal-prodotti, tal-materjali u tar-riżorsi fl-ekonomija għall-itwal żmien possibbli, u jitnaqqas l-iskart, inkluż permezz tal-applikazzjoni tal-ġerarkija tal-iskart kif stabbilit fl-Artikolu 4 tad-Direttiva 2008/98/KE tal-Parlament Ewropew u tal-Kunsill</w:t>
      </w:r>
      <w:r>
        <w:rPr>
          <w:rStyle w:val="FootnoteReference"/>
          <w:noProof/>
        </w:rPr>
        <w:footnoteReference w:id="50"/>
      </w:r>
      <w:r>
        <w:rPr>
          <w:noProof/>
        </w:rPr>
        <w:t>;</w:t>
      </w:r>
    </w:p>
    <w:p>
      <w:pPr>
        <w:pStyle w:val="Point0letter"/>
        <w:numPr>
          <w:ilvl w:val="1"/>
          <w:numId w:val="8"/>
        </w:numPr>
        <w:rPr>
          <w:noProof/>
        </w:rPr>
      </w:pPr>
      <w:r>
        <w:rPr>
          <w:noProof/>
        </w:rPr>
        <w:t>“tniġġis” tfisser:</w:t>
      </w:r>
    </w:p>
    <w:p>
      <w:pPr>
        <w:pStyle w:val="Point2"/>
        <w:rPr>
          <w:noProof/>
        </w:rPr>
      </w:pPr>
      <w:r>
        <w:rPr>
          <w:noProof/>
        </w:rPr>
        <w:t>(i)</w:t>
      </w:r>
      <w:r>
        <w:rPr>
          <w:noProof/>
        </w:rPr>
        <w:tab/>
        <w:t>l-introduzzjoni diretta jew indiretta, bħala riżultat ta’ attività tal-bniedem, ta’ sustanzi, vibrazzjonijiet, sħana, ħsejjes jew inkwinanti oħra fl-arja, fil-baħar jew fl-art li jistgħu jkunu ta’ ħsara għas-saħħa tal-bniedem jew għall-kwalità tal-ambjent, li tista’ tirriżulta fi ħsara għal proprjetà materjali, jew tista’ tgħarraq jew tfixkel il-faċilitajiet u l-użi oħra leġittimi tal-ambjent;</w:t>
      </w:r>
    </w:p>
    <w:p>
      <w:pPr>
        <w:pStyle w:val="Point2"/>
        <w:rPr>
          <w:noProof/>
        </w:rPr>
      </w:pPr>
      <w:r>
        <w:rPr>
          <w:noProof/>
        </w:rPr>
        <w:t>(ii)</w:t>
      </w:r>
      <w:r>
        <w:rPr>
          <w:noProof/>
        </w:rPr>
        <w:tab/>
        <w:t>fil-kuntest tal-ambjent marin, it-tniġġis kif definit fl-Artikolu 3(8) tad-Direttiva 2008/56/KE tal-Parlament Ewropew u tal-Kunsill</w:t>
      </w:r>
      <w:r>
        <w:rPr>
          <w:rStyle w:val="FootnoteReference"/>
          <w:noProof/>
        </w:rPr>
        <w:footnoteReference w:id="51"/>
      </w:r>
      <w:r>
        <w:rPr>
          <w:noProof/>
        </w:rPr>
        <w:t>;</w:t>
      </w:r>
    </w:p>
    <w:p>
      <w:pPr>
        <w:pStyle w:val="Point0letter"/>
        <w:numPr>
          <w:ilvl w:val="1"/>
          <w:numId w:val="8"/>
        </w:numPr>
        <w:rPr>
          <w:noProof/>
        </w:rPr>
      </w:pPr>
      <w:r>
        <w:rPr>
          <w:noProof/>
        </w:rPr>
        <w:t xml:space="preserve">“ekosistema b’saħħitha” tfisser ekosistema li tinsab f’kundizzjoni fiżika, kimika u bijoloġika tajba jew ta’ kwalità fiżika, kimika u bijoloġika; </w:t>
      </w:r>
    </w:p>
    <w:p>
      <w:pPr>
        <w:pStyle w:val="Point0letter"/>
        <w:numPr>
          <w:ilvl w:val="1"/>
          <w:numId w:val="8"/>
        </w:numPr>
        <w:rPr>
          <w:noProof/>
        </w:rPr>
      </w:pPr>
      <w:r>
        <w:rPr>
          <w:noProof/>
        </w:rPr>
        <w:t>“effiċjenza enerġetika” tfisser l-użu aktar effiċjenti fl-istadji kollha tal-katina tal-enerġija mill-produzzjoni sal-konsum finali;</w:t>
      </w:r>
    </w:p>
    <w:p>
      <w:pPr>
        <w:pStyle w:val="Point0letter"/>
        <w:numPr>
          <w:ilvl w:val="1"/>
          <w:numId w:val="8"/>
        </w:numPr>
        <w:rPr>
          <w:noProof/>
        </w:rPr>
      </w:pPr>
      <w:r>
        <w:rPr>
          <w:noProof/>
        </w:rPr>
        <w:t>“status ambjentali tajjeb” tfisser status ambjentali tajjeb kif definit fl-Artikolu 3(5) tad-Direttiva 2008/56/KE;</w:t>
      </w:r>
    </w:p>
    <w:p>
      <w:pPr>
        <w:pStyle w:val="Point0letter"/>
        <w:numPr>
          <w:ilvl w:val="1"/>
          <w:numId w:val="8"/>
        </w:numPr>
        <w:rPr>
          <w:noProof/>
        </w:rPr>
      </w:pPr>
      <w:r>
        <w:rPr>
          <w:noProof/>
        </w:rPr>
        <w:t xml:space="preserve">“ilmijiet marini” tfisser ilmijiet marini kif definit fl-Artikolu 3(1) tad-Direttiva 2008/56/KE; </w:t>
      </w:r>
    </w:p>
    <w:p>
      <w:pPr>
        <w:pStyle w:val="Point0letter"/>
        <w:numPr>
          <w:ilvl w:val="1"/>
          <w:numId w:val="8"/>
        </w:numPr>
        <w:rPr>
          <w:noProof/>
        </w:rPr>
      </w:pPr>
      <w:r>
        <w:rPr>
          <w:noProof/>
        </w:rPr>
        <w:t>“ilma tal-wiċċ”, “ilma intern”, “ilmijiet temporanji” u “ilma tal-kosta” għandu jkollhom l-istess tifsira bħal fil-punti (1), (3), (6) u (7) tal-Artikolu 2 tad-Direttiva 2000/60/KE</w:t>
      </w:r>
      <w:r>
        <w:rPr>
          <w:rStyle w:val="FootnoteReference"/>
          <w:noProof/>
        </w:rPr>
        <w:footnoteReference w:id="52"/>
      </w:r>
      <w:r>
        <w:rPr>
          <w:noProof/>
        </w:rPr>
        <w:t>;</w:t>
      </w:r>
    </w:p>
    <w:p>
      <w:pPr>
        <w:pStyle w:val="Point0letter"/>
        <w:numPr>
          <w:ilvl w:val="1"/>
          <w:numId w:val="8"/>
        </w:numPr>
        <w:rPr>
          <w:noProof/>
          <w:sz w:val="22"/>
        </w:rPr>
      </w:pPr>
      <w:r>
        <w:rPr>
          <w:noProof/>
        </w:rPr>
        <w:t>“ġestjoni sostenibbli tal-foresti” tfisser l-użu tal-foresti u tal-art tal-foresti b’mod u b’rata tali li jippermettulhom iżommu l-bijodiversità, il-produttività, il-kapaċità ta’ riġenerazzjoni, il-vitalità u l-potenzjal tagħhom li jissodisfaw, attwalment u fil-futur, il-funzjonijiet ekoloġiċi, ekonomiċi u soċjali rilevanti, f’livell lokali, nazzjonali u dinji, mingħajr ma jikkawżaw dannu lil ekosistemi oħrajn.</w:t>
      </w:r>
    </w:p>
    <w:p>
      <w:pPr>
        <w:pStyle w:val="ChapterTitle"/>
        <w:spacing w:before="360" w:after="120"/>
        <w:rPr>
          <w:noProof/>
        </w:rPr>
      </w:pPr>
      <w:r>
        <w:rPr>
          <w:noProof/>
        </w:rPr>
        <w:lastRenderedPageBreak/>
        <w:t>Kapitolu II</w:t>
      </w:r>
    </w:p>
    <w:p>
      <w:pPr>
        <w:pStyle w:val="ChapterTitle"/>
        <w:rPr>
          <w:noProof/>
        </w:rPr>
      </w:pPr>
      <w:r>
        <w:rPr>
          <w:noProof/>
        </w:rPr>
        <w:t>Attivitajiet ekonomiċi ambjentalment sostenibbli</w:t>
      </w:r>
    </w:p>
    <w:p>
      <w:pPr>
        <w:pStyle w:val="Titrearticle"/>
        <w:spacing w:after="0"/>
        <w:rPr>
          <w:noProof/>
        </w:rPr>
      </w:pPr>
      <w:r>
        <w:rPr>
          <w:noProof/>
        </w:rPr>
        <w:t>Artikolu 3</w:t>
      </w:r>
      <w:r>
        <w:rPr>
          <w:noProof/>
        </w:rPr>
        <w:br/>
        <w:t>Kriterji għal attivitajiet ekonomiċi ambjentalment sostenibbli</w:t>
      </w:r>
    </w:p>
    <w:p>
      <w:pPr>
        <w:rPr>
          <w:noProof/>
        </w:rPr>
      </w:pPr>
      <w:r>
        <w:rPr>
          <w:noProof/>
        </w:rPr>
        <w:t>Għall-finijiet tal-istabbiliment tal-livell ta’ sostenibbiltà ambjentali ta’ investiment, attività ekonomika għandha tkun ambjentalment sostenibbli meta dik l-attività tikkonforma ma’ dawn il-kriterji:</w:t>
      </w:r>
    </w:p>
    <w:p>
      <w:pPr>
        <w:pStyle w:val="Point1letter"/>
        <w:rPr>
          <w:noProof/>
        </w:rPr>
      </w:pPr>
      <w:r>
        <w:rPr>
          <w:noProof/>
        </w:rPr>
        <w:t>l-attività ekonomika tikkontribwixxi sostanzjalment għal wieħed mill-objettivi ambjentali jew aktar stabbiliti fl-Artikolu 5 skont l-Artikoli 6 sa 11;</w:t>
      </w:r>
    </w:p>
    <w:p>
      <w:pPr>
        <w:pStyle w:val="Point1letter"/>
        <w:rPr>
          <w:noProof/>
        </w:rPr>
      </w:pPr>
      <w:r>
        <w:rPr>
          <w:noProof/>
        </w:rPr>
        <w:t>l-attività ekonomika ma tagħmel ħsara sinifikanti għal ebda objettiv ambjentali stabbilit fl-Artikolu 5 skont l-Artikolu 12;</w:t>
      </w:r>
    </w:p>
    <w:p>
      <w:pPr>
        <w:pStyle w:val="Point1letter"/>
        <w:rPr>
          <w:noProof/>
        </w:rPr>
      </w:pPr>
      <w:r>
        <w:rPr>
          <w:noProof/>
        </w:rPr>
        <w:t>l-attività ekonomika titwettaq f’konformità mas-salvagwardji minimi stabbiliti fl-Artikolu 13;</w:t>
      </w:r>
    </w:p>
    <w:p>
      <w:pPr>
        <w:pStyle w:val="Point1letter"/>
        <w:rPr>
          <w:noProof/>
        </w:rPr>
      </w:pPr>
      <w:r>
        <w:rPr>
          <w:noProof/>
        </w:rPr>
        <w:t xml:space="preserve">l-attività ekonomika tikkonforma mal-kriterji tekniċi ta’ skrinjar, meta l-Kummissjoni tkun speċifikathom skont l-Artikoli 6(2), 7(2), 8(2), 9(2), 10(2) u 11(2). </w:t>
      </w:r>
    </w:p>
    <w:p>
      <w:pPr>
        <w:pStyle w:val="Titrearticle"/>
        <w:spacing w:after="0"/>
        <w:rPr>
          <w:noProof/>
        </w:rPr>
      </w:pPr>
      <w:r>
        <w:rPr>
          <w:noProof/>
        </w:rPr>
        <w:t>Artikolu 4</w:t>
      </w:r>
      <w:r>
        <w:rPr>
          <w:noProof/>
        </w:rPr>
        <w:br/>
        <w:t>Użu tal-kriterji għal attivitajiet ekonomiċi ambjentalment sostenibbli</w:t>
      </w:r>
    </w:p>
    <w:p>
      <w:pPr>
        <w:pStyle w:val="ManualNumPar1"/>
        <w:rPr>
          <w:noProof/>
        </w:rPr>
      </w:pPr>
      <w:r>
        <w:t>1.</w:t>
      </w:r>
      <w:r>
        <w:tab/>
      </w:r>
      <w:r>
        <w:rPr>
          <w:noProof/>
        </w:rPr>
        <w:t>L-Istati Membri għandhom japplikaw il-kriterji biex jiġu determinati attivitajiet ekonomiċi ambjentalment sostenibbli stabbiliti fl-Artikolu 3 għall-finijiet ta’ kwalunkwe miżura li tistabbilixxi rekwiżiti dwar atturi fis-suq fir-rigward ta’ prodotti finanzjarji jew bonds korporattivi li huma kummerċjalizzati bħala “ambjentalment sostenibbli”</w:t>
      </w:r>
      <w:r>
        <w:rPr>
          <w:i/>
          <w:noProof/>
        </w:rPr>
        <w:t>.</w:t>
      </w:r>
      <w:r>
        <w:rPr>
          <w:noProof/>
        </w:rPr>
        <w:t xml:space="preserve"> </w:t>
      </w:r>
    </w:p>
    <w:p>
      <w:pPr>
        <w:pStyle w:val="ManualNumPar1"/>
        <w:rPr>
          <w:noProof/>
        </w:rPr>
      </w:pPr>
      <w:r>
        <w:t>2.</w:t>
      </w:r>
      <w:r>
        <w:tab/>
      </w:r>
      <w:r>
        <w:rPr>
          <w:noProof/>
        </w:rPr>
        <w:t xml:space="preserve">Il-parteċipanti fis-swieq finanzjarji li joffru prodotti finanzjarji bħala investimenti ambjentalment sostenibbli, jew bħala investimenti li għandhom karatteristiċi simili, għandhom jiżvelaw informazzjoni dwar kif u sa fejn jintużaw il-kriterji għal attivitajiet ambjentalment sostenibbli stabbiliti fl-Artikolu 3 sabiex jiddeterminaw is-sostenibbiltà ambjentali tal-investiment. Meta l-parteċipanti fis-swieq finanzjarji jqisu li jenħtieġ li attività ekonomika li ma tikkonformax mal-kriterji tekniċi ta’ skrinjar stabbiliti skont dan ir-Regolament jew li l-kriterji tekniċi ta’ skrinjar għadhom ma ġewx stabbiliti għalihom titqies bħala ambjentalment sostenibbli, dawn jistgħu jinfurmaw lill-Kummissjoni. </w:t>
      </w:r>
    </w:p>
    <w:p>
      <w:pPr>
        <w:pStyle w:val="ManualNumPar1"/>
        <w:rPr>
          <w:noProof/>
        </w:rPr>
      </w:pPr>
      <w:r>
        <w:t>3.</w:t>
      </w:r>
      <w:r>
        <w:tab/>
      </w:r>
      <w:r>
        <w:rPr>
          <w:noProof/>
        </w:rPr>
        <w:t>Il-Kummissjoni għandha tadotta atti delegati skont l-Artikolu 16 biex tissupplimenta l-paragrafu 2 biex tispeċifika l-informazzjoni mitluba biex tikkonforma ma’ dak il-paragrafu, u tqis il-kriterji tekniċi ta’ skrinjar stabbiliti skont dan ir-Regolament. Din l-informazzjoni għandha tippermetti li l-investituri jidentifikaw:</w:t>
      </w:r>
    </w:p>
    <w:p>
      <w:pPr>
        <w:pStyle w:val="Point1letter"/>
        <w:numPr>
          <w:ilvl w:val="3"/>
          <w:numId w:val="23"/>
        </w:numPr>
        <w:rPr>
          <w:noProof/>
        </w:rPr>
      </w:pPr>
      <w:r>
        <w:rPr>
          <w:noProof/>
        </w:rPr>
        <w:t xml:space="preserve">il-persentaġġ ta’ parteċipazzjonijiet li jappartjenu għal kumpaniji li jwettqu attivitajiet ekonomiċi ambjentalment sostenibbli; </w:t>
      </w:r>
    </w:p>
    <w:p>
      <w:pPr>
        <w:pStyle w:val="Point1letter"/>
        <w:numPr>
          <w:ilvl w:val="3"/>
          <w:numId w:val="8"/>
        </w:numPr>
        <w:rPr>
          <w:noProof/>
        </w:rPr>
      </w:pPr>
      <w:r>
        <w:rPr>
          <w:noProof/>
        </w:rPr>
        <w:t>is-sehem tal-investiment li jiffinanzja l-attivitajiet ekonomiċi ambjentalment sostenibbli bħala persentaġġ tal-attivitajiet ekonomiċi kollha</w:t>
      </w:r>
      <w:r>
        <w:rPr>
          <w:i/>
          <w:noProof/>
        </w:rPr>
        <w:t>.</w:t>
      </w:r>
      <w:r>
        <w:rPr>
          <w:noProof/>
        </w:rPr>
        <w:t xml:space="preserve"> </w:t>
      </w:r>
    </w:p>
    <w:p>
      <w:pPr>
        <w:pStyle w:val="ManualNumPar1"/>
        <w:rPr>
          <w:noProof/>
        </w:rPr>
      </w:pPr>
      <w:r>
        <w:t>4.</w:t>
      </w:r>
      <w:r>
        <w:tab/>
      </w:r>
      <w:r>
        <w:rPr>
          <w:noProof/>
        </w:rPr>
        <w:t>Il-Kummissjoni għandha tadotta l-att delegat skont il-paragrafu 3 sal-31 ta’ Diċembru 2019 bil-ħsieb li jiġi żgurat id-dħul fis-seħħ tiegħu sal-1 ta’ Lulju 2020. Il-Kummissjoni tista’ temenda l-att delegat, b’mod partikolari fid-dawl tal-atti delegati adottati skont l-Artikolu 6(2), l-Artikolu 7(2), l-Artikolu 8(2), l-Artikolu 9(2), l-Artikolu 10(2) u l-Artikolu 11(2).</w:t>
      </w:r>
    </w:p>
    <w:p>
      <w:pPr>
        <w:pStyle w:val="Titrearticle"/>
        <w:rPr>
          <w:noProof/>
        </w:rPr>
      </w:pPr>
      <w:r>
        <w:rPr>
          <w:noProof/>
        </w:rPr>
        <w:lastRenderedPageBreak/>
        <w:t>Artikolu 5</w:t>
      </w:r>
      <w:r>
        <w:rPr>
          <w:noProof/>
        </w:rPr>
        <w:br/>
        <w:t>Objettivi ambjentali</w:t>
      </w:r>
    </w:p>
    <w:p>
      <w:pPr>
        <w:rPr>
          <w:noProof/>
        </w:rPr>
      </w:pPr>
      <w:r>
        <w:rPr>
          <w:noProof/>
        </w:rPr>
        <w:t>Għall-finijiet ta’ dan ir-Regolament, dawn għandhom ikunu l-objettivi ambjentali:</w:t>
      </w:r>
    </w:p>
    <w:p>
      <w:pPr>
        <w:pStyle w:val="Point0number"/>
        <w:numPr>
          <w:ilvl w:val="0"/>
          <w:numId w:val="20"/>
        </w:numPr>
        <w:rPr>
          <w:noProof/>
        </w:rPr>
      </w:pPr>
      <w:r>
        <w:rPr>
          <w:noProof/>
        </w:rPr>
        <w:t>il-mitigazzjoni tat-tibdil fil-klima;</w:t>
      </w:r>
    </w:p>
    <w:p>
      <w:pPr>
        <w:pStyle w:val="Point0number"/>
        <w:numPr>
          <w:ilvl w:val="0"/>
          <w:numId w:val="8"/>
        </w:numPr>
        <w:rPr>
          <w:noProof/>
        </w:rPr>
      </w:pPr>
      <w:r>
        <w:rPr>
          <w:noProof/>
        </w:rPr>
        <w:t>l-adattament għat-tibdil fil-klima;</w:t>
      </w:r>
    </w:p>
    <w:p>
      <w:pPr>
        <w:pStyle w:val="Point0number"/>
        <w:numPr>
          <w:ilvl w:val="0"/>
          <w:numId w:val="8"/>
        </w:numPr>
        <w:rPr>
          <w:noProof/>
        </w:rPr>
      </w:pPr>
      <w:r>
        <w:rPr>
          <w:noProof/>
        </w:rPr>
        <w:t>l-użu sostenibbli u l-protezzjoni tal-ilma u r-riżorsi marini;</w:t>
      </w:r>
    </w:p>
    <w:p>
      <w:pPr>
        <w:pStyle w:val="Point0number"/>
        <w:numPr>
          <w:ilvl w:val="0"/>
          <w:numId w:val="8"/>
        </w:numPr>
        <w:rPr>
          <w:noProof/>
        </w:rPr>
      </w:pPr>
      <w:r>
        <w:rPr>
          <w:noProof/>
        </w:rPr>
        <w:t>it-tranżizzjoni għal ekonomija ċirkolari, il-prevenzjoni u r-riċiklaġġ tal-iskart;</w:t>
      </w:r>
    </w:p>
    <w:p>
      <w:pPr>
        <w:pStyle w:val="Point0number"/>
        <w:numPr>
          <w:ilvl w:val="0"/>
          <w:numId w:val="8"/>
        </w:numPr>
        <w:rPr>
          <w:noProof/>
        </w:rPr>
      </w:pPr>
      <w:r>
        <w:rPr>
          <w:noProof/>
        </w:rPr>
        <w:t>il-prevenzjoni u l-kontroll tat-tniġġis;</w:t>
      </w:r>
    </w:p>
    <w:p>
      <w:pPr>
        <w:pStyle w:val="Point0number"/>
        <w:numPr>
          <w:ilvl w:val="0"/>
          <w:numId w:val="8"/>
        </w:numPr>
        <w:rPr>
          <w:noProof/>
        </w:rPr>
      </w:pPr>
      <w:r>
        <w:rPr>
          <w:noProof/>
        </w:rPr>
        <w:t>il-protezzjoni tal-ekosistemi b’saħħithom.</w:t>
      </w:r>
    </w:p>
    <w:p>
      <w:pPr>
        <w:pStyle w:val="Titrearticle"/>
        <w:rPr>
          <w:noProof/>
        </w:rPr>
      </w:pPr>
      <w:r>
        <w:rPr>
          <w:noProof/>
        </w:rPr>
        <w:t>Artikolu 6</w:t>
      </w:r>
      <w:r>
        <w:rPr>
          <w:noProof/>
        </w:rPr>
        <w:br/>
        <w:t>Kontribuzzjoni sostanzjali għall-mitigazzjoni tat-tibdil fil-klima</w:t>
      </w:r>
    </w:p>
    <w:p>
      <w:pPr>
        <w:pStyle w:val="ManualNumPar1"/>
        <w:rPr>
          <w:noProof/>
        </w:rPr>
      </w:pPr>
      <w:r>
        <w:t>1.</w:t>
      </w:r>
      <w:r>
        <w:tab/>
      </w:r>
      <w:r>
        <w:rPr>
          <w:noProof/>
        </w:rPr>
        <w:t>Attività ekonomika għandha tqis li tikkontribwixxi b’mod sostanzjali għall-mitigazzjoni tat-tibdil fil-klima meta dik l-attività tikkontribwixxi b’mod sostanzjali għall-istabbilizzazzjoni tal-konċentrazzjonijiet tal-gassijiet serra fl-atmosfera f’livell li jipprevjeni interferenza antropoġenika perikoluża mas-sistema tal-klima billi tevita jew tnaqqas l-emissjonijiet tal-gassijiet serra jew ittejjeb l-assorbimenti tal-gassijiet serra permezz ta’ kwalunkwe waħda minn dawn il-mezzi, inkluż permezz ta’ innovazzjoni tal-proċess jew tal-prodott:</w:t>
      </w:r>
    </w:p>
    <w:p>
      <w:pPr>
        <w:pStyle w:val="Point1letter"/>
        <w:rPr>
          <w:noProof/>
        </w:rPr>
      </w:pPr>
      <w:r>
        <w:rPr>
          <w:noProof/>
        </w:rPr>
        <w:t>il-ġenerazzjoni, il-ħażna jew l-użu ta’ enerġija rinnovabbli jew enerġija newtrali mil-lat ta’ klima (inkluża enerġija newtrali mil-lat ta’ karbonju), inkluż permezz tal-użu ta’ teknoloġija innovattiva li għandha l-potenzjal għal tfaddil sinfikanti fil-futur jew permezz ta’ tisħiħ meħtieġ tal-grilja;</w:t>
      </w:r>
    </w:p>
    <w:p>
      <w:pPr>
        <w:pStyle w:val="Point1letter"/>
        <w:rPr>
          <w:noProof/>
        </w:rPr>
      </w:pPr>
      <w:r>
        <w:rPr>
          <w:noProof/>
        </w:rPr>
        <w:t>titjib fl-effiċjenza enerġetika;</w:t>
      </w:r>
    </w:p>
    <w:p>
      <w:pPr>
        <w:pStyle w:val="Point1letter"/>
        <w:rPr>
          <w:noProof/>
        </w:rPr>
      </w:pPr>
      <w:r>
        <w:rPr>
          <w:noProof/>
        </w:rPr>
        <w:t>żieda fil-mobbiltà nadifa jew newtrali mil-lat ta’ klima;</w:t>
      </w:r>
    </w:p>
    <w:p>
      <w:pPr>
        <w:pStyle w:val="Point1letter"/>
        <w:rPr>
          <w:noProof/>
        </w:rPr>
      </w:pPr>
      <w:r>
        <w:rPr>
          <w:noProof/>
        </w:rPr>
        <w:t>il-qlib għall-użu ta’ materjali rinnovabbli;</w:t>
      </w:r>
    </w:p>
    <w:p>
      <w:pPr>
        <w:pStyle w:val="Point1letter"/>
        <w:rPr>
          <w:noProof/>
        </w:rPr>
      </w:pPr>
      <w:r>
        <w:rPr>
          <w:noProof/>
        </w:rPr>
        <w:t>żieda fil-ġbir u l-ħżin tad-diossidu tal-karbonju;</w:t>
      </w:r>
    </w:p>
    <w:p>
      <w:pPr>
        <w:pStyle w:val="Point1letter"/>
        <w:rPr>
          <w:noProof/>
        </w:rPr>
      </w:pPr>
      <w:r>
        <w:rPr>
          <w:noProof/>
        </w:rPr>
        <w:t>l-eliminazzoni gradwali ta’ emissjonijiet antropoġeniċi ta’ gassijiet serra, inklużi mill-fjuwils fossili;</w:t>
      </w:r>
    </w:p>
    <w:p>
      <w:pPr>
        <w:pStyle w:val="Point1letter"/>
        <w:rPr>
          <w:noProof/>
        </w:rPr>
      </w:pPr>
      <w:r>
        <w:rPr>
          <w:noProof/>
        </w:rPr>
        <w:t>l-istabbiliment ta’ infrastruttura tal-enerġija mitluba biex tkun permessa d-dekarbonizzazzjoni tas-sistemi tal-enerġija;</w:t>
      </w:r>
    </w:p>
    <w:p>
      <w:pPr>
        <w:pStyle w:val="Point1letter"/>
        <w:rPr>
          <w:noProof/>
        </w:rPr>
      </w:pPr>
      <w:r>
        <w:rPr>
          <w:noProof/>
        </w:rPr>
        <w:t>il-forniment tal-fjuwils nodfa u effiċjenti minn sorsi rinnovabbli u newtrali mil-lat ta’ karbonju.</w:t>
      </w:r>
    </w:p>
    <w:p>
      <w:pPr>
        <w:pStyle w:val="ManualNumPar1"/>
        <w:rPr>
          <w:noProof/>
        </w:rPr>
      </w:pPr>
      <w:r>
        <w:t>2.</w:t>
      </w:r>
      <w:r>
        <w:tab/>
      </w:r>
      <w:r>
        <w:rPr>
          <w:noProof/>
        </w:rPr>
        <w:t>Il-Kummissjoni għandha tadotta atti delegati f'konformità mal-Artikolu 16 biex:</w:t>
      </w:r>
    </w:p>
    <w:p>
      <w:pPr>
        <w:pStyle w:val="Point1letter"/>
        <w:numPr>
          <w:ilvl w:val="3"/>
          <w:numId w:val="48"/>
        </w:numPr>
        <w:rPr>
          <w:noProof/>
        </w:rPr>
      </w:pPr>
      <w:r>
        <w:rPr>
          <w:noProof/>
        </w:rPr>
        <w:tab/>
        <w:t>tissupplimenta l-paragrafu 1 biex tistabbilixxi l-kriterji tekniċi ta’ skrinjar li jiddeterminaw taħt liema kundizzjonijiet jitqies li attività ekonomika speċifika, għall-finijiet ta’ dan ir-Regolament, tikkontribwixxi b’mod sostanzjali għall-mitigazzjoni tat-tibdil fil-klima;</w:t>
      </w:r>
    </w:p>
    <w:p>
      <w:pPr>
        <w:pStyle w:val="Point1letter"/>
        <w:rPr>
          <w:noProof/>
        </w:rPr>
      </w:pPr>
      <w:r>
        <w:rPr>
          <w:noProof/>
        </w:rPr>
        <w:tab/>
        <w:t xml:space="preserve">tissupplimenta l-Artikolu 12 biex tistabbilixxi kriterji tekniċi ta’ skrinjar, għal kull objettiv ambjentali rilevanti, biex jiġi determinat jekk attività ekonomika li fir-rigward tagħha jkunu stabbiliti kriterji ta’ skrinjar skont il-punt (a) ta’ dan il-paragrafu, għall-finijiet ta’ dan ir-Regolament, hijiex meqjusa li toħloq ħsara sinifikanti lil wieħed minn dawn l-objettivi jew aktar. </w:t>
      </w:r>
    </w:p>
    <w:p>
      <w:pPr>
        <w:pStyle w:val="ManualNumPar1"/>
        <w:rPr>
          <w:noProof/>
        </w:rPr>
      </w:pPr>
      <w:r>
        <w:lastRenderedPageBreak/>
        <w:t>3.</w:t>
      </w:r>
      <w:r>
        <w:tab/>
      </w:r>
      <w:r>
        <w:rPr>
          <w:noProof/>
        </w:rPr>
        <w:t xml:space="preserve">Il-Kummissjoni għandha tistabbilixxi l-kriterji tekniċi ta’ skrinjar imsemmija fil-paragrafu 2 f’att delegat wieħed, li jqis ir-rekwiżiti stabbiliti fl-Artikolu 14. </w:t>
      </w:r>
    </w:p>
    <w:p>
      <w:pPr>
        <w:pStyle w:val="ManualNumPar1"/>
        <w:rPr>
          <w:noProof/>
        </w:rPr>
      </w:pPr>
      <w:r>
        <w:t>4.</w:t>
      </w:r>
      <w:r>
        <w:tab/>
      </w:r>
      <w:r>
        <w:rPr>
          <w:noProof/>
        </w:rPr>
        <w:t xml:space="preserve">Il-Kummissjoni għandha tadotta l-att delegat imsemmi fil-paragrafu 2 sal-31 ta’ Diċembru 2019 bil-ħsieb li jiġi żgurat id-dħul fis-seħħ tiegħu sal-1 ta’ Lulju 2020. </w:t>
      </w:r>
    </w:p>
    <w:p>
      <w:pPr>
        <w:pStyle w:val="Titrearticle"/>
        <w:rPr>
          <w:noProof/>
        </w:rPr>
      </w:pPr>
      <w:r>
        <w:rPr>
          <w:noProof/>
        </w:rPr>
        <w:t>Artikolu 7</w:t>
      </w:r>
      <w:r>
        <w:rPr>
          <w:noProof/>
        </w:rPr>
        <w:br/>
        <w:t>Kontribuzzjoni sostanzjali għall-adattament għat-tibdil fil-klima</w:t>
      </w:r>
    </w:p>
    <w:p>
      <w:pPr>
        <w:pStyle w:val="ManualNumPar1"/>
        <w:rPr>
          <w:noProof/>
        </w:rPr>
      </w:pPr>
      <w:r>
        <w:t>1.</w:t>
      </w:r>
      <w:r>
        <w:tab/>
      </w:r>
      <w:r>
        <w:rPr>
          <w:noProof/>
        </w:rPr>
        <w:t>Attività ekonomika għandha titqies li tikkontribwixxi b’mod sostanzjali għall-adattament għat-tibdil fil-klima meta dik l-attività tikkontribwixxi b’mod sostanzjali għat-tnaqqis tal-effetti negattivi tal-klima futura attwali u mistennija jew għall-prevenzjoni ta’ żieda jew ċaqliq ta’ effetti negattivi ta’ tibdil fil-klima, permezz ta’ dawn il-mezzi:</w:t>
      </w:r>
    </w:p>
    <w:p>
      <w:pPr>
        <w:pStyle w:val="Point1letter"/>
        <w:numPr>
          <w:ilvl w:val="3"/>
          <w:numId w:val="24"/>
        </w:numPr>
        <w:rPr>
          <w:noProof/>
        </w:rPr>
      </w:pPr>
      <w:r>
        <w:rPr>
          <w:noProof/>
        </w:rPr>
        <w:t>il-prevenzjoni jew it-tnaqqis tal-effetti negattivi speċifiċi għall-post u għall-kuntest tat-tibdil fil-klima, li għandhom jiġu vvalutati u prijoritizzati bl-użu tal-previżjonijiet tal-klima disponibbli, dwar l-attività ekonomika;</w:t>
      </w:r>
    </w:p>
    <w:p>
      <w:pPr>
        <w:pStyle w:val="Point1letter"/>
        <w:numPr>
          <w:ilvl w:val="3"/>
          <w:numId w:val="8"/>
        </w:numPr>
        <w:rPr>
          <w:noProof/>
        </w:rPr>
      </w:pPr>
      <w:r>
        <w:rPr>
          <w:noProof/>
        </w:rPr>
        <w:t>il-prevenzjoni jew it-tnaqqis tal-effetti negattivi li t-tibdil fil-klima jista’ jkollu għall-ambjent naturali u mibni li fih isseħħ l-attività ekonomika, li għandhom jiġi vvalutati u prijoritizzati bl-użu tal-previżjonijiet tal-klima disponibbli.</w:t>
      </w:r>
    </w:p>
    <w:p>
      <w:pPr>
        <w:pStyle w:val="ManualNumPar1"/>
        <w:rPr>
          <w:noProof/>
        </w:rPr>
      </w:pPr>
      <w:r>
        <w:t>2.</w:t>
      </w:r>
      <w:r>
        <w:tab/>
      </w:r>
      <w:r>
        <w:rPr>
          <w:noProof/>
        </w:rPr>
        <w:t>Il-Kummissjoni għandha tadotta att delegat f'konformità mal-Artikolu 16 biex:</w:t>
      </w:r>
    </w:p>
    <w:p>
      <w:pPr>
        <w:pStyle w:val="Point1letter"/>
        <w:numPr>
          <w:ilvl w:val="3"/>
          <w:numId w:val="25"/>
        </w:numPr>
        <w:rPr>
          <w:noProof/>
        </w:rPr>
      </w:pPr>
      <w:r>
        <w:rPr>
          <w:noProof/>
        </w:rPr>
        <w:t>tissupplimenta l-paragrafu 1 biex tistabbilixxi l-kriterji tekniċi ta’ skrinjar li jiddeterminaw taħt liema kundizzjonijiet jitqies li attività ekonomika speċifika, għall-finijiet ta’ dan ir-Regolament, tikkontribwixxi b’mod sostanzjali għall-adattament għat-tibdil fil-klima;</w:t>
      </w:r>
    </w:p>
    <w:p>
      <w:pPr>
        <w:pStyle w:val="Point1letter"/>
        <w:rPr>
          <w:noProof/>
        </w:rPr>
      </w:pPr>
      <w:r>
        <w:rPr>
          <w:noProof/>
        </w:rPr>
        <w:t xml:space="preserve">tissupplimenta l-Artikolu 12 biex tistabbilixxi kriterji tekniċi ta’ skrinjar, għal kull objettiv ambjentali rilevanti, biex jiġi determinat jekk attività ekonomika li fir-rigward tagħha jkunu stabbiliti kriterji ta’ skrinjar skont il-punt (a) ta’ dan il-paragrafu, għall-finijiet ta’ dan ir-Regolament, hijiex meqjusa li toħloq ħsara sinifikanti lil wieħed minn dawn l-objettivi jew aktar. </w:t>
      </w:r>
    </w:p>
    <w:p>
      <w:pPr>
        <w:pStyle w:val="ManualNumPar1"/>
        <w:rPr>
          <w:noProof/>
        </w:rPr>
      </w:pPr>
      <w:r>
        <w:t>3.</w:t>
      </w:r>
      <w:r>
        <w:tab/>
      </w:r>
      <w:r>
        <w:rPr>
          <w:noProof/>
        </w:rPr>
        <w:t>Il-Kummissjoni għandha tistabbilixxi l-kriterji tekniċi ta’ skrinjar imsemmija fil-paragrafu 2 flimkien f’att delegat wieħed, li jqis ir-rekwiżiti stabbiliti fl-Artikolu 14.</w:t>
      </w:r>
    </w:p>
    <w:p>
      <w:pPr>
        <w:pStyle w:val="ManualNumPar1"/>
        <w:rPr>
          <w:noProof/>
        </w:rPr>
      </w:pPr>
      <w:r>
        <w:t>4.</w:t>
      </w:r>
      <w:r>
        <w:tab/>
      </w:r>
      <w:r>
        <w:rPr>
          <w:noProof/>
        </w:rPr>
        <w:t xml:space="preserve">Il-Kummissjoni għandha tadotta l-att delegat imsemmi fil-paragrafu 2 sal-31 ta’ Diċembru 2019 bil-ħsieb li jiġi żgurat id-dħul fis-seħħ tiegħu sal-1 ta’ Lulju 2020. </w:t>
      </w:r>
    </w:p>
    <w:p>
      <w:pPr>
        <w:pStyle w:val="Titrearticle"/>
        <w:rPr>
          <w:noProof/>
        </w:rPr>
      </w:pPr>
      <w:r>
        <w:rPr>
          <w:noProof/>
        </w:rPr>
        <w:t>Artikolu 8</w:t>
      </w:r>
      <w:r>
        <w:rPr>
          <w:noProof/>
        </w:rPr>
        <w:br/>
        <w:t>Kontribuzzjoni sostanzjali għall-użu sostenibbli u l-protezzjoni tal-ilma u r-riżorsi marini</w:t>
      </w:r>
    </w:p>
    <w:p>
      <w:pPr>
        <w:pStyle w:val="ManualNumPar1"/>
        <w:rPr>
          <w:noProof/>
        </w:rPr>
      </w:pPr>
      <w:r>
        <w:t>1.</w:t>
      </w:r>
      <w:r>
        <w:tab/>
      </w:r>
      <w:r>
        <w:rPr>
          <w:noProof/>
        </w:rPr>
        <w:t>Attività ekonomika għandha titqies li tikkontribwixxi b’mod sostanzjali għall-użu sostenibbli u l-protezzjoni tal-ilma u tar-riżorsi marini meta dik l-attività tikkontribwixxi b’mod sostanzjali għall-istatus tajjeb tal-ilmijiet, inkluż l-ilma ħelu, l-ilmijiet temporanji u l-ilmijiet kostali, jew għall-istatus ambjentali tajjeb tal-ilmijiet marini, permezz ta’ kwalunkwe waħda minn dawn il-mezzi:</w:t>
      </w:r>
    </w:p>
    <w:p>
      <w:pPr>
        <w:pStyle w:val="Point1letter"/>
        <w:numPr>
          <w:ilvl w:val="3"/>
          <w:numId w:val="27"/>
        </w:numPr>
        <w:rPr>
          <w:noProof/>
        </w:rPr>
      </w:pPr>
      <w:r>
        <w:rPr>
          <w:noProof/>
        </w:rPr>
        <w:t>il-protezzjoni tal-ambjent akkwatiku mill-effetti avversi ta’ skariki ta’ ilma urban u industrijali mormi billi jiġi żgurat il-ġbir u t-trattament adegwat ta’ ilmijiet urbani u industrijali mormija skont l-Artikoli 3, 4, 5 u 11 tad-Direttiva tal-Kunsill 91/271/KEE</w:t>
      </w:r>
      <w:r>
        <w:rPr>
          <w:rStyle w:val="FootnoteReference"/>
          <w:noProof/>
        </w:rPr>
        <w:footnoteReference w:id="53"/>
      </w:r>
      <w:r>
        <w:rPr>
          <w:noProof/>
        </w:rPr>
        <w:t>;</w:t>
      </w:r>
    </w:p>
    <w:p>
      <w:pPr>
        <w:pStyle w:val="Point1letter"/>
        <w:rPr>
          <w:noProof/>
        </w:rPr>
      </w:pPr>
      <w:r>
        <w:rPr>
          <w:noProof/>
        </w:rPr>
        <w:lastRenderedPageBreak/>
        <w:t>il-protezzjoni tas-saħħa tal-bniedem mill-effetti avversi ta’ kwalunkwe kontaminazzjoni ta’ ilma tax-xorb billi jiġi żgurat li jkun ħieles minn kull mikroorganiżmu, parassita u sustanza li tikkostitwixxi periklu potenzjali għas-saħħa tal-bniedem, u li jissodisfa r-rekwiżiti minimi stabbiliti fl-Anness I, il-Partijiet A u B, tad-Direttiva tal-Kunsill 98/83/KE</w:t>
      </w:r>
      <w:r>
        <w:rPr>
          <w:rStyle w:val="FootnoteReference"/>
          <w:noProof/>
        </w:rPr>
        <w:footnoteReference w:id="54"/>
      </w:r>
      <w:r>
        <w:rPr>
          <w:noProof/>
        </w:rPr>
        <w:t>, u jiżdied l-aċċess taċ-ċittadini għall-ilma tax-xorb nadif;</w:t>
      </w:r>
    </w:p>
    <w:p>
      <w:pPr>
        <w:pStyle w:val="Point1letter"/>
        <w:rPr>
          <w:noProof/>
        </w:rPr>
      </w:pPr>
      <w:r>
        <w:rPr>
          <w:noProof/>
        </w:rPr>
        <w:t>l-astrazzjoni ta’ ilma f’konformita mal-objettiv ta’ status kwantitattiv tajjeb kif definit fit-Tabella 2.1.2 fl-Anness V tad-Direttiva 2000/60/KE;</w:t>
      </w:r>
    </w:p>
    <w:p>
      <w:pPr>
        <w:pStyle w:val="Point1letter"/>
        <w:rPr>
          <w:noProof/>
        </w:rPr>
      </w:pPr>
      <w:r>
        <w:rPr>
          <w:noProof/>
        </w:rPr>
        <w:t>it-titjib tal-effiċjenza tal-ilma, il-faċilitazzjoni tal-użu mill-ġdid tal-ilma, u kull attività oħra li tipproteġi jew ittejjeb il-kwalità tal-korpi tal-ilma tal-Unjoni skont id-Direttiva 2000/60/KE;</w:t>
      </w:r>
    </w:p>
    <w:p>
      <w:pPr>
        <w:pStyle w:val="Point1letter"/>
        <w:rPr>
          <w:noProof/>
        </w:rPr>
      </w:pPr>
      <w:r>
        <w:rPr>
          <w:noProof/>
        </w:rPr>
        <w:t>l-iżgurar tal-użu sostenibbli tas-servizzi tal-ekosistema marina jew il-kontribuzzjoni għall-istatus ambjentali tajjeb tal-ilmijiet marini, kif determinat abbażi tad-deskritturi kwalitativi stabbiliti fl-Anness I tad-Direttiva 2008/56/KE u kif speċifikat ulterjorment fid-Deċiżjoni tal-Kummissjoni (UE) 2017/848</w:t>
      </w:r>
      <w:r>
        <w:rPr>
          <w:rStyle w:val="FootnoteReference"/>
          <w:noProof/>
        </w:rPr>
        <w:footnoteReference w:id="55"/>
      </w:r>
      <w:r>
        <w:rPr>
          <w:noProof/>
        </w:rPr>
        <w:t>.</w:t>
      </w:r>
    </w:p>
    <w:p>
      <w:pPr>
        <w:pStyle w:val="ManualNumPar1"/>
        <w:rPr>
          <w:noProof/>
        </w:rPr>
      </w:pPr>
      <w:r>
        <w:t>2.</w:t>
      </w:r>
      <w:r>
        <w:tab/>
      </w:r>
      <w:r>
        <w:rPr>
          <w:noProof/>
        </w:rPr>
        <w:t>Il-Kummissjoni għandha tadotta att delegat f'konformità mal-Artikolu 16 biex:</w:t>
      </w:r>
    </w:p>
    <w:p>
      <w:pPr>
        <w:pStyle w:val="Point1letter"/>
        <w:numPr>
          <w:ilvl w:val="3"/>
          <w:numId w:val="49"/>
        </w:numPr>
        <w:rPr>
          <w:noProof/>
        </w:rPr>
      </w:pPr>
      <w:r>
        <w:rPr>
          <w:noProof/>
        </w:rPr>
        <w:t>tissupplimenta l-paragrafu 1 biex tistabbilixxi l-kriterji tekniċi ta’ skrinjar li jiddeterminaw taħt liema kundizzjonijiet jitqies li attività ekonomika speċifika, għall-finijiet ta’ dan ir-Regolament, tikkontribwixxi b’mod sostanzjali għall-użu sostenibbli u għall-protezzjoni tal-ilma u tar-riżorsi marini;</w:t>
      </w:r>
    </w:p>
    <w:p>
      <w:pPr>
        <w:pStyle w:val="Point1letter"/>
        <w:rPr>
          <w:noProof/>
        </w:rPr>
      </w:pPr>
      <w:r>
        <w:rPr>
          <w:noProof/>
        </w:rPr>
        <w:t xml:space="preserve">tissupplimenta l-Artikolu 12 biex tistabbilixxi kriterji tekniċi ta’ skrinjar, għal kull objettiv ambjentali rilevanti, biex jiġi determinat jekk attività ekonomika li fir-rigward tagħha jkunu stabbiliti kriterji ta’ skrinjar skont il-punt (a) ta’ dan il-paragrafu, għall-finijiet ta’ dan ir-Regolament, hijiex meqjusa li toħloq ħsara sinifikanti lil wieħed minn dawn l-objettivi jew aktar. </w:t>
      </w:r>
    </w:p>
    <w:p>
      <w:pPr>
        <w:pStyle w:val="ManualNumPar1"/>
        <w:rPr>
          <w:noProof/>
        </w:rPr>
      </w:pPr>
      <w:r>
        <w:t>3.</w:t>
      </w:r>
      <w:r>
        <w:tab/>
      </w:r>
      <w:r>
        <w:rPr>
          <w:noProof/>
        </w:rPr>
        <w:t>Il-Kummissjoni għandha tistabbilixxi l-kriterji tekniċi ta’ skrinjar imsemmija fil-paragrafu 2 flimkien f’att delegat wieħed, u tqis ir-rekwiżiti stabbiliti fl-Artikolu 14.</w:t>
      </w:r>
    </w:p>
    <w:p>
      <w:pPr>
        <w:pStyle w:val="ManualNumPar1"/>
        <w:rPr>
          <w:noProof/>
        </w:rPr>
      </w:pPr>
      <w:r>
        <w:t>4.</w:t>
      </w:r>
      <w:r>
        <w:tab/>
      </w:r>
      <w:r>
        <w:rPr>
          <w:noProof/>
        </w:rPr>
        <w:t xml:space="preserve">Il-Kummissjoni għandha tadotta l-att delegat imsemmi fil-paragrafu 2 sal-1 ta’ Lulju 2022, bil-ħsieb li jiġi żgurat id-dħul fis-seħħ tiegħu sal-31 ta’ Diċembru 2022. </w:t>
      </w:r>
    </w:p>
    <w:p>
      <w:pPr>
        <w:pStyle w:val="Titrearticle"/>
        <w:rPr>
          <w:noProof/>
        </w:rPr>
      </w:pPr>
      <w:r>
        <w:rPr>
          <w:noProof/>
        </w:rPr>
        <w:t>Artikolu 9</w:t>
      </w:r>
      <w:r>
        <w:rPr>
          <w:noProof/>
        </w:rPr>
        <w:br/>
        <w:t>Kontribuzzjoni sostanzjali għall-ekonomija ċirkolari u għall-prevenzjoni u r-riċiklaġġ tal-iskart</w:t>
      </w:r>
    </w:p>
    <w:p>
      <w:pPr>
        <w:pStyle w:val="ManualNumPar1"/>
        <w:rPr>
          <w:noProof/>
        </w:rPr>
      </w:pPr>
      <w:r>
        <w:t>1.</w:t>
      </w:r>
      <w:r>
        <w:tab/>
      </w:r>
      <w:r>
        <w:rPr>
          <w:noProof/>
        </w:rPr>
        <w:t>Attività ekonomika għandha titqies li tikkontribwixxi b’mod sostanzjali għat-tranżizzjoni għal ekonomija ċirkolari u għall-prevenzjoni u r-riċiklaġġ tal-iskart meta dik l-attività tikkontribwixxi b’mod sostanzjali għal dak l-objettiv ambjentali permezz ta’ kwalunkwe waħda minn dawn il-mezzi:</w:t>
      </w:r>
    </w:p>
    <w:p>
      <w:pPr>
        <w:pStyle w:val="Point1letter"/>
        <w:numPr>
          <w:ilvl w:val="3"/>
          <w:numId w:val="29"/>
        </w:numPr>
        <w:rPr>
          <w:noProof/>
        </w:rPr>
      </w:pPr>
      <w:r>
        <w:rPr>
          <w:noProof/>
        </w:rPr>
        <w:t>it-titjib tal-użu effiċjenti ta’ materji primi prodotti, inkluż permezz tat-tnaqqis tal-użu ta’ materji primi primarji u ż-żieda fl-użu ta’ prodotti sekondarji u l-iskart;</w:t>
      </w:r>
    </w:p>
    <w:p>
      <w:pPr>
        <w:pStyle w:val="Point1letter"/>
        <w:numPr>
          <w:ilvl w:val="3"/>
          <w:numId w:val="8"/>
        </w:numPr>
        <w:rPr>
          <w:noProof/>
        </w:rPr>
      </w:pPr>
      <w:r>
        <w:rPr>
          <w:noProof/>
        </w:rPr>
        <w:t>iż-żieda fid-durabbiltà, fil-kapaċità ta’ tiswija, ta’ aġġornament jew ta’ użu mill-ġdid tal-prodotti;</w:t>
      </w:r>
    </w:p>
    <w:p>
      <w:pPr>
        <w:pStyle w:val="Point1letter"/>
        <w:numPr>
          <w:ilvl w:val="3"/>
          <w:numId w:val="8"/>
        </w:numPr>
        <w:rPr>
          <w:noProof/>
        </w:rPr>
      </w:pPr>
      <w:r>
        <w:rPr>
          <w:noProof/>
        </w:rPr>
        <w:lastRenderedPageBreak/>
        <w:t>iż-żieda fil-kapaċità ta’ riċiklaġġ tal-prodotti, inkluż ta’ materjali individwali inklużi fil-prodotti, fost l-oħrajn permezz ta’ sostituzzjoni jew tnaqqis fl-użu ta’ prodotti u materjali li mhumiex riċiklabbli;</w:t>
      </w:r>
    </w:p>
    <w:p>
      <w:pPr>
        <w:pStyle w:val="Point1letter"/>
        <w:numPr>
          <w:ilvl w:val="3"/>
          <w:numId w:val="8"/>
        </w:numPr>
        <w:rPr>
          <w:noProof/>
        </w:rPr>
      </w:pPr>
      <w:r>
        <w:rPr>
          <w:noProof/>
        </w:rPr>
        <w:t>it-tnaqqis fil-kontenut ta’ sustanzi perikolużi fil-materjali u fil-prodotti;</w:t>
      </w:r>
    </w:p>
    <w:p>
      <w:pPr>
        <w:pStyle w:val="Point1letter"/>
        <w:numPr>
          <w:ilvl w:val="3"/>
          <w:numId w:val="8"/>
        </w:numPr>
        <w:rPr>
          <w:noProof/>
        </w:rPr>
      </w:pPr>
      <w:r>
        <w:rPr>
          <w:noProof/>
        </w:rPr>
        <w:t>l-estensjoni tal-użu ta’ prodotti inkluż permezz taż-żieda fl-użu mill-ġdid, fil-manifattura mill-ġdid, fl-aġġornament, fit-tiswija u fil-kondiviżjoni ta’ prodotti mill-konsumaturi;</w:t>
      </w:r>
    </w:p>
    <w:p>
      <w:pPr>
        <w:pStyle w:val="Point1letter"/>
        <w:numPr>
          <w:ilvl w:val="3"/>
          <w:numId w:val="8"/>
        </w:numPr>
        <w:rPr>
          <w:noProof/>
        </w:rPr>
      </w:pPr>
      <w:r>
        <w:rPr>
          <w:noProof/>
        </w:rPr>
        <w:t>iż-żieda fl-użu ta’ materji primi sekondarji u l-kwalità tagħhom, inkluż permezz ta’ riċiklaġġ tal-iskart ta’ kwalità għolja;</w:t>
      </w:r>
    </w:p>
    <w:p>
      <w:pPr>
        <w:pStyle w:val="Point1letter"/>
        <w:numPr>
          <w:ilvl w:val="3"/>
          <w:numId w:val="8"/>
        </w:numPr>
        <w:rPr>
          <w:noProof/>
        </w:rPr>
      </w:pPr>
      <w:r>
        <w:rPr>
          <w:noProof/>
        </w:rPr>
        <w:t>it-tnaqqis ta’ ġenerazzjoni tal-iskart;</w:t>
      </w:r>
    </w:p>
    <w:p>
      <w:pPr>
        <w:pStyle w:val="Point1letter"/>
        <w:numPr>
          <w:ilvl w:val="3"/>
          <w:numId w:val="8"/>
        </w:numPr>
        <w:rPr>
          <w:noProof/>
        </w:rPr>
      </w:pPr>
      <w:r>
        <w:rPr>
          <w:noProof/>
        </w:rPr>
        <w:t>iż-żieda fit-tħejjija għal użu mill-ġdid u riċiklaġġ tal-iskart;</w:t>
      </w:r>
    </w:p>
    <w:p>
      <w:pPr>
        <w:pStyle w:val="Point1letter"/>
        <w:numPr>
          <w:ilvl w:val="3"/>
          <w:numId w:val="8"/>
        </w:numPr>
        <w:rPr>
          <w:noProof/>
        </w:rPr>
      </w:pPr>
      <w:r>
        <w:rPr>
          <w:noProof/>
        </w:rPr>
        <w:t>l-evitar ta’ inċinerazzjoni u rimi tal-iskart;</w:t>
      </w:r>
    </w:p>
    <w:p>
      <w:pPr>
        <w:pStyle w:val="Point1letter"/>
        <w:numPr>
          <w:ilvl w:val="3"/>
          <w:numId w:val="8"/>
        </w:numPr>
        <w:rPr>
          <w:noProof/>
        </w:rPr>
      </w:pPr>
      <w:r>
        <w:rPr>
          <w:noProof/>
        </w:rPr>
        <w:t>l-evitar u t-tindif ta’ żibel u tniġġis ieħor ikkawżat minn immaniġġjar ħażin tal-iskart;</w:t>
      </w:r>
    </w:p>
    <w:p>
      <w:pPr>
        <w:pStyle w:val="Point1letter"/>
        <w:numPr>
          <w:ilvl w:val="3"/>
          <w:numId w:val="8"/>
        </w:numPr>
        <w:rPr>
          <w:noProof/>
        </w:rPr>
      </w:pPr>
      <w:r>
        <w:rPr>
          <w:noProof/>
        </w:rPr>
        <w:t>l-użu effiċjenti ta’ riżorsi naturali tal-enerġija.</w:t>
      </w:r>
    </w:p>
    <w:p>
      <w:pPr>
        <w:pStyle w:val="ManualNumPar1"/>
        <w:rPr>
          <w:noProof/>
        </w:rPr>
      </w:pPr>
      <w:r>
        <w:t>2.</w:t>
      </w:r>
      <w:r>
        <w:tab/>
      </w:r>
      <w:r>
        <w:rPr>
          <w:noProof/>
        </w:rPr>
        <w:t>Il-Kummissjoni għandha tadotta att delegat f'konformità mal-Artikolu 16 biex:</w:t>
      </w:r>
    </w:p>
    <w:p>
      <w:pPr>
        <w:pStyle w:val="Point1letter"/>
        <w:numPr>
          <w:ilvl w:val="3"/>
          <w:numId w:val="30"/>
        </w:numPr>
        <w:rPr>
          <w:noProof/>
        </w:rPr>
      </w:pPr>
      <w:r>
        <w:rPr>
          <w:noProof/>
        </w:rPr>
        <w:t>tissupplimenta l-paragrafu 1 biex tistabbilixxi l-kriterji tekniċi ta’ skrinjar li jiddeterminaw taħt liema kundizzjonijiet jitqies li attività ekonomika speċifika, għall-finijiet ta’ dan ir-Regolament, tikkontribwixxi b’mod sostanzjali għall-ekonomija ċirkolari u għall-prevenzjoni u r-riċiklaġġ tal-iskart;</w:t>
      </w:r>
    </w:p>
    <w:p>
      <w:pPr>
        <w:pStyle w:val="Point1letter"/>
        <w:numPr>
          <w:ilvl w:val="3"/>
          <w:numId w:val="8"/>
        </w:numPr>
        <w:rPr>
          <w:noProof/>
        </w:rPr>
      </w:pPr>
      <w:r>
        <w:rPr>
          <w:noProof/>
        </w:rPr>
        <w:t xml:space="preserve">tissupplimenta l-Artikolu 12 biex tistabbilixxi kriterji tekniċi ta’ skrinjar, għal kull objettiv ambjentali rilevanti, biex jiġi determinat jekk attività ekonomika li fir-rigward tagħha jkunu stabbiliti kriterji ta’ skrinjar skont il-punt (a) ta’ dan il-paragrafu, għall-finijiet ta’ dan ir-Regolament, hijiex meqjusa li toħloq ħsara sinifikanti lil wieħed minn dawn l-objettivi jew aktar. </w:t>
      </w:r>
    </w:p>
    <w:p>
      <w:pPr>
        <w:pStyle w:val="ManualNumPar1"/>
        <w:rPr>
          <w:noProof/>
        </w:rPr>
      </w:pPr>
      <w:r>
        <w:t>3.</w:t>
      </w:r>
      <w:r>
        <w:tab/>
      </w:r>
      <w:r>
        <w:rPr>
          <w:noProof/>
        </w:rPr>
        <w:t>Il-Kummissjoni għandha tistabbilixxi l-kriterji tekniċi ta’ skrinjar imsemmija fil-paragrafu 2 flimkien f’att delegat wieħed, li jqis ir-rekwiżiti stabbiliti fl-Artikolu 14.</w:t>
      </w:r>
    </w:p>
    <w:p>
      <w:pPr>
        <w:pStyle w:val="ManualNumPar1"/>
        <w:rPr>
          <w:noProof/>
        </w:rPr>
      </w:pPr>
      <w:r>
        <w:t>4.</w:t>
      </w:r>
      <w:r>
        <w:tab/>
      </w:r>
      <w:r>
        <w:rPr>
          <w:noProof/>
        </w:rPr>
        <w:t xml:space="preserve">Il-Kummissjoni għandha tadotta l-att delegat imsemmi fil-paragrafu 2 sal-1 ta’ Lulju 2021, bil-ħsieb li jiġi żgurat id-dħul fis-seħħ tiegħu sal-31 ta’ Diċembru 2021. </w:t>
      </w:r>
    </w:p>
    <w:p>
      <w:pPr>
        <w:pStyle w:val="Titrearticle"/>
        <w:rPr>
          <w:noProof/>
        </w:rPr>
      </w:pPr>
      <w:r>
        <w:rPr>
          <w:noProof/>
        </w:rPr>
        <w:t>Artikolu 10</w:t>
      </w:r>
      <w:r>
        <w:rPr>
          <w:noProof/>
        </w:rPr>
        <w:br/>
        <w:t>Kontribuzzjoni sostanzjali għall-prevenzjoni u l-kontroll tat-tniġġis</w:t>
      </w:r>
    </w:p>
    <w:p>
      <w:pPr>
        <w:pStyle w:val="ManualNumPar1"/>
        <w:rPr>
          <w:noProof/>
        </w:rPr>
      </w:pPr>
      <w:r>
        <w:t>1.</w:t>
      </w:r>
      <w:r>
        <w:tab/>
      </w:r>
      <w:r>
        <w:rPr>
          <w:noProof/>
        </w:rPr>
        <w:t>Attività ekonomika għandha titqies li tikkontribwixxi b’mod sostanzjali għall-prevenzjoni u l-kontroll tat-tniġġis meta dik l-attività tikkontribwixxi għal livell għoli ta’ protezzjoni ambjentali mit-tniġġis permezz ta’ kwalunkwe waħda minn dawn il-mezzi:</w:t>
      </w:r>
    </w:p>
    <w:p>
      <w:pPr>
        <w:pStyle w:val="Point1letter"/>
        <w:numPr>
          <w:ilvl w:val="3"/>
          <w:numId w:val="32"/>
        </w:numPr>
        <w:rPr>
          <w:noProof/>
        </w:rPr>
      </w:pPr>
      <w:r>
        <w:rPr>
          <w:noProof/>
        </w:rPr>
        <w:t>it-tnaqqis tal-emissjonijiet inkwinanti tal-ilma u tal-ħamrija għajr gassijiet serra;</w:t>
      </w:r>
    </w:p>
    <w:p>
      <w:pPr>
        <w:pStyle w:val="Point1letter"/>
        <w:numPr>
          <w:ilvl w:val="3"/>
          <w:numId w:val="8"/>
        </w:numPr>
        <w:rPr>
          <w:noProof/>
        </w:rPr>
      </w:pPr>
      <w:r>
        <w:rPr>
          <w:noProof/>
        </w:rPr>
        <w:t>it-titjib tal-livelli tal-kwalità tal-arja, tal-ilma jew tal-ħamrija fiż-żoni li fihom isseħħ l-attività ekonomika filwaqt li jiġu minimizzati l-impatti negattivi fuq is-saħħa tal-bniedem u l-ambjent, u r-riskji għalihom;</w:t>
      </w:r>
    </w:p>
    <w:p>
      <w:pPr>
        <w:pStyle w:val="Point1letter"/>
        <w:numPr>
          <w:ilvl w:val="3"/>
          <w:numId w:val="8"/>
        </w:numPr>
        <w:rPr>
          <w:noProof/>
        </w:rPr>
      </w:pPr>
      <w:r>
        <w:rPr>
          <w:noProof/>
        </w:rPr>
        <w:t>il-minimizzazzjoni tal-effetti avversi fuq is-saħħa tal-bniedem u l-ambjent tal-produzzjoni u l-użu tal-prodotti kimiċi.</w:t>
      </w:r>
    </w:p>
    <w:p>
      <w:pPr>
        <w:pStyle w:val="ManualNumPar1"/>
        <w:rPr>
          <w:noProof/>
        </w:rPr>
      </w:pPr>
      <w:r>
        <w:t>2.</w:t>
      </w:r>
      <w:r>
        <w:tab/>
      </w:r>
      <w:r>
        <w:rPr>
          <w:noProof/>
        </w:rPr>
        <w:t>Il-Kummissjoni għandha tadotta att delegat f'konformità mal-Artikolu 16 biex:</w:t>
      </w:r>
    </w:p>
    <w:p>
      <w:pPr>
        <w:pStyle w:val="Point1letter"/>
        <w:numPr>
          <w:ilvl w:val="3"/>
          <w:numId w:val="33"/>
        </w:numPr>
        <w:rPr>
          <w:noProof/>
        </w:rPr>
      </w:pPr>
      <w:r>
        <w:rPr>
          <w:noProof/>
        </w:rPr>
        <w:t>tissupplimenta l-paragrafu 1 biex tistabbilixxi l-kriterji tekniċi ta’ skrinjar li jiddeterminaw taħt liema kundizzjonijiet jitqies li attività ekonomika speċifika, għall-</w:t>
      </w:r>
      <w:r>
        <w:rPr>
          <w:noProof/>
        </w:rPr>
        <w:lastRenderedPageBreak/>
        <w:t>finijiet ta’ dan ir-Regolament, tikkontribwixxi b’mod sostanzjali għall-prevenzjoni u l-kontroll tat-tniġġis;</w:t>
      </w:r>
    </w:p>
    <w:p>
      <w:pPr>
        <w:pStyle w:val="Point1letter"/>
        <w:rPr>
          <w:noProof/>
        </w:rPr>
      </w:pPr>
      <w:r>
        <w:rPr>
          <w:noProof/>
        </w:rPr>
        <w:t xml:space="preserve">tissupplimenta l-Artikolu 12 biex tistabbilixxi kriterji tekniċi ta’ skrinjar, għal kull objettiv ambjentali rilevanti, biex jiġi determinat jekk attività ekonomika li fir-rigward tagħha jkunu stabbiliti kriterji ta’ skrinjar skont il-punt (a) ta’ dan il-paragrafu, għall-finijiet ta’ dan ir-Regolament, hijiex meqjusa li toħloq ħsara sinifikanti lil wieħed minn dawn l-objettivi jew aktar. </w:t>
      </w:r>
    </w:p>
    <w:p>
      <w:pPr>
        <w:pStyle w:val="ManualNumPar1"/>
        <w:rPr>
          <w:noProof/>
        </w:rPr>
      </w:pPr>
      <w:r>
        <w:t>3.</w:t>
      </w:r>
      <w:r>
        <w:tab/>
      </w:r>
      <w:r>
        <w:rPr>
          <w:noProof/>
        </w:rPr>
        <w:t>Il-Kummissjoni għandha tistabbilixxi l-kriterji tekniċi ta’ skrinjar imsemmija fil-paragrafu 2 flimkien f’att delegat wieħed, li jqis ir-rekwiżiti stabbiliti fl-Artikolu 14.</w:t>
      </w:r>
    </w:p>
    <w:p>
      <w:pPr>
        <w:pStyle w:val="ManualNumPar1"/>
        <w:rPr>
          <w:noProof/>
        </w:rPr>
      </w:pPr>
      <w:r>
        <w:t>4.</w:t>
      </w:r>
      <w:r>
        <w:tab/>
      </w:r>
      <w:r>
        <w:rPr>
          <w:noProof/>
        </w:rPr>
        <w:t>Il-Kummissjoni għandha tadotta l-att delegat imsemmi fil-paragrafu 2 sal-1 ta’ Lulju 2021, bil-ħsieb li jiġi żgurat id-dħul fis-seħħ tiegħu sal-31 ta’ Diċembru 2021.</w:t>
      </w:r>
    </w:p>
    <w:p>
      <w:pPr>
        <w:pStyle w:val="Titrearticle"/>
        <w:rPr>
          <w:noProof/>
        </w:rPr>
      </w:pPr>
      <w:r>
        <w:rPr>
          <w:noProof/>
        </w:rPr>
        <w:t>Artikolu 11</w:t>
      </w:r>
      <w:r>
        <w:rPr>
          <w:noProof/>
        </w:rPr>
        <w:br/>
        <w:t>Kontribuzzjoni sostanzjali għall-protezzjoni tal-ekosistemi b’saħħithom</w:t>
      </w:r>
    </w:p>
    <w:p>
      <w:pPr>
        <w:pStyle w:val="ManualNumPar1"/>
        <w:rPr>
          <w:noProof/>
        </w:rPr>
      </w:pPr>
      <w:r>
        <w:t>1.</w:t>
      </w:r>
      <w:r>
        <w:tab/>
      </w:r>
      <w:r>
        <w:rPr>
          <w:noProof/>
        </w:rPr>
        <w:t>Għall-finijiet ta’ dan ir-Regolament, attività ekonomika għandha titqies li tikkontribwixxi b’mod sostanzjali għal ekosistemi b’saħħithom meta dik l-attività tikkontribwixxi b’mod sostanzjali għall-protezzjoni, għall-konservazzjoni u għat-titjib tas-servizzi tal-bijodiversità u tal-ekosistema f’konformità mal-istrumenti leġiżlattivi u mhux leġiżlattivi tal-Unjoni rilevanti, permezz ta’ kwalunkwe waħda minn dawn il-mezzi:</w:t>
      </w:r>
    </w:p>
    <w:p>
      <w:pPr>
        <w:pStyle w:val="Point1letter"/>
        <w:numPr>
          <w:ilvl w:val="3"/>
          <w:numId w:val="35"/>
        </w:numPr>
        <w:rPr>
          <w:noProof/>
        </w:rPr>
      </w:pPr>
      <w:r>
        <w:rPr>
          <w:noProof/>
        </w:rPr>
        <w:t>il-konservazzjoni tan-natura (ħabitati, speċji); il-protezzjoni, ir-restawr u t-titjib tal-kundizzjoni tal-ekosistemi u l-kapaċità tagħhom li jipprovdu servizzi;</w:t>
      </w:r>
    </w:p>
    <w:p>
      <w:pPr>
        <w:pStyle w:val="Point1letter"/>
        <w:rPr>
          <w:noProof/>
        </w:rPr>
      </w:pPr>
      <w:r>
        <w:rPr>
          <w:noProof/>
        </w:rPr>
        <w:t>il-ġestjoni sostenibbli tal-art, inkluża l-protezzjoni adegwata tal-bijodiversità tal-ħamrija; in-newtralità tad-degradazzjoni tal-art; u r-rimedju tas-siti kontaminati;</w:t>
      </w:r>
    </w:p>
    <w:p>
      <w:pPr>
        <w:pStyle w:val="Point1letter"/>
        <w:rPr>
          <w:noProof/>
        </w:rPr>
      </w:pPr>
      <w:r>
        <w:rPr>
          <w:noProof/>
        </w:rPr>
        <w:t>prattiki agrikoli sostenibbli, inklużi dawk li jikkontribwixxu għall-waqfien jew għall-prevenzjoni tad-deforestazzjoni u t-telf tal-ħabitati;</w:t>
      </w:r>
    </w:p>
    <w:p>
      <w:pPr>
        <w:pStyle w:val="Point1letter"/>
        <w:rPr>
          <w:noProof/>
        </w:rPr>
      </w:pPr>
      <w:r>
        <w:rPr>
          <w:noProof/>
        </w:rPr>
        <w:t>il-ġestjoni sostenibbli tal-foresti.</w:t>
      </w:r>
    </w:p>
    <w:p>
      <w:pPr>
        <w:pStyle w:val="ManualNumPar1"/>
        <w:rPr>
          <w:noProof/>
        </w:rPr>
      </w:pPr>
      <w:r>
        <w:t>2.</w:t>
      </w:r>
      <w:r>
        <w:tab/>
      </w:r>
      <w:r>
        <w:rPr>
          <w:noProof/>
        </w:rPr>
        <w:t>Il-Kummissjoni għandha tadotta att delegat f'konformità mal-Artikolu 16 biex:</w:t>
      </w:r>
    </w:p>
    <w:p>
      <w:pPr>
        <w:pStyle w:val="Point1letter"/>
        <w:numPr>
          <w:ilvl w:val="3"/>
          <w:numId w:val="36"/>
        </w:numPr>
        <w:rPr>
          <w:noProof/>
        </w:rPr>
      </w:pPr>
      <w:r>
        <w:rPr>
          <w:noProof/>
        </w:rPr>
        <w:t>tissupplimenta l-paragrafu 1 biex tistabbilixxi l-kriterji tekniċi ta’ skrinjar li jiddeterminaw taħt liema kundizzjonijiet jitqies li attività ekonomika speċifika, għall-finijiet ta’ dan ir-Regolament, tikkontribwixxi b’mod sostanzjali għall-protezzjoni ta’ ekosistemti b’saħħithom;</w:t>
      </w:r>
    </w:p>
    <w:p>
      <w:pPr>
        <w:pStyle w:val="Point1letter"/>
        <w:rPr>
          <w:noProof/>
        </w:rPr>
      </w:pPr>
      <w:r>
        <w:rPr>
          <w:noProof/>
        </w:rPr>
        <w:t xml:space="preserve">tissupplimenta l-Artikolu 12 biex tistabbilixxi kriterji tekniċi ta’ skrinjar, għal kull objettiv ambjentali rilevanti, biex jiġi determinat jekk attività ekonomika li fir-rigward tagħha jkunu stabbiliti kriterji ta’ skrinjar skont il-punt (a) ta’ dan il-paragrafu, għall-finijiet ta’ dan ir-Regolament, hijiex meqjusa li toħloq ħsara sinifikanti lil wieħed minn dawn l-objettivi jew aktar. </w:t>
      </w:r>
    </w:p>
    <w:p>
      <w:pPr>
        <w:pStyle w:val="ManualNumPar1"/>
        <w:rPr>
          <w:noProof/>
        </w:rPr>
      </w:pPr>
      <w:r>
        <w:t>3.</w:t>
      </w:r>
      <w:r>
        <w:tab/>
      </w:r>
      <w:r>
        <w:rPr>
          <w:noProof/>
        </w:rPr>
        <w:t>Il-Kummissjoni għandha tistabbilixxi l-kriterji tekniċi ta’ skrinjar imsemmija fil-paragrafu 2 flimkien f’att delegat wieħed, li jqis ir-rekwiżiti stabbiliti fl-Artikolu 14.</w:t>
      </w:r>
    </w:p>
    <w:p>
      <w:pPr>
        <w:pStyle w:val="ManualNumPar1"/>
        <w:rPr>
          <w:noProof/>
        </w:rPr>
      </w:pPr>
      <w:r>
        <w:t>4.</w:t>
      </w:r>
      <w:r>
        <w:tab/>
      </w:r>
      <w:r>
        <w:rPr>
          <w:noProof/>
        </w:rPr>
        <w:t>Il-Kummissjoni għandha tadotta l-att delegat imsemmi fil-paragrafu 2 sal-1 ta’ Lulju 2022, bil-ħsieb li jiġi żgurat id-dħul fis-seħħ tiegħu sal-31 ta’ Diċembru 2022.</w:t>
      </w:r>
    </w:p>
    <w:p>
      <w:pPr>
        <w:keepNext/>
        <w:spacing w:before="360"/>
        <w:jc w:val="center"/>
        <w:rPr>
          <w:i/>
          <w:noProof/>
        </w:rPr>
      </w:pPr>
      <w:r>
        <w:rPr>
          <w:i/>
          <w:noProof/>
        </w:rPr>
        <w:t>Artikolu 12</w:t>
      </w:r>
      <w:r>
        <w:rPr>
          <w:i/>
          <w:noProof/>
        </w:rPr>
        <w:br/>
        <w:t>Ħsara sinifikanti għall-objettivi ambjentali</w:t>
      </w:r>
    </w:p>
    <w:p>
      <w:pPr>
        <w:rPr>
          <w:noProof/>
        </w:rPr>
      </w:pPr>
      <w:r>
        <w:rPr>
          <w:noProof/>
        </w:rPr>
        <w:t>Għall-finijiet tal-Artikolu 3(b), attività ekonomika għandha titqies li tagħmel ħsara sinifikanti għal:</w:t>
      </w:r>
    </w:p>
    <w:p>
      <w:pPr>
        <w:pStyle w:val="Point1letter"/>
        <w:numPr>
          <w:ilvl w:val="3"/>
          <w:numId w:val="37"/>
        </w:numPr>
        <w:rPr>
          <w:noProof/>
        </w:rPr>
      </w:pPr>
      <w:r>
        <w:rPr>
          <w:noProof/>
        </w:rPr>
        <w:lastRenderedPageBreak/>
        <w:t>il-mitigazzjoni tat-tibdil fil-klima, meta dik l-attività twassal għal emissjonijiet sinifikanti tal-gassijiet serra;</w:t>
      </w:r>
    </w:p>
    <w:p>
      <w:pPr>
        <w:pStyle w:val="Point1letter"/>
        <w:rPr>
          <w:noProof/>
        </w:rPr>
      </w:pPr>
      <w:r>
        <w:rPr>
          <w:noProof/>
        </w:rPr>
        <w:t>l-adattament għat-tibdil fil-klima, meta dik l-attività twassal għal żieda fl-effett negattiv tal-klima attwali u mistennija, għall-ambjent naturali u mibni u lil hinn minnu li fih isseħħ l-attività;</w:t>
      </w:r>
    </w:p>
    <w:p>
      <w:pPr>
        <w:pStyle w:val="Point1letter"/>
        <w:rPr>
          <w:noProof/>
        </w:rPr>
      </w:pPr>
      <w:r>
        <w:rPr>
          <w:noProof/>
        </w:rPr>
        <w:t>l-użu sostenibbli u l-protezzjoni tal-ilma u tar-riżorsi marini, meta dik l-attività tkun ta’ detriment sa punt sinifikanti għall-istatus tajjeb tal-ilmijiet tal-Unjoni, inklużi l-ilma ħelu, l-ilmijiet temporanji u l-ilmijiet kostali, jew għall-istatus ambjentali tajjeb tal-ilmijiet marini tal-Unjoni;</w:t>
      </w:r>
    </w:p>
    <w:p>
      <w:pPr>
        <w:pStyle w:val="Point1letter"/>
        <w:rPr>
          <w:noProof/>
        </w:rPr>
      </w:pPr>
      <w:r>
        <w:rPr>
          <w:noProof/>
        </w:rPr>
        <w:t>l-ekonomija ċirkolari u l-prevenzjoni u r-riċiklaġġ tal-iskart, meta dik l-attività twassal għal ineffiċjenzi sinifikanti fl-użu ta’ materjali f’wieħed mill-istadji taċ-ċiklu tal-ħajja tal-prodotti jew aktar, inkluż f’termini tad-durabbiltà, il-kapaċità ta’ tiswija, ta’ aġġornament, ta’ użu mill-ġdid jew ta’ riċiklaġġ ta’ prodotti; jew meta dik l-attività twassal għal żieda sinifikanti fil-ġenerazzjoni, fl-inċinerazzjoni jew fir-rimi tal-iskart;</w:t>
      </w:r>
    </w:p>
    <w:p>
      <w:pPr>
        <w:pStyle w:val="Point1letter"/>
        <w:rPr>
          <w:noProof/>
        </w:rPr>
      </w:pPr>
      <w:r>
        <w:rPr>
          <w:noProof/>
        </w:rPr>
        <w:t>il-prevenzjoni u l-kontroll tat-tniġġis meta dik l-attività twassal għal żieda sinifikanti fl-emissjonijiet ta’ inkwinanti għall-arja, għall-ilma u għall-art, meta mqabbla mas-sitwazzjoni qabel ma tkun bdiet din l-attività;</w:t>
      </w:r>
    </w:p>
    <w:p>
      <w:pPr>
        <w:pStyle w:val="Point1letter"/>
        <w:rPr>
          <w:noProof/>
        </w:rPr>
      </w:pPr>
      <w:r>
        <w:rPr>
          <w:noProof/>
        </w:rPr>
        <w:t>l-ekosistemi b’saħħithom, meta dik l-attività tkun ta’ detriment sa punt sinifikanti għall-kundizzjoni tajba tal-ekosistemi.</w:t>
      </w:r>
    </w:p>
    <w:p>
      <w:pPr>
        <w:pStyle w:val="Titrearticle"/>
        <w:rPr>
          <w:noProof/>
        </w:rPr>
      </w:pPr>
      <w:r>
        <w:rPr>
          <w:noProof/>
        </w:rPr>
        <w:t>Artikolu 13</w:t>
      </w:r>
      <w:r>
        <w:rPr>
          <w:noProof/>
        </w:rPr>
        <w:br/>
        <w:t>Salvagwardji minimi</w:t>
      </w:r>
    </w:p>
    <w:p>
      <w:pPr>
        <w:rPr>
          <w:noProof/>
        </w:rPr>
      </w:pPr>
      <w:r>
        <w:rPr>
          <w:noProof/>
        </w:rPr>
        <w:t xml:space="preserve">Is-salvagwardji minimi msemmija fl-Artikolu 3(c) għandhom ikunu proċeduri implimentati mill-impriża li tkun qed twettaq attività ekonomika biex tiżgura li jiġu osservati l-prinċiipji u d-drittijiet stabbiliti fit-tmien konvenzjonijiet fundamentali identifikati fid-dikjarazzjoni tal-Organizzazzjoni Internazzjonali tax-Xogħol dwar id-Drittijiet u l-Prinċipji Fundamentali fuq il-Post tax-Xogħol, jiġifieri: id-dritt li ma jkunux soġġetti għal xogħol furzat, il-libertà ta’ assoċjazzjoni, id-dritt għall-organizzazzjoni tal-ħaddiema, id-dritt ta’ negozjar kollettiv, ir-remunerazzjoni ugwali għal ħaddiema rġiel u nisa għal xogħol ta’ valur ugwali, in-nondiskriminazzjoni fl-opportunità u t-trattament fir-rigward tal-impjiegi u tal-professjoni, kif ukoll id-dritt li ma jkunux soġġetti għat-tħaddim tat-tfal. </w:t>
      </w:r>
    </w:p>
    <w:p>
      <w:pPr>
        <w:pStyle w:val="Titrearticle"/>
        <w:rPr>
          <w:noProof/>
        </w:rPr>
      </w:pPr>
      <w:r>
        <w:rPr>
          <w:noProof/>
        </w:rPr>
        <w:t>Artikolu 14</w:t>
      </w:r>
      <w:r>
        <w:rPr>
          <w:noProof/>
        </w:rPr>
        <w:br/>
        <w:t xml:space="preserve">Rekwiżiti għal kriterji tekniċi ta’ skrinjar </w:t>
      </w:r>
    </w:p>
    <w:p>
      <w:pPr>
        <w:pStyle w:val="ManualNumPar1"/>
        <w:rPr>
          <w:noProof/>
        </w:rPr>
      </w:pPr>
      <w:r>
        <w:t>1.</w:t>
      </w:r>
      <w:r>
        <w:tab/>
      </w:r>
      <w:r>
        <w:rPr>
          <w:noProof/>
        </w:rPr>
        <w:t>Il-kriterji tekniċi ta’ skrinjar, adottati f’konformità mal-Artikoli 6(2), 7(2), 8(2), 9(2), 10(2) u 11(2), għandhom:</w:t>
      </w:r>
    </w:p>
    <w:p>
      <w:pPr>
        <w:pStyle w:val="Point1letter"/>
        <w:numPr>
          <w:ilvl w:val="3"/>
          <w:numId w:val="39"/>
        </w:numPr>
        <w:rPr>
          <w:noProof/>
        </w:rPr>
      </w:pPr>
      <w:r>
        <w:rPr>
          <w:noProof/>
        </w:rPr>
        <w:t>jidentifikaw l-aktar kontribuzzjonijiet potenzjali rilevanti għall-objettiv ambjentali partikolari, u jqisu mhux biss l-impatti fuq terminu qasir iżda anke l-impatti fuq terminu itwal ta’ attività ekonomika speċifika;</w:t>
      </w:r>
    </w:p>
    <w:p>
      <w:pPr>
        <w:pStyle w:val="Point1letter"/>
        <w:rPr>
          <w:noProof/>
        </w:rPr>
      </w:pPr>
      <w:r>
        <w:rPr>
          <w:noProof/>
        </w:rPr>
        <w:t>jispeċifikaw ir-rekwiżiti minimi li jenħtieġ li jiġu ssodisfati biex tiġi evitata ħsara sinifikanti għal kwalunkwe waħda mill-objettivi ambjentali rilevanti;</w:t>
      </w:r>
    </w:p>
    <w:p>
      <w:pPr>
        <w:pStyle w:val="Point1letter"/>
        <w:rPr>
          <w:noProof/>
        </w:rPr>
      </w:pPr>
      <w:r>
        <w:rPr>
          <w:noProof/>
        </w:rPr>
        <w:t>ikunu kwalitattivi jew kwantitattivi, jew it-tnejn li huma, u jinkludu livelli limiti meta possibbli;</w:t>
      </w:r>
    </w:p>
    <w:p>
      <w:pPr>
        <w:pStyle w:val="Point1letter"/>
        <w:rPr>
          <w:noProof/>
        </w:rPr>
      </w:pPr>
      <w:r>
        <w:rPr>
          <w:noProof/>
        </w:rPr>
        <w:t xml:space="preserve">fejn xieraq, jibnu fuq l-iskemi ta’ tikkettar u ċertifikazzjoni tal-Unjoni, fuq metodoloġiji tal-Unjoni għall-valutazzjoni tal-impronta ambjentali, u fuq is-sistemi </w:t>
      </w:r>
      <w:r>
        <w:rPr>
          <w:noProof/>
        </w:rPr>
        <w:lastRenderedPageBreak/>
        <w:t>ta’ klassifikazzjoni statistika tal-Unjoni, u jqisu kull leġiżlazzjoni tal-Unjoni eżistenti rilevanti;</w:t>
      </w:r>
    </w:p>
    <w:p>
      <w:pPr>
        <w:pStyle w:val="Point1letter"/>
        <w:rPr>
          <w:noProof/>
        </w:rPr>
      </w:pPr>
      <w:r>
        <w:rPr>
          <w:noProof/>
        </w:rPr>
        <w:t>ikunu bbażati fuq evidenza xjentifika konklużiva u jqisu, meta rilevanti, l-prinċipju ta’ prekawzjoni stabbilit fl-Artikolu 191 tat-TFUE;</w:t>
      </w:r>
    </w:p>
    <w:p>
      <w:pPr>
        <w:pStyle w:val="Point1letter"/>
        <w:rPr>
          <w:noProof/>
        </w:rPr>
      </w:pPr>
      <w:r>
        <w:rPr>
          <w:noProof/>
        </w:rPr>
        <w:t>iqisu l-impatti ambjentali tal-attività ekonomika nnifisha, kif ukoll il-prodotti u s-servizzi pprovduti minn dik l-attività ekonomika, speċjalment billi jitqiesu l-produzzjoni, l-użu u t-tmiem tal-ħajja tagħhom;</w:t>
      </w:r>
    </w:p>
    <w:p>
      <w:pPr>
        <w:pStyle w:val="Point1letter"/>
        <w:rPr>
          <w:noProof/>
        </w:rPr>
      </w:pPr>
      <w:r>
        <w:rPr>
          <w:noProof/>
        </w:rPr>
        <w:t>iqisu n-natura u l-iskala tal-attività ekonomika;</w:t>
      </w:r>
    </w:p>
    <w:p>
      <w:pPr>
        <w:pStyle w:val="Point1letter"/>
        <w:rPr>
          <w:noProof/>
        </w:rPr>
      </w:pPr>
      <w:r>
        <w:rPr>
          <w:noProof/>
        </w:rPr>
        <w:t xml:space="preserve">iqisu l-impatt potenzjali fuq il-likwidità fis-suq, ir-riskju li ċerti assi ma jiġux irkuprati bħala riżultat li jintilef il-valur minħabba t-tranżizzjoni għal ekonomija aktar sostenibbli, kif ukoll ir-riskju li jinħolqu inċentivi inkonsistenti; </w:t>
      </w:r>
    </w:p>
    <w:p>
      <w:pPr>
        <w:pStyle w:val="Point1letter"/>
        <w:rPr>
          <w:noProof/>
        </w:rPr>
      </w:pPr>
      <w:r>
        <w:rPr>
          <w:noProof/>
        </w:rPr>
        <w:t>ikopru l-attivitajiet ekonomiċi rilevanti kollha f’settur speċifiku u jiżguraw li dawk l-attivitajiet kollha jkunu trattati b’mod ugwali lejn objettiv ambjentali wieħed jew aktar, biex tiġi evitata d-distorsjoni tal-kompetizjoni fis-suq;</w:t>
      </w:r>
    </w:p>
    <w:p>
      <w:pPr>
        <w:pStyle w:val="Point1letter"/>
        <w:rPr>
          <w:noProof/>
        </w:rPr>
      </w:pPr>
      <w:r>
        <w:rPr>
          <w:noProof/>
        </w:rPr>
        <w:t>ikunu stabbiliti biex jiffaċilitaw il-verifika ta’ konformità ma’ dawk il-kriterji kull fejn possibbli.</w:t>
      </w:r>
    </w:p>
    <w:p>
      <w:pPr>
        <w:pStyle w:val="ManualNumPar1"/>
        <w:rPr>
          <w:noProof/>
        </w:rPr>
      </w:pPr>
      <w:r>
        <w:t>2.</w:t>
      </w:r>
      <w:r>
        <w:tab/>
      </w:r>
      <w:r>
        <w:rPr>
          <w:noProof/>
        </w:rPr>
        <w:t xml:space="preserve">Il-kriterji tekniċi ta’ skrinjar imsemmija fil-paragrafu 1 għandhom jinkludu wkoll kriterji għal attivitajiet relatati mat-tranżizzjoni għall-enerġija nadifa, b’mod partikolari l-effiċjenza enerġetika u l-enerġija rinnovabbli, sa fejn dawn jikkontribwixxu b’mod sostanzjali għal kwalunkwe wieħed mill-objettivi ambjentali. </w:t>
      </w:r>
    </w:p>
    <w:p>
      <w:pPr>
        <w:pStyle w:val="ManualNumPar1"/>
        <w:rPr>
          <w:noProof/>
        </w:rPr>
      </w:pPr>
      <w:r>
        <w:t>3.</w:t>
      </w:r>
      <w:r>
        <w:tab/>
      </w:r>
      <w:r>
        <w:rPr>
          <w:noProof/>
        </w:rPr>
        <w:t>Il-kriterji tekniċi ta’ skrinjar imsemmija fil-paragrafu 1 għandhom jinkludu wkoll kriterji għal attivitajiet relatati mal-qlib għall-mobbiltà nadifa jew newtrali mil-lat ta’ klima, inkluż permezz ta’ bidla modali, miżuri ta’ effiċjenza u fjuwils alternattivi, sa fejn dawn jikkontribwixxu b’mod sostanzjali għal kwalunkwe wieħed mill-objettivi ambjentali.</w:t>
      </w:r>
    </w:p>
    <w:p>
      <w:pPr>
        <w:pStyle w:val="ManualNumPar1"/>
        <w:rPr>
          <w:noProof/>
        </w:rPr>
      </w:pPr>
      <w:r>
        <w:t>4.</w:t>
      </w:r>
      <w:r>
        <w:tab/>
      </w:r>
      <w:r>
        <w:rPr>
          <w:noProof/>
        </w:rPr>
        <w:t>Il-Kummissjoni għandha tirrieżamina b’mod regolari l-kriterji ta’ skrinjar imsemmija fil-paragrafu 1 u, jekk xieraq, temenda l-atti delegati adottati skont dan ir-Regolament f’konformità mal-iżviluppi xjentifiċi u teknoloġiċi.</w:t>
      </w:r>
    </w:p>
    <w:p>
      <w:pPr>
        <w:pStyle w:val="Titrearticle"/>
        <w:rPr>
          <w:noProof/>
        </w:rPr>
      </w:pPr>
      <w:r>
        <w:rPr>
          <w:noProof/>
        </w:rPr>
        <w:t>Artikolu 15</w:t>
      </w:r>
      <w:r>
        <w:rPr>
          <w:noProof/>
        </w:rPr>
        <w:br/>
        <w:t>Pjattaforma dwar Finanzi Sostenibbli</w:t>
      </w:r>
    </w:p>
    <w:p>
      <w:pPr>
        <w:pStyle w:val="ManualNumPar1"/>
        <w:rPr>
          <w:noProof/>
        </w:rPr>
      </w:pPr>
      <w:r>
        <w:t>1.</w:t>
      </w:r>
      <w:r>
        <w:tab/>
      </w:r>
      <w:r>
        <w:rPr>
          <w:noProof/>
        </w:rPr>
        <w:t>Il-Kummissjoni għandha tistabbilixxi Pjattaforma dwar il-finanzi sostenibbli magħmula minn:</w:t>
      </w:r>
    </w:p>
    <w:p>
      <w:pPr>
        <w:pStyle w:val="Point1letter"/>
        <w:numPr>
          <w:ilvl w:val="3"/>
          <w:numId w:val="41"/>
        </w:numPr>
        <w:rPr>
          <w:noProof/>
        </w:rPr>
      </w:pPr>
      <w:r>
        <w:rPr>
          <w:noProof/>
        </w:rPr>
        <w:t>rappreżentanti ta’:</w:t>
      </w:r>
    </w:p>
    <w:p>
      <w:pPr>
        <w:pStyle w:val="Point2"/>
        <w:rPr>
          <w:noProof/>
        </w:rPr>
      </w:pPr>
      <w:r>
        <w:rPr>
          <w:noProof/>
        </w:rPr>
        <w:t>(i)</w:t>
      </w:r>
      <w:r>
        <w:rPr>
          <w:noProof/>
        </w:rPr>
        <w:tab/>
        <w:t>l-Aġenzija Ewropea għall-Ambjent;</w:t>
      </w:r>
    </w:p>
    <w:p>
      <w:pPr>
        <w:pStyle w:val="Point2"/>
        <w:rPr>
          <w:noProof/>
        </w:rPr>
      </w:pPr>
      <w:r>
        <w:rPr>
          <w:noProof/>
        </w:rPr>
        <w:t>(ii)</w:t>
      </w:r>
      <w:r>
        <w:rPr>
          <w:noProof/>
        </w:rPr>
        <w:tab/>
        <w:t>l-Awtorità Superviżorja Ewropea;</w:t>
      </w:r>
    </w:p>
    <w:p>
      <w:pPr>
        <w:pStyle w:val="Point2"/>
        <w:rPr>
          <w:noProof/>
        </w:rPr>
      </w:pPr>
      <w:r>
        <w:rPr>
          <w:noProof/>
        </w:rPr>
        <w:t>(iii)</w:t>
      </w:r>
      <w:r>
        <w:rPr>
          <w:noProof/>
        </w:rPr>
        <w:tab/>
        <w:t>il-Bank Ewropew tal-Investiment u l-Fond Ewropew tal-Investiment;</w:t>
      </w:r>
    </w:p>
    <w:p>
      <w:pPr>
        <w:pStyle w:val="Point1letter"/>
        <w:rPr>
          <w:noProof/>
        </w:rPr>
      </w:pPr>
      <w:r>
        <w:rPr>
          <w:noProof/>
        </w:rPr>
        <w:t>esperti li jirrappreżentaw partijiet ikkonċernati privati rilevanti;</w:t>
      </w:r>
    </w:p>
    <w:p>
      <w:pPr>
        <w:pStyle w:val="Point1letter"/>
        <w:rPr>
          <w:noProof/>
        </w:rPr>
      </w:pPr>
      <w:r>
        <w:rPr>
          <w:noProof/>
        </w:rPr>
        <w:t xml:space="preserve">esperti maħtura f’kapaċità personali, b’għarfien u esperjenza ppruvati fl-oqsma koperti minn dan ir-Regolament. </w:t>
      </w:r>
    </w:p>
    <w:p>
      <w:pPr>
        <w:pStyle w:val="ManualNumPar1"/>
        <w:rPr>
          <w:noProof/>
        </w:rPr>
      </w:pPr>
      <w:r>
        <w:t>2.</w:t>
      </w:r>
      <w:r>
        <w:tab/>
      </w:r>
      <w:r>
        <w:rPr>
          <w:noProof/>
        </w:rPr>
        <w:t>Il-Pjattaforma dwar Finanzi Sostenibbli għandha:</w:t>
      </w:r>
    </w:p>
    <w:p>
      <w:pPr>
        <w:pStyle w:val="Point1letter"/>
        <w:numPr>
          <w:ilvl w:val="3"/>
          <w:numId w:val="42"/>
        </w:numPr>
        <w:rPr>
          <w:noProof/>
        </w:rPr>
      </w:pPr>
      <w:r>
        <w:rPr>
          <w:noProof/>
        </w:rPr>
        <w:t>tavża lill-Kummissjoni dwar il-kriterji tekniċi ta’ skrinjar imsemmija fl-Artikolu 14, u l-ħtieġa possibbli biex jiġu aġġornati dawn il-kriterji;</w:t>
      </w:r>
    </w:p>
    <w:p>
      <w:pPr>
        <w:pStyle w:val="Point1letter"/>
        <w:rPr>
          <w:noProof/>
        </w:rPr>
      </w:pPr>
      <w:r>
        <w:rPr>
          <w:noProof/>
        </w:rPr>
        <w:t>tanalizza l-impatt tal-kriterji tekniċi ta’ skrinjar f’termini tal-kostijiet u l-benefiċċji potenzjali tal-applikazzjoni tagħhom;</w:t>
      </w:r>
    </w:p>
    <w:p>
      <w:pPr>
        <w:pStyle w:val="Point1letter"/>
        <w:rPr>
          <w:noProof/>
        </w:rPr>
      </w:pPr>
      <w:r>
        <w:rPr>
          <w:noProof/>
        </w:rPr>
        <w:lastRenderedPageBreak/>
        <w:t xml:space="preserve">tassisti lill-Kummissjoni biex tanalizza t-talbiet minn partijiet ikkonċernati biex tiżviluppa jew tirrevedi kriterji tekniċi ta’ skrinjar għal attività ekonomika partikolari; </w:t>
      </w:r>
    </w:p>
    <w:p>
      <w:pPr>
        <w:pStyle w:val="Point1letter"/>
        <w:rPr>
          <w:noProof/>
        </w:rPr>
      </w:pPr>
      <w:r>
        <w:rPr>
          <w:noProof/>
        </w:rPr>
        <w:t xml:space="preserve">tavża lill-Kummissjoni dwar is-sostenibbiltà tal-kriterji tekniċi ta’ skrinjar għal użi ulterjuri possibbli; </w:t>
      </w:r>
    </w:p>
    <w:p>
      <w:pPr>
        <w:pStyle w:val="Point1letter"/>
        <w:rPr>
          <w:noProof/>
        </w:rPr>
      </w:pPr>
      <w:r>
        <w:rPr>
          <w:noProof/>
        </w:rPr>
        <w:t>timmonitorja u tirrapporta regolarment lill-Kummissjoni dwar flussi ta’ kapital lejn investiment sostenibbli;</w:t>
      </w:r>
    </w:p>
    <w:p>
      <w:pPr>
        <w:pStyle w:val="Point1letter"/>
        <w:rPr>
          <w:noProof/>
        </w:rPr>
      </w:pPr>
      <w:r>
        <w:rPr>
          <w:noProof/>
        </w:rPr>
        <w:t>tavża lill-Kummissjoni dwar il-ħtieġa possibbli biex jiġi emendat ir-Regolament.</w:t>
      </w:r>
    </w:p>
    <w:p>
      <w:pPr>
        <w:pStyle w:val="ManualNumPar1"/>
        <w:rPr>
          <w:noProof/>
        </w:rPr>
      </w:pPr>
      <w:r>
        <w:t>3.</w:t>
      </w:r>
      <w:r>
        <w:tab/>
      </w:r>
      <w:r>
        <w:rPr>
          <w:noProof/>
        </w:rPr>
        <w:t>Il-Pjattaforma dwar Finanzi Sostenibbli għandha tkun ippreseduta mill-Kummissjoni.</w:t>
      </w:r>
    </w:p>
    <w:p>
      <w:pPr>
        <w:pStyle w:val="Titrearticle"/>
        <w:rPr>
          <w:noProof/>
        </w:rPr>
      </w:pPr>
      <w:r>
        <w:rPr>
          <w:noProof/>
        </w:rPr>
        <w:t>Artikolu 16</w:t>
      </w:r>
      <w:r>
        <w:rPr>
          <w:noProof/>
        </w:rPr>
        <w:br/>
        <w:t xml:space="preserve">Eżerċizzju tad-delega </w:t>
      </w:r>
    </w:p>
    <w:p>
      <w:pPr>
        <w:pStyle w:val="ManualNumPar1"/>
        <w:rPr>
          <w:noProof/>
        </w:rPr>
      </w:pPr>
      <w:r>
        <w:t>1.</w:t>
      </w:r>
      <w:r>
        <w:tab/>
      </w:r>
      <w:r>
        <w:rPr>
          <w:noProof/>
        </w:rPr>
        <w:t>Is-setgħa ta' adozzjoni ta' atti delegati hija mogħtija lill-Kummissjoni soġġetta għall-kondizzjonijiet stipulati f'dan l-Artikolu.</w:t>
      </w:r>
    </w:p>
    <w:p>
      <w:pPr>
        <w:pStyle w:val="ManualNumPar1"/>
        <w:rPr>
          <w:noProof/>
        </w:rPr>
      </w:pPr>
      <w:r>
        <w:t>2.</w:t>
      </w:r>
      <w:r>
        <w:tab/>
      </w:r>
      <w:r>
        <w:rPr>
          <w:noProof/>
        </w:rPr>
        <w:t>Is-setgħa li tadotta atti delegati msemmija fl-Artikoli 4(3), 6(2), 7(2), 8(2), 9(2), 10(2), u 11(2) għandha tingħata lill-Kummissjoni għal perjodu indeterminat minn [Data ta’ dħul fis-seħħ ta’ dan ir-Regolament].</w:t>
      </w:r>
    </w:p>
    <w:p>
      <w:pPr>
        <w:pStyle w:val="ManualNumPar1"/>
        <w:rPr>
          <w:noProof/>
        </w:rPr>
      </w:pPr>
      <w:r>
        <w:t>3.</w:t>
      </w:r>
      <w:r>
        <w:tab/>
      </w:r>
      <w:r>
        <w:rPr>
          <w:noProof/>
        </w:rPr>
        <w:t>Id-delega tas-setgħat imsemmija fil-paragrafu 2 tista’ tiġi revokata fi kwalunkwe mument mill-Parlament Ewropew jew mill-Kunsill. Id-deċiżjoni ta’ revoka għandha ttemm id-delega tas-setgħa speċifikata f’dik id-deċiżjoni. Għandha ssir effettiva fil-jum ta’ wara l-pubblikazzjoni tad-deċiżjoni f’</w:t>
      </w:r>
      <w:r>
        <w:rPr>
          <w:i/>
          <w:noProof/>
        </w:rPr>
        <w:t>Il-Ġurnal Uffiċjali tal-Unjoni Ewropea</w:t>
      </w:r>
      <w:r>
        <w:rPr>
          <w:noProof/>
        </w:rPr>
        <w:t xml:space="preserve"> jew f’data aktar tard speċifikata hemmhekk. Din ma għandha taffettwa l-validità ta’ ebda att delegat diġà fis-seħħ.</w:t>
      </w:r>
    </w:p>
    <w:p>
      <w:pPr>
        <w:pStyle w:val="ManualNumPar1"/>
        <w:rPr>
          <w:noProof/>
        </w:rPr>
      </w:pPr>
      <w:r>
        <w:t>4.</w:t>
      </w:r>
      <w:r>
        <w:tab/>
      </w:r>
      <w:r>
        <w:rPr>
          <w:noProof/>
        </w:rPr>
        <w:t>Qabel ma tadotta att delegat, il-Kummissjoni għandha tikkonsulta esperti nominati minn kull Stat Membru f'konformità mal-prinċipji stabbiliti fil-Ftehim Interistituzzjonali tat-13 ta' April 2016 dwar it-Tfassil Aħjar tal-Liġijiet.</w:t>
      </w:r>
    </w:p>
    <w:p>
      <w:pPr>
        <w:pStyle w:val="ManualNumPar1"/>
        <w:rPr>
          <w:noProof/>
        </w:rPr>
      </w:pPr>
      <w:r>
        <w:t>5.</w:t>
      </w:r>
      <w:r>
        <w:tab/>
      </w:r>
      <w:r>
        <w:rPr>
          <w:noProof/>
        </w:rPr>
        <w:t>Hekk kif tadotta att delegat, il-Kummissjoni tinnotifikah simultanjament lill-Parlament Ewropew u lill-Kunsill.</w:t>
      </w:r>
    </w:p>
    <w:p>
      <w:pPr>
        <w:pStyle w:val="ManualNumPar1"/>
        <w:rPr>
          <w:noProof/>
        </w:rPr>
      </w:pPr>
      <w:r>
        <w:t>6.</w:t>
      </w:r>
      <w:r>
        <w:tab/>
      </w:r>
      <w:r>
        <w:rPr>
          <w:noProof/>
        </w:rPr>
        <w:t>Att delegat adottat skont l-Artikoli 4(3), 6(2), 7(2), 8(2), 9(2), 10(2) u 11(2) għandu jidħol fis-seħħ biss jekk la l-Parlament Ewropew u lanqas il-Kunsill ma jesprimu oġġezzjoni fi żmien xahrejn min-notifika ta' dak l-att lill-Parlament Ewropew u lill-Kunsill jew jekk, qabel l-iskadenza ta' dak il-perjodu, kemm il-Parlament Ewropew kif ukoll il-Kunsill ikunu infurmaw lill-Kummissjoni li mhumiex se joġġezzjonaw. Dak il-perjodu għandu jiġi estiż b'xahrejn fuq inizjattiva tal-Parlament Ewropew jew il-Kunsill.</w:t>
      </w:r>
    </w:p>
    <w:p>
      <w:pPr>
        <w:pStyle w:val="ChapterTitle"/>
        <w:rPr>
          <w:noProof/>
        </w:rPr>
      </w:pPr>
      <w:r>
        <w:rPr>
          <w:noProof/>
        </w:rPr>
        <w:t>Kapitolu II</w:t>
      </w:r>
    </w:p>
    <w:p>
      <w:pPr>
        <w:pStyle w:val="ChapterTitle"/>
        <w:rPr>
          <w:noProof/>
        </w:rPr>
      </w:pPr>
      <w:r>
        <w:rPr>
          <w:noProof/>
        </w:rPr>
        <w:t>Dispożizzjonijiet finali</w:t>
      </w:r>
    </w:p>
    <w:p>
      <w:pPr>
        <w:pStyle w:val="Titrearticle"/>
        <w:rPr>
          <w:noProof/>
        </w:rPr>
      </w:pPr>
      <w:r>
        <w:rPr>
          <w:noProof/>
        </w:rPr>
        <w:t>Artikolu 17</w:t>
      </w:r>
      <w:r>
        <w:rPr>
          <w:noProof/>
        </w:rPr>
        <w:br/>
        <w:t>Klawsola ta’ rieżami</w:t>
      </w:r>
    </w:p>
    <w:p>
      <w:pPr>
        <w:pStyle w:val="ManualNumPar1"/>
        <w:rPr>
          <w:noProof/>
        </w:rPr>
      </w:pPr>
      <w:r>
        <w:t>1.</w:t>
      </w:r>
      <w:r>
        <w:tab/>
      </w:r>
      <w:r>
        <w:rPr>
          <w:noProof/>
        </w:rPr>
        <w:t>Sal-31 ta’ Diċembru 2021 u sussegwentement kull tliet snin wara, il-Kummissjoni għandha tippubblika rapport dwar l-applikazzjoni ta’ dan ir-Regolament. Dak ir-rapport għandu jevalwa:</w:t>
      </w:r>
    </w:p>
    <w:p>
      <w:pPr>
        <w:pStyle w:val="Point1letter"/>
        <w:numPr>
          <w:ilvl w:val="3"/>
          <w:numId w:val="6"/>
        </w:numPr>
        <w:rPr>
          <w:noProof/>
        </w:rPr>
      </w:pPr>
      <w:r>
        <w:rPr>
          <w:noProof/>
        </w:rPr>
        <w:t>il-progress dwar l-implimentazzjoni ta’ dan ir-Regolament fir-rigward tal-iżvilupp tal-kriterji tekniċi ta’ skrinjar għal attivitajiet ekonomiċi ambjentalment sostenibbli;</w:t>
      </w:r>
    </w:p>
    <w:p>
      <w:pPr>
        <w:pStyle w:val="Point1letter"/>
        <w:rPr>
          <w:noProof/>
        </w:rPr>
      </w:pPr>
      <w:r>
        <w:rPr>
          <w:noProof/>
        </w:rPr>
        <w:lastRenderedPageBreak/>
        <w:t xml:space="preserve">il-ħtieġa possibbli li jiġu riveduti l-kriterji stabbiliti f’dan ir-Regolament biex titqies attività ekonomika ambjentalment sostenibbli; </w:t>
      </w:r>
    </w:p>
    <w:p>
      <w:pPr>
        <w:pStyle w:val="Point1letter"/>
        <w:rPr>
          <w:noProof/>
        </w:rPr>
      </w:pPr>
      <w:r>
        <w:rPr>
          <w:noProof/>
        </w:rPr>
        <w:t>l-adegwatezza li jiġi estiż il-kamp ta’ applikazzjoni ta’ dan ir-Regolament biex ikopri objettivi oħrajn dwar is-sostenibbiltà, b’mod partikolari objettivi soċjali;</w:t>
      </w:r>
    </w:p>
    <w:p>
      <w:pPr>
        <w:pStyle w:val="Point1letter"/>
        <w:rPr>
          <w:noProof/>
        </w:rPr>
      </w:pPr>
      <w:r>
        <w:rPr>
          <w:noProof/>
        </w:rPr>
        <w:t>l-użu tad-definizzjoni ta’ investiment ambjentalment sostenibbli fid-dritt tal-Unjoni, u fil-livell tal-Istat Membru, inkluża l-adegwatezza tat-twaqqif ta’ mekkaniżmu ta’ verifika tal-konformità mal-kriterji stabbiliti f’dan ir-Regolament.</w:t>
      </w:r>
    </w:p>
    <w:p>
      <w:pPr>
        <w:pStyle w:val="ManualNumPar1"/>
        <w:rPr>
          <w:noProof/>
        </w:rPr>
      </w:pPr>
      <w:r>
        <w:t>2.</w:t>
      </w:r>
      <w:r>
        <w:tab/>
      </w:r>
      <w:r>
        <w:rPr>
          <w:noProof/>
        </w:rPr>
        <w:t xml:space="preserve">Ir-rapport għandu jintbagħat lill-Parlament Ewropew u lill-Kunsill. Il-Kummissjoni għandha tagħmel proposti ta’ akkumpanjament meta jkun xieraq. </w:t>
      </w:r>
    </w:p>
    <w:p>
      <w:pPr>
        <w:pStyle w:val="Titrearticle"/>
        <w:rPr>
          <w:noProof/>
        </w:rPr>
      </w:pPr>
      <w:r>
        <w:rPr>
          <w:noProof/>
        </w:rPr>
        <w:t>Artikolu 18</w:t>
      </w:r>
      <w:r>
        <w:rPr>
          <w:noProof/>
        </w:rPr>
        <w:br/>
        <w:t>Dħul fis-seħħ u applikazzjoni</w:t>
      </w:r>
    </w:p>
    <w:p>
      <w:pPr>
        <w:pStyle w:val="ManualNumPar1"/>
        <w:rPr>
          <w:noProof/>
        </w:rPr>
      </w:pPr>
      <w:r>
        <w:t>1.</w:t>
      </w:r>
      <w:r>
        <w:tab/>
      </w:r>
      <w:r>
        <w:rPr>
          <w:noProof/>
        </w:rPr>
        <w:t>Dan ir-Regolament għandu jidħol fis-seħħ fl-għoxrin jum wara dak tal-pubblikazzjoni tiegħu f'</w:t>
      </w:r>
      <w:r>
        <w:rPr>
          <w:i/>
          <w:noProof/>
        </w:rPr>
        <w:t>Il-Ġurnal Uffiċjali tal-Unjoni Ewropea</w:t>
      </w:r>
      <w:r>
        <w:rPr>
          <w:noProof/>
        </w:rPr>
        <w:t>.</w:t>
      </w:r>
    </w:p>
    <w:p>
      <w:pPr>
        <w:pStyle w:val="ManualNumPar1"/>
        <w:rPr>
          <w:noProof/>
        </w:rPr>
      </w:pPr>
      <w:r>
        <w:t>2.</w:t>
      </w:r>
      <w:r>
        <w:tab/>
      </w:r>
      <w:r>
        <w:rPr>
          <w:noProof/>
        </w:rPr>
        <w:t>Għandhom japplikaw l-Artikoli 3 sa 13 ta' dan ir-Regolament:</w:t>
      </w:r>
    </w:p>
    <w:p>
      <w:pPr>
        <w:pStyle w:val="Point1letter"/>
        <w:numPr>
          <w:ilvl w:val="3"/>
          <w:numId w:val="46"/>
        </w:numPr>
        <w:rPr>
          <w:noProof/>
        </w:rPr>
      </w:pPr>
      <w:r>
        <w:rPr>
          <w:noProof/>
        </w:rPr>
        <w:t xml:space="preserve">fir-rigward tal-objettivi ambjentali msemmija fil-punti (1) u (2) tal-Artikolu 5, mill-1 ta’ Lulju 2020; </w:t>
      </w:r>
    </w:p>
    <w:p>
      <w:pPr>
        <w:pStyle w:val="Point1letter"/>
        <w:rPr>
          <w:noProof/>
        </w:rPr>
      </w:pPr>
      <w:r>
        <w:rPr>
          <w:noProof/>
        </w:rPr>
        <w:t>fir-rigward tal-objettivi ambjentali msemmija fil-punti (4) u (5) tal-Artikolu 5, mill-31 ta’ Diċembru 2021;</w:t>
      </w:r>
    </w:p>
    <w:p>
      <w:pPr>
        <w:pStyle w:val="Point1letter"/>
        <w:rPr>
          <w:noProof/>
        </w:rPr>
      </w:pPr>
      <w:r>
        <w:rPr>
          <w:noProof/>
        </w:rPr>
        <w:t>fir-rigward tal-objettivi ambjentali msemmija fil-punti (3) u (6) tal-Artikolu 5, mill-31 ta’ Diċembru 2022.</w:t>
      </w:r>
    </w:p>
    <w:p>
      <w:pPr>
        <w:pStyle w:val="Applicationdirecte"/>
        <w:rPr>
          <w:noProof/>
        </w:rPr>
      </w:pPr>
      <w:r>
        <w:rPr>
          <w:noProof/>
        </w:rPr>
        <w:t xml:space="preserve">Dan ir-Regolament għandu jorbot fl-intier tiegħu u japplika direttament fl-Istati Membri kollha. </w:t>
      </w: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p>
      <w:pPr>
        <w:spacing w:before="0" w:after="200" w:line="276" w:lineRule="auto"/>
        <w:jc w:val="left"/>
        <w:rPr>
          <w:b/>
          <w:i/>
          <w:noProof/>
        </w:rPr>
      </w:pPr>
      <w:r>
        <w:rPr>
          <w:noProof/>
        </w:rPr>
        <w:br w:type="page"/>
      </w:r>
    </w:p>
    <w:p>
      <w:pPr>
        <w:pStyle w:val="Fichefinanciretitre"/>
        <w:rPr>
          <w:noProof/>
        </w:rPr>
      </w:pPr>
      <w:r>
        <w:rPr>
          <w:noProof/>
        </w:rPr>
        <w:lastRenderedPageBreak/>
        <w:t xml:space="preserve">DIKJARAZZJONI FINANZJARJA LEĠIŻLATTIVA </w:t>
      </w:r>
    </w:p>
    <w:p>
      <w:pPr>
        <w:pStyle w:val="ManualHeading1"/>
        <w:rPr>
          <w:noProof/>
        </w:rPr>
      </w:pPr>
      <w:r>
        <w:rPr>
          <w:noProof/>
        </w:rPr>
        <w:t>1.</w:t>
      </w:r>
      <w:r>
        <w:rPr>
          <w:noProof/>
        </w:rPr>
        <w:tab/>
        <w:t xml:space="preserve">QAFAS TAL-PROPOSTA/TAL-INIZJATTIVA </w:t>
      </w:r>
    </w:p>
    <w:p>
      <w:pPr>
        <w:pStyle w:val="ManualHeading2"/>
        <w:rPr>
          <w:b w:val="0"/>
          <w:noProof/>
        </w:rPr>
      </w:pPr>
      <w:r>
        <w:rPr>
          <w:noProof/>
        </w:rPr>
        <w:tab/>
      </w:r>
      <w:r>
        <w:rPr>
          <w:b w:val="0"/>
          <w:noProof/>
        </w:rPr>
        <w:t>1.1.</w:t>
      </w:r>
      <w:r>
        <w:rPr>
          <w:noProof/>
        </w:rPr>
        <w:tab/>
      </w:r>
      <w:r>
        <w:rPr>
          <w:b w:val="0"/>
          <w:noProof/>
        </w:rPr>
        <w:t xml:space="preserve">Titolu tal-proposta/tal-inizjattiva </w:t>
      </w:r>
    </w:p>
    <w:p>
      <w:pPr>
        <w:pStyle w:val="ManualHeading2"/>
        <w:rPr>
          <w:b w:val="0"/>
          <w:noProof/>
        </w:rPr>
      </w:pPr>
      <w:r>
        <w:rPr>
          <w:noProof/>
        </w:rPr>
        <w:tab/>
      </w:r>
      <w:r>
        <w:rPr>
          <w:b w:val="0"/>
          <w:noProof/>
        </w:rPr>
        <w:t>1.2.</w:t>
      </w:r>
      <w:r>
        <w:rPr>
          <w:noProof/>
        </w:rPr>
        <w:tab/>
      </w:r>
      <w:r>
        <w:rPr>
          <w:b w:val="0"/>
          <w:noProof/>
        </w:rPr>
        <w:t>Qasam/Oqsma ta’ politika kkonċernati</w:t>
      </w:r>
    </w:p>
    <w:p>
      <w:pPr>
        <w:pStyle w:val="ManualHeading2"/>
        <w:rPr>
          <w:b w:val="0"/>
          <w:noProof/>
        </w:rPr>
      </w:pPr>
      <w:r>
        <w:rPr>
          <w:noProof/>
        </w:rPr>
        <w:tab/>
      </w:r>
      <w:r>
        <w:rPr>
          <w:b w:val="0"/>
          <w:noProof/>
        </w:rPr>
        <w:t>1.3.</w:t>
      </w:r>
      <w:r>
        <w:rPr>
          <w:noProof/>
        </w:rPr>
        <w:tab/>
      </w:r>
      <w:r>
        <w:rPr>
          <w:b w:val="0"/>
          <w:noProof/>
        </w:rPr>
        <w:t xml:space="preserve">Natura tal-proposta/tal-inizjattiva </w:t>
      </w:r>
    </w:p>
    <w:p>
      <w:pPr>
        <w:pStyle w:val="ManualHeading2"/>
        <w:rPr>
          <w:b w:val="0"/>
          <w:noProof/>
        </w:rPr>
      </w:pPr>
      <w:r>
        <w:rPr>
          <w:noProof/>
        </w:rPr>
        <w:tab/>
      </w:r>
      <w:r>
        <w:rPr>
          <w:b w:val="0"/>
          <w:noProof/>
        </w:rPr>
        <w:t>1.4.</w:t>
      </w:r>
      <w:r>
        <w:rPr>
          <w:noProof/>
        </w:rPr>
        <w:tab/>
      </w:r>
      <w:r>
        <w:rPr>
          <w:b w:val="0"/>
          <w:noProof/>
        </w:rPr>
        <w:t xml:space="preserve">Għan(ijiet) </w:t>
      </w:r>
    </w:p>
    <w:p>
      <w:pPr>
        <w:pStyle w:val="ManualHeading2"/>
        <w:rPr>
          <w:b w:val="0"/>
          <w:noProof/>
        </w:rPr>
      </w:pPr>
      <w:r>
        <w:rPr>
          <w:noProof/>
        </w:rPr>
        <w:tab/>
      </w:r>
      <w:r>
        <w:rPr>
          <w:b w:val="0"/>
          <w:noProof/>
        </w:rPr>
        <w:t>1.5.</w:t>
      </w:r>
      <w:r>
        <w:rPr>
          <w:noProof/>
        </w:rPr>
        <w:tab/>
      </w:r>
      <w:r>
        <w:rPr>
          <w:b w:val="0"/>
          <w:noProof/>
        </w:rPr>
        <w:t xml:space="preserve">Raġunijiet għall-proposta/għall-inizjattiva </w:t>
      </w:r>
    </w:p>
    <w:p>
      <w:pPr>
        <w:pStyle w:val="ManualHeading2"/>
        <w:rPr>
          <w:b w:val="0"/>
          <w:noProof/>
        </w:rPr>
      </w:pPr>
      <w:r>
        <w:rPr>
          <w:noProof/>
        </w:rPr>
        <w:tab/>
      </w:r>
      <w:r>
        <w:rPr>
          <w:b w:val="0"/>
          <w:noProof/>
        </w:rPr>
        <w:t>1.6.</w:t>
      </w:r>
      <w:r>
        <w:rPr>
          <w:noProof/>
        </w:rPr>
        <w:tab/>
      </w:r>
      <w:r>
        <w:rPr>
          <w:b w:val="0"/>
          <w:noProof/>
        </w:rPr>
        <w:t xml:space="preserve">Durata u impatt finanzjarju </w:t>
      </w:r>
    </w:p>
    <w:p>
      <w:pPr>
        <w:pStyle w:val="ManualHeading2"/>
        <w:rPr>
          <w:b w:val="0"/>
          <w:noProof/>
        </w:rPr>
      </w:pPr>
      <w:r>
        <w:rPr>
          <w:noProof/>
        </w:rPr>
        <w:tab/>
      </w:r>
      <w:r>
        <w:rPr>
          <w:b w:val="0"/>
          <w:noProof/>
        </w:rPr>
        <w:t>1.7.</w:t>
      </w:r>
      <w:r>
        <w:rPr>
          <w:noProof/>
        </w:rPr>
        <w:tab/>
      </w:r>
      <w:r>
        <w:rPr>
          <w:b w:val="0"/>
          <w:noProof/>
        </w:rPr>
        <w:t xml:space="preserve">Mod(i) ta’ ġestjoni ppjanat(i) </w:t>
      </w:r>
    </w:p>
    <w:p>
      <w:pPr>
        <w:pStyle w:val="ManualHeading1"/>
        <w:rPr>
          <w:noProof/>
        </w:rPr>
      </w:pPr>
      <w:r>
        <w:rPr>
          <w:noProof/>
        </w:rPr>
        <w:t>2.</w:t>
      </w:r>
      <w:r>
        <w:rPr>
          <w:noProof/>
        </w:rPr>
        <w:tab/>
        <w:t xml:space="preserve">MIŻURI TA’ ĠESTJONI </w:t>
      </w:r>
    </w:p>
    <w:p>
      <w:pPr>
        <w:pStyle w:val="ManualHeading2"/>
        <w:rPr>
          <w:b w:val="0"/>
          <w:noProof/>
        </w:rPr>
      </w:pPr>
      <w:r>
        <w:rPr>
          <w:noProof/>
        </w:rPr>
        <w:tab/>
      </w:r>
      <w:r>
        <w:rPr>
          <w:b w:val="0"/>
          <w:noProof/>
        </w:rPr>
        <w:t>2.1.</w:t>
      </w:r>
      <w:r>
        <w:rPr>
          <w:noProof/>
        </w:rPr>
        <w:tab/>
      </w:r>
      <w:r>
        <w:rPr>
          <w:b w:val="0"/>
          <w:noProof/>
        </w:rPr>
        <w:t xml:space="preserve">Regoli ta’ monitoraġġ u ta’ rapportar </w:t>
      </w:r>
    </w:p>
    <w:p>
      <w:pPr>
        <w:pStyle w:val="ManualHeading2"/>
        <w:rPr>
          <w:b w:val="0"/>
          <w:noProof/>
        </w:rPr>
      </w:pPr>
      <w:r>
        <w:rPr>
          <w:noProof/>
        </w:rPr>
        <w:tab/>
      </w:r>
      <w:r>
        <w:rPr>
          <w:b w:val="0"/>
          <w:noProof/>
        </w:rPr>
        <w:t>2.2.</w:t>
      </w:r>
      <w:r>
        <w:rPr>
          <w:noProof/>
        </w:rPr>
        <w:tab/>
      </w:r>
      <w:r>
        <w:rPr>
          <w:b w:val="0"/>
          <w:noProof/>
        </w:rPr>
        <w:t xml:space="preserve">Sistema ta’ ġestjoni u ta’ kontroll </w:t>
      </w:r>
    </w:p>
    <w:p>
      <w:pPr>
        <w:pStyle w:val="ManualHeading2"/>
        <w:rPr>
          <w:b w:val="0"/>
          <w:noProof/>
        </w:rPr>
      </w:pPr>
      <w:r>
        <w:rPr>
          <w:noProof/>
        </w:rPr>
        <w:tab/>
      </w:r>
      <w:r>
        <w:rPr>
          <w:b w:val="0"/>
          <w:noProof/>
        </w:rPr>
        <w:t>2.3.</w:t>
      </w:r>
      <w:r>
        <w:rPr>
          <w:noProof/>
        </w:rPr>
        <w:tab/>
      </w:r>
      <w:r>
        <w:rPr>
          <w:b w:val="0"/>
          <w:noProof/>
        </w:rPr>
        <w:t xml:space="preserve">Miżuri għall-prevenzjoni ta’ frodi u ta’ irregolaritajiet </w:t>
      </w:r>
    </w:p>
    <w:p>
      <w:pPr>
        <w:pStyle w:val="ManualHeading1"/>
        <w:rPr>
          <w:noProof/>
        </w:rPr>
      </w:pPr>
      <w:r>
        <w:rPr>
          <w:noProof/>
        </w:rPr>
        <w:t>3.</w:t>
      </w:r>
      <w:r>
        <w:rPr>
          <w:noProof/>
        </w:rPr>
        <w:tab/>
        <w:t xml:space="preserve">IMPATT FINANZJARJU STMAT TAL-PROPOSTA/TAL-INIZJATTIVA </w:t>
      </w:r>
    </w:p>
    <w:p>
      <w:pPr>
        <w:pStyle w:val="ManualHeading2"/>
        <w:rPr>
          <w:b w:val="0"/>
          <w:noProof/>
        </w:rPr>
      </w:pPr>
      <w:r>
        <w:rPr>
          <w:noProof/>
        </w:rPr>
        <w:tab/>
      </w:r>
      <w:r>
        <w:rPr>
          <w:b w:val="0"/>
          <w:noProof/>
        </w:rPr>
        <w:t>3.1.</w:t>
      </w:r>
      <w:r>
        <w:rPr>
          <w:noProof/>
        </w:rPr>
        <w:tab/>
      </w:r>
      <w:r>
        <w:rPr>
          <w:b w:val="0"/>
          <w:noProof/>
        </w:rPr>
        <w:t xml:space="preserve">Intestatura/i tal-qafas finanzjarju pluriennali u linja/i baġitarja/i tan-nefqa affettwata/i </w:t>
      </w:r>
    </w:p>
    <w:p>
      <w:pPr>
        <w:pStyle w:val="ManualHeading2"/>
        <w:rPr>
          <w:noProof/>
        </w:rPr>
      </w:pPr>
      <w:r>
        <w:rPr>
          <w:noProof/>
        </w:rPr>
        <w:tab/>
      </w:r>
      <w:r>
        <w:rPr>
          <w:b w:val="0"/>
          <w:noProof/>
        </w:rPr>
        <w:t>3.2.</w:t>
      </w:r>
      <w:r>
        <w:rPr>
          <w:noProof/>
        </w:rPr>
        <w:tab/>
      </w:r>
      <w:r>
        <w:rPr>
          <w:b w:val="0"/>
          <w:noProof/>
        </w:rPr>
        <w:t>Impatt stmat fuq in-nefqa</w:t>
      </w:r>
      <w:r>
        <w:rPr>
          <w:noProof/>
        </w:rPr>
        <w:t xml:space="preserve"> </w:t>
      </w:r>
    </w:p>
    <w:p>
      <w:pPr>
        <w:pStyle w:val="ManualHeading3"/>
        <w:rPr>
          <w:noProof/>
        </w:rPr>
      </w:pPr>
      <w:r>
        <w:rPr>
          <w:noProof/>
        </w:rPr>
        <w:tab/>
        <w:t>3.2.1.</w:t>
      </w:r>
      <w:r>
        <w:rPr>
          <w:noProof/>
        </w:rPr>
        <w:tab/>
        <w:t xml:space="preserve">Sommarju tal-impatt stmat fuq in-nefqa </w:t>
      </w:r>
    </w:p>
    <w:p>
      <w:pPr>
        <w:pStyle w:val="ManualHeading3"/>
        <w:rPr>
          <w:noProof/>
        </w:rPr>
      </w:pPr>
      <w:r>
        <w:rPr>
          <w:noProof/>
        </w:rPr>
        <w:tab/>
        <w:t>3.2.2.</w:t>
      </w:r>
      <w:r>
        <w:rPr>
          <w:noProof/>
        </w:rPr>
        <w:tab/>
        <w:t xml:space="preserve">Impatt stmat fuq l-approprjazzjonijiet tal-[korp] </w:t>
      </w:r>
    </w:p>
    <w:p>
      <w:pPr>
        <w:pStyle w:val="ManualHeading3"/>
        <w:rPr>
          <w:noProof/>
        </w:rPr>
      </w:pPr>
      <w:r>
        <w:rPr>
          <w:noProof/>
        </w:rPr>
        <w:tab/>
        <w:t>3.2.3.</w:t>
      </w:r>
      <w:r>
        <w:rPr>
          <w:noProof/>
        </w:rPr>
        <w:tab/>
        <w:t>Impatt stmat fuq ir-riżorsi umani tal-[korp]</w:t>
      </w:r>
    </w:p>
    <w:p>
      <w:pPr>
        <w:pStyle w:val="ManualHeading3"/>
        <w:rPr>
          <w:noProof/>
        </w:rPr>
      </w:pPr>
      <w:r>
        <w:rPr>
          <w:noProof/>
        </w:rPr>
        <w:tab/>
        <w:t>3.2.4.</w:t>
      </w:r>
      <w:r>
        <w:rPr>
          <w:noProof/>
        </w:rPr>
        <w:tab/>
        <w:t>Kompatibbiltà mal-qafas finanzjarju pluriennali attwali</w:t>
      </w:r>
    </w:p>
    <w:p>
      <w:pPr>
        <w:pStyle w:val="ManualHeading3"/>
        <w:rPr>
          <w:noProof/>
        </w:rPr>
      </w:pPr>
      <w:r>
        <w:rPr>
          <w:noProof/>
        </w:rPr>
        <w:tab/>
        <w:t>3.2.5.</w:t>
      </w:r>
      <w:r>
        <w:rPr>
          <w:noProof/>
        </w:rPr>
        <w:tab/>
        <w:t xml:space="preserve">Kontribuzzjonijiet ta’ partijiet terzi </w:t>
      </w:r>
    </w:p>
    <w:p>
      <w:pPr>
        <w:pStyle w:val="ManualHeading2"/>
        <w:jc w:val="left"/>
        <w:rPr>
          <w:b w:val="0"/>
          <w:noProof/>
        </w:rPr>
      </w:pPr>
      <w:r>
        <w:rPr>
          <w:noProof/>
        </w:rPr>
        <w:tab/>
      </w:r>
      <w:r>
        <w:rPr>
          <w:b w:val="0"/>
          <w:noProof/>
        </w:rPr>
        <w:t>3.3.</w:t>
      </w:r>
      <w:r>
        <w:rPr>
          <w:noProof/>
        </w:rPr>
        <w:tab/>
      </w:r>
      <w:r>
        <w:rPr>
          <w:b w:val="0"/>
          <w:noProof/>
        </w:rPr>
        <w:t>Impatt stmat fuq id-dħul</w:t>
      </w:r>
    </w:p>
    <w:p>
      <w:pPr>
        <w:rPr>
          <w:noProof/>
        </w:rPr>
        <w:sectPr>
          <w:pgSz w:w="11907" w:h="16839" w:code="9"/>
          <w:pgMar w:top="794" w:right="907" w:bottom="851" w:left="1361" w:header="510" w:footer="454" w:gutter="0"/>
          <w:cols w:space="720"/>
          <w:docGrid w:linePitch="326"/>
        </w:sectPr>
      </w:pPr>
    </w:p>
    <w:p>
      <w:pPr>
        <w:jc w:val="center"/>
        <w:rPr>
          <w:b/>
          <w:noProof/>
          <w:u w:val="single"/>
        </w:rPr>
      </w:pPr>
    </w:p>
    <w:p>
      <w:pPr>
        <w:pStyle w:val="ManualHeading1"/>
        <w:rPr>
          <w:bCs/>
          <w:noProof/>
          <w:szCs w:val="24"/>
        </w:rPr>
      </w:pPr>
      <w:r>
        <w:t>1.</w:t>
      </w:r>
      <w:r>
        <w:tab/>
      </w:r>
      <w:r>
        <w:rPr>
          <w:noProof/>
        </w:rPr>
        <w:t xml:space="preserve">QAFAS TAL-PROPOSTA/TAL-INIZJATTIVA </w:t>
      </w:r>
    </w:p>
    <w:p>
      <w:pPr>
        <w:pStyle w:val="ManualHeading2"/>
        <w:rPr>
          <w:bCs/>
          <w:noProof/>
          <w:szCs w:val="24"/>
        </w:rPr>
      </w:pPr>
      <w:r>
        <w:t>1.1.</w:t>
      </w:r>
      <w:r>
        <w:tab/>
      </w:r>
      <w:r>
        <w:rPr>
          <w:noProof/>
        </w:rPr>
        <w:t xml:space="preserve">Titolu tal-proposta/tal-inizjattiva </w:t>
      </w:r>
    </w:p>
    <w:p>
      <w:pPr>
        <w:pStyle w:val="Text1"/>
        <w:pBdr>
          <w:top w:val="single" w:sz="4" w:space="1" w:color="auto"/>
          <w:left w:val="single" w:sz="4" w:space="4" w:color="auto"/>
          <w:bottom w:val="single" w:sz="4" w:space="0" w:color="auto"/>
          <w:right w:val="single" w:sz="4" w:space="4" w:color="auto"/>
        </w:pBdr>
        <w:rPr>
          <w:noProof/>
        </w:rPr>
      </w:pPr>
      <w:r>
        <w:rPr>
          <w:noProof/>
        </w:rPr>
        <w:t>Proposta għal Regolament tal-Parlament Ewropew u tal-Kunsill dwar l-istabbiliment ta’ qafas biex jiġi ffaċilitat l-investiment sostenibbli</w:t>
      </w:r>
    </w:p>
    <w:p>
      <w:pPr>
        <w:pStyle w:val="ManualHeading2"/>
        <w:rPr>
          <w:bCs/>
          <w:noProof/>
          <w:szCs w:val="24"/>
        </w:rPr>
      </w:pPr>
      <w:r>
        <w:t>1.2.</w:t>
      </w:r>
      <w:r>
        <w:tab/>
      </w:r>
      <w:r>
        <w:rPr>
          <w:noProof/>
        </w:rPr>
        <w:t>Qasam/Oqsma ta’ politika kkonċernati</w:t>
      </w:r>
    </w:p>
    <w:p>
      <w:pPr>
        <w:pStyle w:val="Text1"/>
        <w:pBdr>
          <w:top w:val="single" w:sz="4" w:space="1" w:color="auto"/>
          <w:left w:val="single" w:sz="4" w:space="4" w:color="auto"/>
          <w:bottom w:val="single" w:sz="4" w:space="1" w:color="auto"/>
          <w:right w:val="single" w:sz="4" w:space="4" w:color="auto"/>
        </w:pBdr>
        <w:rPr>
          <w:noProof/>
        </w:rPr>
      </w:pPr>
      <w:r>
        <w:rPr>
          <w:noProof/>
        </w:rPr>
        <w:t>Qasam ta’ politika: L-Istabbiltà Finanzjarja, is-Servizzi Finanzjarji u l-Unjoni tas-Swieq Kapitali</w:t>
      </w:r>
    </w:p>
    <w:p>
      <w:pPr>
        <w:pStyle w:val="Text1"/>
        <w:pBdr>
          <w:top w:val="single" w:sz="4" w:space="1" w:color="auto"/>
          <w:left w:val="single" w:sz="4" w:space="4" w:color="auto"/>
          <w:bottom w:val="single" w:sz="4" w:space="1" w:color="auto"/>
          <w:right w:val="single" w:sz="4" w:space="4" w:color="auto"/>
        </w:pBdr>
        <w:tabs>
          <w:tab w:val="left" w:pos="2580"/>
        </w:tabs>
        <w:rPr>
          <w:noProof/>
        </w:rPr>
      </w:pPr>
      <w:r>
        <w:rPr>
          <w:noProof/>
        </w:rPr>
        <w:t>Attività: Finanzi Sostenibbli</w:t>
      </w:r>
    </w:p>
    <w:p>
      <w:pPr>
        <w:pStyle w:val="ManualHeading2"/>
        <w:rPr>
          <w:bCs/>
          <w:noProof/>
          <w:szCs w:val="24"/>
        </w:rPr>
      </w:pPr>
      <w:r>
        <w:t>1.3.</w:t>
      </w:r>
      <w:r>
        <w:tab/>
      </w:r>
      <w:r>
        <w:rPr>
          <w:noProof/>
        </w:rPr>
        <w:t xml:space="preserve">Natura tal-proposta/tal-inizjattiva </w:t>
      </w:r>
    </w:p>
    <w:p>
      <w:pPr>
        <w:pStyle w:val="Text1"/>
        <w:rPr>
          <w:b/>
          <w:noProof/>
        </w:rPr>
      </w:pPr>
      <w:r>
        <w:rPr>
          <w:noProof/>
          <w:sz w:val="22"/>
        </w:rPr>
        <w:sym w:font="Wingdings" w:char="F0FE"/>
      </w:r>
      <w:r>
        <w:rPr>
          <w:b/>
          <w:i/>
          <w:noProof/>
          <w:sz w:val="22"/>
        </w:rPr>
        <w:t xml:space="preserve"> </w:t>
      </w:r>
      <w:r>
        <w:rPr>
          <w:noProof/>
        </w:rPr>
        <w:t xml:space="preserve">Il-proposta/L-inizjattiva hija dwar </w:t>
      </w:r>
      <w:r>
        <w:rPr>
          <w:b/>
          <w:noProof/>
        </w:rPr>
        <w:t xml:space="preserve">azzjoni ġdida </w:t>
      </w:r>
    </w:p>
    <w:p>
      <w:pPr>
        <w:pStyle w:val="Text1"/>
        <w:rPr>
          <w:noProof/>
          <w:sz w:val="22"/>
        </w:rPr>
      </w:pPr>
      <w:r>
        <w:rPr>
          <w:noProof/>
        </w:rPr>
        <w:sym w:font="Wingdings" w:char="F0A8"/>
      </w:r>
      <w:r>
        <w:rPr>
          <w:i/>
          <w:noProof/>
        </w:rPr>
        <w:t xml:space="preserve"> </w:t>
      </w:r>
      <w:r>
        <w:rPr>
          <w:noProof/>
        </w:rPr>
        <w:t xml:space="preserve">Il-proposta/L-inizjattiva hija dwar </w:t>
      </w:r>
      <w:r>
        <w:rPr>
          <w:b/>
          <w:noProof/>
        </w:rPr>
        <w:t>azzjoni ġdida li b’segwitu għal proġett pilota/azzjoni preparatorja</w:t>
      </w:r>
      <w:r>
        <w:rPr>
          <w:rStyle w:val="FootnoteReference"/>
          <w:b/>
          <w:noProof/>
        </w:rPr>
        <w:footnoteReference w:id="56"/>
      </w:r>
      <w:r>
        <w:rPr>
          <w:noProof/>
          <w:sz w:val="22"/>
        </w:rPr>
        <w:t xml:space="preserve"> </w:t>
      </w:r>
    </w:p>
    <w:p>
      <w:pPr>
        <w:pStyle w:val="Text1"/>
        <w:rPr>
          <w:noProof/>
        </w:rPr>
      </w:pPr>
      <w:r>
        <w:rPr>
          <w:noProof/>
        </w:rPr>
        <w:sym w:font="Wingdings" w:char="F0A8"/>
      </w:r>
      <w:r>
        <w:rPr>
          <w:i/>
          <w:noProof/>
        </w:rPr>
        <w:t xml:space="preserve"> </w:t>
      </w:r>
      <w:r>
        <w:rPr>
          <w:noProof/>
        </w:rPr>
        <w:t xml:space="preserve">Il-proposta/L-inizjattiva hija dwar </w:t>
      </w:r>
      <w:r>
        <w:rPr>
          <w:b/>
          <w:noProof/>
        </w:rPr>
        <w:t>l-estensjoni ta’ azzjoni eżistenti</w:t>
      </w:r>
      <w:r>
        <w:rPr>
          <w:noProof/>
        </w:rPr>
        <w:t xml:space="preserve"> </w:t>
      </w:r>
    </w:p>
    <w:p>
      <w:pPr>
        <w:pStyle w:val="Text1"/>
        <w:rPr>
          <w:noProof/>
        </w:rPr>
      </w:pPr>
      <w:r>
        <w:rPr>
          <w:noProof/>
        </w:rPr>
        <w:sym w:font="Wingdings" w:char="F0A8"/>
      </w:r>
      <w:r>
        <w:rPr>
          <w:i/>
          <w:noProof/>
        </w:rPr>
        <w:t xml:space="preserve"> </w:t>
      </w:r>
      <w:r>
        <w:rPr>
          <w:noProof/>
        </w:rPr>
        <w:t xml:space="preserve">Il-proposta/L-inizjattiva hija dwar </w:t>
      </w:r>
      <w:r>
        <w:rPr>
          <w:b/>
          <w:noProof/>
        </w:rPr>
        <w:t>azzjoni diretta mill-ġdid lejn azzjoni ġdida</w:t>
      </w:r>
      <w:r>
        <w:rPr>
          <w:noProof/>
        </w:rPr>
        <w:t xml:space="preserve"> </w:t>
      </w:r>
    </w:p>
    <w:p>
      <w:pPr>
        <w:pStyle w:val="ManualHeading2"/>
        <w:rPr>
          <w:bCs/>
          <w:noProof/>
          <w:szCs w:val="24"/>
        </w:rPr>
      </w:pPr>
      <w:r>
        <w:t>1.4.</w:t>
      </w:r>
      <w:r>
        <w:tab/>
      </w:r>
      <w:r>
        <w:rPr>
          <w:noProof/>
        </w:rPr>
        <w:t>Għan(ijiet)</w:t>
      </w:r>
    </w:p>
    <w:p>
      <w:pPr>
        <w:pStyle w:val="ManualHeading3"/>
        <w:rPr>
          <w:bCs/>
          <w:noProof/>
          <w:szCs w:val="24"/>
        </w:rPr>
      </w:pPr>
      <w:r>
        <w:t>1.4.1.</w:t>
      </w:r>
      <w:r>
        <w:tab/>
      </w:r>
      <w:r>
        <w:rPr>
          <w:noProof/>
        </w:rPr>
        <w:t xml:space="preserve">L-għan(ijiet) strateġiku/ċi pluriennali tal-Kummissjoni fil-mira tal-proposta/tal-inizjattiva </w:t>
      </w:r>
    </w:p>
    <w:p>
      <w:pPr>
        <w:pStyle w:val="Text1"/>
        <w:pBdr>
          <w:top w:val="single" w:sz="4" w:space="1" w:color="auto"/>
          <w:left w:val="single" w:sz="4" w:space="4" w:color="auto"/>
          <w:bottom w:val="single" w:sz="4" w:space="1" w:color="auto"/>
          <w:right w:val="single" w:sz="4" w:space="4" w:color="auto"/>
        </w:pBdr>
        <w:rPr>
          <w:noProof/>
        </w:rPr>
      </w:pPr>
      <w:r>
        <w:rPr>
          <w:noProof/>
        </w:rPr>
        <w:t>Kontribuzzjoni għal suq intern integrat u innovattiv aħjar għal servizzi finanzjarji sostenibbli filwaqt li jiġi żgurat livell għoli ta’ protezzjoni tal-konsumatur/investitur u stabbiltà finanzjarja.</w:t>
      </w:r>
    </w:p>
    <w:p>
      <w:pPr>
        <w:pStyle w:val="ManualHeading3"/>
        <w:rPr>
          <w:bCs/>
          <w:noProof/>
          <w:szCs w:val="24"/>
        </w:rPr>
      </w:pPr>
      <w:r>
        <w:t>1.4.2.</w:t>
      </w:r>
      <w:r>
        <w:tab/>
      </w:r>
      <w:r>
        <w:rPr>
          <w:noProof/>
        </w:rPr>
        <w:t xml:space="preserve">Għan(ijiet) speċifiku/ċi </w:t>
      </w:r>
    </w:p>
    <w:p>
      <w:pPr>
        <w:pStyle w:val="Text1"/>
        <w:pBdr>
          <w:top w:val="single" w:sz="4" w:space="1" w:color="auto"/>
          <w:left w:val="single" w:sz="4" w:space="4" w:color="auto"/>
          <w:bottom w:val="single" w:sz="4" w:space="1" w:color="auto"/>
          <w:right w:val="single" w:sz="4" w:space="4" w:color="auto"/>
        </w:pBdr>
        <w:rPr>
          <w:rFonts w:eastAsiaTheme="minorEastAsia"/>
          <w:noProof/>
          <w:szCs w:val="24"/>
        </w:rPr>
      </w:pPr>
      <w:r>
        <w:rPr>
          <w:noProof/>
          <w:color w:val="000000"/>
        </w:rPr>
        <w:t>Fl-2015, ġew stabbiliti ftehimiet agrikoli internazzjonali bl-adozzjoni tal-</w:t>
      </w:r>
      <w:hyperlink r:id="rId18">
        <w:r>
          <w:rPr>
            <w:noProof/>
            <w:color w:val="0000FF"/>
            <w:u w:val="single"/>
          </w:rPr>
          <w:t>Għanijiet ta’ Żvilupp Sostenibbli (SDG</w:t>
        </w:r>
      </w:hyperlink>
      <w:r>
        <w:rPr>
          <w:noProof/>
          <w:color w:val="000000"/>
        </w:rPr>
        <w:t>) u l-</w:t>
      </w:r>
      <w:hyperlink r:id="rId19">
        <w:r>
          <w:rPr>
            <w:noProof/>
            <w:color w:val="0000FF"/>
            <w:u w:val="single"/>
          </w:rPr>
          <w:t>Ftehim ta’ Pariġi dwar il-Klima (COP21).</w:t>
        </w:r>
      </w:hyperlink>
      <w:r>
        <w:rPr>
          <w:noProof/>
          <w:color w:val="000000"/>
        </w:rPr>
        <w:t xml:space="preserve"> </w:t>
      </w:r>
      <w:r>
        <w:rPr>
          <w:noProof/>
        </w:rPr>
        <w:t>Dawn l-impenji, u s-sensibilizzazzjoni li qed tikber dwar l-urġenza biex jiġu indirizzati t-tibdil fil-klima, degradazzjoni ambjentali oħra u riskji għas-sostenibbiltà jitolbu għal strateġija effettiva mill-UE dwar il-finanzi sostenibbli.</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rPr>
        <w:t>Il-</w:t>
      </w:r>
      <w:hyperlink r:id="rId20">
        <w:r>
          <w:rPr>
            <w:rFonts w:eastAsiaTheme="minorEastAsia"/>
            <w:noProof/>
            <w:color w:val="0000FF"/>
            <w:spacing w:val="-2"/>
            <w:u w:val="single"/>
          </w:rPr>
          <w:t>Komunikazzjoni tal-Kummissjoni dwar l-aċċellerazzjoni tal-implimentazzjoni tal-Unjoni tas-Swieq Kapitali (CMU)</w:t>
        </w:r>
      </w:hyperlink>
      <w:r>
        <w:rPr>
          <w:noProof/>
        </w:rPr>
        <w:t xml:space="preserve"> ta’ Settembru 2016 ħabbret il-ħolqien ta’ Grupp ta’ Esperti ta’ Livell Għoli dwar il-finanzi sostenibbli biex tiġi stabbilita strateġija globali tal-UE f’dan il-qasam. Is-swieq kapitali u s-sorsi privati se jkollhom rwol essenzjali fil-mobilizzazzjoni tal-investiment f’teknoloġiji, applikazzjonijiet u infrastrutturi sostenibbli, u biex jgħinu lill-Unjoni Ewropea tilħaq l-objettivi klimatiċi u ambjentali tagħha.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F’Diċembru 2016, il-Kummissjoni stabbiliet </w:t>
      </w:r>
      <w:hyperlink r:id="rId21">
        <w:r>
          <w:rPr>
            <w:rStyle w:val="Hyperlink"/>
            <w:noProof/>
          </w:rPr>
          <w:t>Grupp ta’ Esperti ta’ Livell Għoli dwar il-Finanzi Sostenibbli</w:t>
        </w:r>
      </w:hyperlink>
      <w:r>
        <w:rPr>
          <w:noProof/>
        </w:rPr>
        <w:t xml:space="preserve"> li kien magħmul minn għoxrin espert ta’ livell għoli u bi kwalifiki għolja li ġejjin mis-soċjetà ċivili, mill-komunità tan-negozju u minn istituzzjonijiet oħra li mhumiex mis-settur pubbliku. F’Jannar 2018, il-grupp ippreżenta sett ta’ rakkomandazzjinijiet ta’ politika lill-Kummissjoni bil-għan li (a) jiffaċilitaw il-fluss tal-kapital pubbliku u privat lejn investimenti sostenibbli, u (b) jnaqqsu riskji possibbli għas-sistema finanzjarja tal-UE minħabba l-esponiment tagħha għal assi b’intensità qawwija ta’ karbonju. Kien hemm enfasi partikolari fuq is-sostenibbiltà ambjentali iżda, fejn rilevanti, tqiesu wkoll dimensjonijiet oħra ta’ sostenibbiltà, bħal riskji soċjali u governattivi. </w:t>
      </w:r>
    </w:p>
    <w:p>
      <w:pPr>
        <w:pStyle w:val="Text1"/>
        <w:pBdr>
          <w:top w:val="single" w:sz="4" w:space="1" w:color="auto"/>
          <w:left w:val="single" w:sz="4" w:space="4" w:color="auto"/>
          <w:bottom w:val="single" w:sz="4" w:space="1" w:color="auto"/>
          <w:right w:val="single" w:sz="4" w:space="4" w:color="auto"/>
        </w:pBdr>
        <w:rPr>
          <w:noProof/>
          <w:szCs w:val="24"/>
        </w:rPr>
      </w:pPr>
      <w:r>
        <w:rPr>
          <w:noProof/>
        </w:rPr>
        <w:t>Fil-</w:t>
      </w:r>
      <w:hyperlink r:id="rId22">
        <w:r>
          <w:rPr>
            <w:rStyle w:val="Hyperlink"/>
            <w:noProof/>
          </w:rPr>
          <w:t>Komunikazzjoni dwar ir-Rieżami ta’ Nofs it-Terminu (MTR) tas-CMU</w:t>
        </w:r>
      </w:hyperlink>
      <w:r>
        <w:rPr>
          <w:noProof/>
        </w:rPr>
        <w:t xml:space="preserve"> ta’ Ġunju 2017, il-Kummissjoni impenjat ruħha li “</w:t>
      </w:r>
      <w:r>
        <w:rPr>
          <w:i/>
          <w:noProof/>
        </w:rPr>
        <w:t>sa mhux aktar tard mill-ewwel kwart tal-2018, [...] se tiddeċiedi dwar is-segwitu konkret li se tagħti għar-rakkomandazzjonijiet tal-Grupp ta’ Esperti ta’ Livell Għoli dwar Finanzi Sostenibbli</w:t>
      </w:r>
      <w:r>
        <w:rPr>
          <w:noProof/>
        </w:rPr>
        <w:t xml:space="preserve">". Għal dan l-għan, il-Pjan ta’ Azzjoni tal-Kummissjoni jpoġġi f’qafas l-objettivi tal-politika tagħha f’termini ta’ finanzi sostenibbli, tidentifika l-prijoritajiet, u tistabbilixxi l-passi li se tieħu u l-iskeda relatata. </w:t>
      </w:r>
    </w:p>
    <w:p>
      <w:pPr>
        <w:pStyle w:val="Text1"/>
        <w:pBdr>
          <w:top w:val="single" w:sz="4" w:space="1" w:color="auto"/>
          <w:left w:val="single" w:sz="4" w:space="4" w:color="auto"/>
          <w:bottom w:val="single" w:sz="4" w:space="1" w:color="auto"/>
          <w:right w:val="single" w:sz="4" w:space="4" w:color="auto"/>
        </w:pBdr>
        <w:rPr>
          <w:noProof/>
          <w:szCs w:val="24"/>
        </w:rPr>
      </w:pPr>
      <w:r>
        <w:rPr>
          <w:noProof/>
        </w:rPr>
        <w:t>Il-</w:t>
      </w:r>
      <w:hyperlink r:id="rId23">
        <w:r>
          <w:rPr>
            <w:rStyle w:val="Hyperlink"/>
            <w:noProof/>
          </w:rPr>
          <w:t>Pjan ta’ Azzjoni tal-Kummissjoni dwar il-Finanzjament tat-Tkabbir Sostenibbli</w:t>
        </w:r>
      </w:hyperlink>
      <w:r>
        <w:rPr>
          <w:noProof/>
        </w:rPr>
        <w:t xml:space="preserve"> tat-8 ta’ Marzu 2018 huwa akkumpanjat b’dawn l-azzjonijiet: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It-twaqqif ta’ sistema ta’ klassifikazzjoni tal-UE għal attivitajiet ta’ sostenibbiltà (li tibda b’attivitajiet relatati mal-klima) </w:t>
      </w:r>
    </w:p>
    <w:p>
      <w:pPr>
        <w:pStyle w:val="Text1"/>
        <w:pBdr>
          <w:top w:val="single" w:sz="4" w:space="1" w:color="auto"/>
          <w:left w:val="single" w:sz="4" w:space="4" w:color="auto"/>
          <w:bottom w:val="single" w:sz="4" w:space="1" w:color="auto"/>
          <w:right w:val="single" w:sz="4" w:space="4" w:color="auto"/>
        </w:pBdr>
        <w:rPr>
          <w:noProof/>
          <w:szCs w:val="24"/>
        </w:rPr>
      </w:pPr>
      <w:r>
        <w:rPr>
          <w:noProof/>
        </w:rPr>
        <w:t>• Il-ħolqien ta’ standards u tikketti għal prodotti finanzjarji ekoloġiċi</w:t>
      </w:r>
    </w:p>
    <w:p>
      <w:pPr>
        <w:pStyle w:val="Text1"/>
        <w:pBdr>
          <w:top w:val="single" w:sz="4" w:space="1" w:color="auto"/>
          <w:left w:val="single" w:sz="4" w:space="4" w:color="auto"/>
          <w:bottom w:val="single" w:sz="4" w:space="1" w:color="auto"/>
          <w:right w:val="single" w:sz="4" w:space="4" w:color="auto"/>
        </w:pBdr>
        <w:rPr>
          <w:noProof/>
          <w:szCs w:val="24"/>
        </w:rPr>
      </w:pPr>
      <w:r>
        <w:rPr>
          <w:noProof/>
        </w:rPr>
        <w:t>• L-integrazzjoni aħjar tas-sostenibbiltà fil-mandati ta’ investiment ta’ investituri istituzzjonali u maniġers tal-assi</w:t>
      </w:r>
    </w:p>
    <w:p>
      <w:pPr>
        <w:pStyle w:val="Text1"/>
        <w:pBdr>
          <w:top w:val="single" w:sz="4" w:space="1" w:color="auto"/>
          <w:left w:val="single" w:sz="4" w:space="4" w:color="auto"/>
          <w:bottom w:val="single" w:sz="4" w:space="1" w:color="auto"/>
          <w:right w:val="single" w:sz="4" w:space="4" w:color="auto"/>
        </w:pBdr>
        <w:rPr>
          <w:noProof/>
          <w:szCs w:val="24"/>
        </w:rPr>
      </w:pPr>
      <w:r>
        <w:rPr>
          <w:noProof/>
        </w:rPr>
        <w:t>• L-iżvilupp ta’ parametri referenzjarji tas-sostenibbiltà</w:t>
      </w:r>
    </w:p>
    <w:p>
      <w:pPr>
        <w:pStyle w:val="Text1"/>
        <w:pBdr>
          <w:top w:val="single" w:sz="4" w:space="1" w:color="auto"/>
          <w:left w:val="single" w:sz="4" w:space="4" w:color="auto"/>
          <w:bottom w:val="single" w:sz="4" w:space="1" w:color="auto"/>
          <w:right w:val="single" w:sz="4" w:space="4" w:color="auto"/>
        </w:pBdr>
        <w:rPr>
          <w:noProof/>
          <w:szCs w:val="24"/>
        </w:rPr>
      </w:pPr>
      <w:r>
        <w:rPr>
          <w:noProof/>
        </w:rPr>
        <w:t>• L-integrazzjoni aħjar tas-sostenibbiltà fil-klassifikazzjonijiet u fir-riċerka</w:t>
      </w:r>
    </w:p>
    <w:p>
      <w:pPr>
        <w:pStyle w:val="Text1"/>
        <w:pBdr>
          <w:top w:val="single" w:sz="4" w:space="1" w:color="auto"/>
          <w:left w:val="single" w:sz="4" w:space="4" w:color="auto"/>
          <w:bottom w:val="single" w:sz="4" w:space="1" w:color="auto"/>
          <w:right w:val="single" w:sz="4" w:space="4" w:color="auto"/>
        </w:pBdr>
        <w:rPr>
          <w:noProof/>
          <w:szCs w:val="24"/>
        </w:rPr>
      </w:pPr>
      <w:r>
        <w:rPr>
          <w:noProof/>
        </w:rPr>
        <w:t>• It-titjib tal-iżvelar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L-inkorporazzjoni tas-sostenibbiltà fir-rekwiżiti prudenzjali </w:t>
      </w:r>
    </w:p>
    <w:p>
      <w:pPr>
        <w:pStyle w:val="Text1"/>
        <w:pBdr>
          <w:top w:val="single" w:sz="4" w:space="1" w:color="auto"/>
          <w:left w:val="single" w:sz="4" w:space="4" w:color="auto"/>
          <w:bottom w:val="single" w:sz="4" w:space="1" w:color="auto"/>
          <w:right w:val="single" w:sz="4" w:space="4" w:color="auto"/>
        </w:pBdr>
        <w:rPr>
          <w:noProof/>
          <w:szCs w:val="24"/>
        </w:rPr>
      </w:pPr>
      <w:r>
        <w:rPr>
          <w:noProof/>
        </w:rPr>
        <w:t>• It-trawwim tal-governanza korporattiva sostenibbli u t-tnaqqis tat-terminu qasir fis-swieq kapitali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L-integrazzjoni aħjar tas-sostenibbiltà fi proċessi superviżorji (pereżempju ASE li jagħtu gwida dwar kif tista’ titqies is-sostenibbiltà f’leġiżlazzjoni rilevanti dwar is-servizzi finanzjarji tal-UE u jgħinu biex jiġu identifikati nuqqasijiet eżistenti; tiġi promossa konverġenza dwar l-implimentazzjoni ta’ kunsiderazzjonijiet ta’ sostenibbiltà fid-dritt tal-UE; jiġu identifikati u rrappurtati r-riskji li ġġarrab l-istabbiltà finanzjarja minħabba fatturi ESG - pereżempju permezz tal-iżvilupp ta’ metodoloġija komuni tal-UE għal analiżijiet tax-xenarju rilevanti, li aktar tard jistgħu jevolvu f’ittestjar tal-istress klimatiku/ambjentali).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Il-ħolqien ta’ pjattaforma pubblika-privata (korpi tas-settur pubbliku bħall-ASE, iż-ŻEE, il-BEI u l-Eurostat) li timmonitorja l-iżviluppi ewlenin biex tiżgura t-tkabbir progressiv u l-adattabbiltà tat-tassonomija sostenibbli tal-UE. Matul iż-żmien, tista’ anke twettaq kompiti oħra meħtieġa biex jintlaħqu l-objettivi tal-Pjan ta’ Azzjoni.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Il-proposta għal </w:t>
      </w:r>
      <w:r>
        <w:rPr>
          <w:b/>
          <w:noProof/>
        </w:rPr>
        <w:t xml:space="preserve">Regolament dwar l-istabbiliment ta’ qafas li jiffaċilita investiment sostenibbli </w:t>
      </w:r>
      <w:r>
        <w:rPr>
          <w:noProof/>
        </w:rPr>
        <w:t xml:space="preserve">tiffoka fuq l-istabbiliment ta’ lingwaġġ komuni għal finanzi sostenibbli, pereżempju sistema ta’ klassifikazzjoni tal-UE unifikata (jew l-hekk imsejħa tassonomija). It-tassonomija se tkun il-bażi għall-azzjonijiet kollha msemmija qabel, u din il-ħidma se tinteraġixxi mill-qrib ma’ dawn l-attivitajiet. </w:t>
      </w:r>
    </w:p>
    <w:p>
      <w:pPr>
        <w:pStyle w:val="Text1"/>
        <w:pBdr>
          <w:top w:val="single" w:sz="4" w:space="1" w:color="auto"/>
          <w:left w:val="single" w:sz="4" w:space="4" w:color="auto"/>
          <w:bottom w:val="single" w:sz="4" w:space="1" w:color="auto"/>
          <w:right w:val="single" w:sz="4" w:space="4" w:color="auto"/>
        </w:pBdr>
        <w:rPr>
          <w:noProof/>
        </w:rPr>
      </w:pPr>
      <w:r>
        <w:rPr>
          <w:noProof/>
        </w:rPr>
        <w:t>Il-Pjattaforma dwar il-Finanzi Sostenibbli proposta se i) taġġorna u tkompli żżid progressivament it-tassonomija ta’ sostenibbiltà tal-UE; ii) twettaq kompiti oħrajn meħtieġa biex jintlaħqu l-għanijiet tal-pjan ta’ azzjoni dwar il-finanzi sostenibbli; u iii) tagħmel monitoraġġ u tirrapporta regolarment dwar il-flussi ta’ kapital lejn investiment sostenibbli. L-atturi ċentrali ta’ din il-ħidma huma dawn li ġejjin:</w:t>
      </w:r>
    </w:p>
    <w:p>
      <w:pPr>
        <w:pStyle w:val="Text1"/>
        <w:pBdr>
          <w:top w:val="single" w:sz="4" w:space="1" w:color="auto"/>
          <w:left w:val="single" w:sz="4" w:space="4" w:color="auto"/>
          <w:bottom w:val="single" w:sz="4" w:space="1" w:color="auto"/>
          <w:right w:val="single" w:sz="4" w:space="4" w:color="auto"/>
        </w:pBdr>
        <w:rPr>
          <w:noProof/>
        </w:rPr>
      </w:pPr>
      <w:r>
        <w:rPr>
          <w:noProof/>
        </w:rPr>
        <w:t>• L-Awtoritajiet Superviżorji Ewropej (ASEs): l-ASEs se jkunu involuti fl-azzjonijiet immirati kollha ta’ hawn fuq li huma konsistenti mal-mandati attwali tagħhom, kif ukoll ma’ dawk riveduti kif propost fil-</w:t>
      </w:r>
      <w:hyperlink r:id="rId24">
        <w:r>
          <w:rPr>
            <w:rStyle w:val="Hyperlink"/>
            <w:noProof/>
          </w:rPr>
          <w:t>proposta leġiżlattiva tal-ASEs ta’ Settembru 2017</w:t>
        </w:r>
      </w:hyperlink>
      <w:r>
        <w:rPr>
          <w:noProof/>
        </w:rPr>
        <w:t xml:space="preserve"> fejn il-mandat tal-ASEs huwa msaħħaħ biex speċifikament jirrikjedi minnhom li jintegraw ir-riskji Ambjentali, Soċjali u ta’ Governanza (ASG) fix-xogħol tagħhom. Nota: għal dan il-mandat imsaħħaħ, ma ġiet inkluża ebda talba għal riżorsi fil-proposta leġiżlattiva għall-ASEs. </w:t>
      </w:r>
    </w:p>
    <w:p>
      <w:pPr>
        <w:pStyle w:val="Text1"/>
        <w:pBdr>
          <w:top w:val="single" w:sz="4" w:space="1" w:color="auto"/>
          <w:left w:val="single" w:sz="4" w:space="4" w:color="auto"/>
          <w:bottom w:val="single" w:sz="4" w:space="1" w:color="auto"/>
          <w:right w:val="single" w:sz="4" w:space="4" w:color="auto"/>
        </w:pBdr>
        <w:rPr>
          <w:noProof/>
        </w:rPr>
      </w:pPr>
      <w:r>
        <w:rPr>
          <w:noProof/>
        </w:rPr>
        <w:t>L-ASEs se jaqdu rwol ewlieni fl-iżvilupp tat-tassonomiji tal-UE biex jiġi żgurat li jkunu jistgħu jintużaw minn istituzzjonijiet finanzjarji, applikabbli għal prodotti finanzjarji u kompatibbli mal-leġiżlazzjoni finanzjarja tal-UE, inkluż ir-regolamentazzjoni prudenzjali. Pereżempju, l-EBA u l-EIOPA se jiżguraw li t-tassonomiji tal-UE jkunu jippermettu li ssir analiżi tad-differenzi tar-riskju bejn l-assi / skoperturi tal-banek u tal-assigurazzjoni u se janalizzaw dawn id-differenzi u l-inkorporazzjoni possibbli tagħhom fir-regolamentazzjoni prudenzjali. L-ESMA u l-EIOPA se jikkontribwixxu biex it-tassonomiji tal-UE jiġu inkorporati fir-regoli li taħthom huma ġestiti l-kumpaniji tal-investiment u l-fondi ta’ pensjonijiet. L-ESMA u l-EBA b’mod partikolari se jiżguraw li t-tassonomiji tal-UE jistgħu jikkontribwixxu għall-iżvilupp ta’ standards ta’ bonds ekoloġiċi u tikketti ekoloġiċi ta’ prodotti finanzjarji oħra u jikkontribwixxu għall-iżvilupp ta’ tali standards u tikketti. L-ESMA se tiżgura wkoll li t-tassonomiji tal-UE jikkontribwixxu għall-proċess ta’ bini / analiżi ta' parametri referenzjarji tas-sostenibbiltà u se jikkontribwixxu biex it-tassonomiji tal-UE jiġu kollegati mal-valutazzjonijiet tal-adegwatezza tal-istrumenti finanzjarji u mar-rappurtar korporattiv.</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L-ASEs, b’mod partikolari l-EBA u l-EIOPA, se jkollhom rwol importanti biex jiżguraw li jiġu żviluppati tassonomiji b’tali mod li dawn ikunu jistgħu jintużaw għal analiżi tax-xenarju tal-klima u, fi stadju aktar tard, għall-ittestjar tal-istress klimatiku, u se jikkontribwixxu għall-iżvilupp ta’ metodoloġiji għal tali analiżi tax-xenarji u ttestjar tal-istress abbażi tat-tassonomiji tal-UE.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L-ASEs, b’mod partikolari l-ESMA, se jikkontribwixxu għall-ġbir u l-analiżi ta’ </w:t>
      </w:r>
      <w:r>
        <w:rPr>
          <w:i/>
          <w:noProof/>
        </w:rPr>
        <w:t>data</w:t>
      </w:r>
      <w:r>
        <w:rPr>
          <w:noProof/>
        </w:rPr>
        <w:t xml:space="preserve"> tas-suq (inkluż </w:t>
      </w:r>
      <w:r>
        <w:rPr>
          <w:i/>
          <w:noProof/>
        </w:rPr>
        <w:t>data</w:t>
      </w:r>
      <w:r>
        <w:rPr>
          <w:noProof/>
        </w:rPr>
        <w:t xml:space="preserve"> tranżazzjonali) għall-Osservatorju tal-Finanzi Sostenibbli.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Sabiex twettaq il-kompiti elenkati, kull Awtorità se jkollha bżonn il-postijiet il-ġodda li ġejjin b’seħħ mill-2020: 1 AK għall-EBA, 1 AK għalll-EIOPA u AT 1 għall-ESMA.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w:t>
      </w:r>
      <w:r>
        <w:rPr>
          <w:noProof/>
          <w:u w:val="single"/>
        </w:rPr>
        <w:t>Aġenzija Ewropea għall-Ambjent</w:t>
      </w:r>
      <w:r>
        <w:rPr>
          <w:noProof/>
        </w:rPr>
        <w:t xml:space="preserve"> (European Environment Agency, EEA): Il-kompiti l-ġodda tal-EEA jaqgħu fil-mandat attwali tar-</w:t>
      </w:r>
      <w:hyperlink r:id="rId25">
        <w:r>
          <w:rPr>
            <w:rStyle w:val="Hyperlink"/>
            <w:noProof/>
          </w:rPr>
          <w:t>Regolament tat-Twaqqif tal-EEA</w:t>
        </w:r>
      </w:hyperlink>
      <w:r>
        <w:rPr>
          <w:noProof/>
        </w:rPr>
        <w:t>, iżda fl-istess ħin dawn il-kompiti se jkunu kompiti addizzjonali għall-EEA u għalhekk jirrikjedu aktar riżorsi.</w:t>
      </w:r>
    </w:p>
    <w:p>
      <w:pPr>
        <w:pStyle w:val="Text1"/>
        <w:pBdr>
          <w:top w:val="single" w:sz="4" w:space="1" w:color="auto"/>
          <w:left w:val="single" w:sz="4" w:space="4" w:color="auto"/>
          <w:bottom w:val="single" w:sz="4" w:space="1" w:color="auto"/>
          <w:right w:val="single" w:sz="4" w:space="4" w:color="auto"/>
        </w:pBdr>
        <w:rPr>
          <w:noProof/>
          <w:color w:val="1F497D"/>
        </w:rPr>
      </w:pPr>
      <w:r>
        <w:rPr>
          <w:noProof/>
        </w:rPr>
        <w:t xml:space="preserve">L-EEA se tkun involuta sew fil-ħidma dwar il-finanzi sostenibbli, b’mod partikolari l-ħidma dwar is-sistema tal-klassifikazzjoni tal-UE għal attivitajiet, standards u tikketti ta’ sostenibbiltà, għal prodotti finanzjarji ekoloġiċi, u l-forniment ta’ funzjoni ta’ konsulenza / osservatorju. L-EEA hija skedata li tipprovdi l-għarfien tekniku tagħha f’diversi oqsma ambjentali biex tiġi żviluppata u miżmuma t-tassonomija tal-UE għal kwistjonijiet kollha ambjentali u relatati mal-klima. Barra minn hekk l-EEA se tiġbor u tipprovdi </w:t>
      </w:r>
      <w:r>
        <w:rPr>
          <w:i/>
          <w:noProof/>
        </w:rPr>
        <w:t>data</w:t>
      </w:r>
      <w:r>
        <w:rPr>
          <w:noProof/>
        </w:rPr>
        <w:t xml:space="preserve"> dwar il-ħtiġijiet u l-flussi ta’ investiment fl-Istati Membri bħala parti mill-Osservatorju tal-Finanzi Sostenibbli, u tipprovdi konsulenza lill-Istati Membri tal-UE biex jiżviluppaw l-istrateġiji ta’ investiment tagħhom dwar karbonju baxx u sostenibbli. L-EEA tkun teħtieġ il-karigi l-ġodda li ġejjin b’seħħ mill-2020: il-karigi ta’ 1 AT u 1 AK. </w:t>
      </w:r>
    </w:p>
    <w:p>
      <w:pPr>
        <w:pStyle w:val="Text1"/>
        <w:pBdr>
          <w:top w:val="single" w:sz="4" w:space="1" w:color="auto"/>
          <w:left w:val="single" w:sz="4" w:space="4" w:color="auto"/>
          <w:bottom w:val="single" w:sz="4" w:space="1" w:color="auto"/>
          <w:right w:val="single" w:sz="4" w:space="4" w:color="auto"/>
        </w:pBdr>
        <w:rPr>
          <w:noProof/>
        </w:rPr>
      </w:pPr>
      <w:r>
        <w:rPr>
          <w:noProof/>
        </w:rPr>
        <w:t>• Il-Kummissjoni Ewropea: il-Kummissjoni Ewropea se tkun involuta fl-azzjonijiet immirati kollha msemmija hawn fuq, iżda b’mod partikolari fil-ġestjoni tal-pjattaforma pubblika / privata msemmija qabel (pereż. torganizza laqgħat għall-Pjattaforma u xi sottogruppi, tirrapporta dwar l-eżitu, tagħmel konsultazzjonijiet mal-partijiet ikkonċernati, tħejji proposti leġiżlattivi, tappoġġa l-osservatorju / il-konsulenza, tagħmel kuntatt mal-l-ASEss u l-EEA, tagħmel il-manutenzjoni tal-għodda kollaborattiva tal-IT, tirrimborża l-ispejjeż tal-esperti u twettaq kompiti segretarjali oħra, eċċ.). Il-Kummissjoni Ewropea jkollha bżonn il-persunal li ġej: 10 FTEs (tmien 8 AD u 2 AST):</w:t>
      </w:r>
    </w:p>
    <w:p>
      <w:pPr>
        <w:pStyle w:val="Text1"/>
        <w:pBdr>
          <w:top w:val="single" w:sz="4" w:space="1" w:color="auto"/>
          <w:left w:val="single" w:sz="4" w:space="4" w:color="auto"/>
          <w:bottom w:val="single" w:sz="4" w:space="1" w:color="auto"/>
          <w:right w:val="single" w:sz="4" w:space="4" w:color="auto"/>
        </w:pBdr>
        <w:rPr>
          <w:noProof/>
        </w:rPr>
      </w:pPr>
      <w:r>
        <w:rPr>
          <w:noProof/>
        </w:rPr>
        <w:t>- FISMA jkun jeħtieġ 3 FTEs: 1 FTE (AD) għall-president tal-Pjattaforma, 2 FTEs (AD) għall-ġestjoni tal-grupp, u 2 FTEs (AST) għall-appoġġ loġistiku.</w:t>
      </w:r>
    </w:p>
    <w:p>
      <w:pPr>
        <w:pStyle w:val="Text1"/>
        <w:pBdr>
          <w:top w:val="single" w:sz="4" w:space="1" w:color="auto"/>
          <w:left w:val="single" w:sz="4" w:space="4" w:color="auto"/>
          <w:bottom w:val="single" w:sz="4" w:space="1" w:color="auto"/>
          <w:right w:val="single" w:sz="4" w:space="4" w:color="auto"/>
        </w:pBdr>
        <w:rPr>
          <w:noProof/>
        </w:rPr>
      </w:pPr>
      <w:r>
        <w:rPr>
          <w:noProof/>
        </w:rPr>
        <w:t>- ENV ikun jeħtieġ 2 FTEs (AD) għall-ġestjoni ta’ din il-Pjattaforma.</w:t>
      </w:r>
    </w:p>
    <w:p>
      <w:pPr>
        <w:pStyle w:val="Text1"/>
        <w:pBdr>
          <w:top w:val="single" w:sz="4" w:space="1" w:color="auto"/>
          <w:left w:val="single" w:sz="4" w:space="4" w:color="auto"/>
          <w:bottom w:val="single" w:sz="4" w:space="1" w:color="auto"/>
          <w:right w:val="single" w:sz="4" w:space="4" w:color="auto"/>
        </w:pBdr>
        <w:rPr>
          <w:noProof/>
        </w:rPr>
      </w:pPr>
      <w:r>
        <w:rPr>
          <w:noProof/>
        </w:rPr>
        <w:t>- CLIMA jkun jeħtieġ 2 FTEs (AD) għall-ġestjoni ta’ din il-Pjattaforma.</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rPr>
        <w:t>- ESTAT jeħtieġ 1 FTE (AD) biex jikkontribwixxi għat-tassonomija, b’mod partikolari l-aspett ta’ monitoraġġ tal-Pjattaforma. Din il-ħidma hija komplementari għall-</w:t>
      </w:r>
      <w:hyperlink r:id="rId26">
        <w:r>
          <w:rPr>
            <w:rStyle w:val="Hyperlink"/>
            <w:noProof/>
          </w:rPr>
          <w:t>Sustainable Development in the EU: Monitoring report on progress towards SDGs in the EU context (2017)</w:t>
        </w:r>
      </w:hyperlink>
      <w:r>
        <w:rPr>
          <w:noProof/>
        </w:rPr>
        <w:t xml:space="preserve"> u </w:t>
      </w:r>
      <w:hyperlink r:id="rId27">
        <w:r>
          <w:rPr>
            <w:noProof/>
            <w:color w:val="0000FF"/>
            <w:u w:val="single"/>
          </w:rPr>
          <w:t>Eurostat Resource efficiency scoreboard</w:t>
        </w:r>
      </w:hyperlink>
      <w:r>
        <w:rPr>
          <w:noProof/>
          <w:color w:val="0000FF"/>
          <w:u w:val="single"/>
        </w:rPr>
        <w:t>.</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color w:val="000000" w:themeColor="text1"/>
        </w:rPr>
        <w:t>Il-Pjattaforma se tadatta u tuża għodda kollaborattiva tal-IT eżistenti tal-Kummissjoni għal skopijiet ta’ komunikazzjoni. Il-kostijiet operazzjonali annwali tal-IT li se jiffaċilitaw ix-xogħol tal-membri tal-pjattaforma se jkunu EUR 50 000, filwaqt li l-kostijiet ta’ riċerka / studji / stħarriġ li se jappoġġjaw il-ħidma tal-membri tal-pjattaforma se jkunu EUR 500 000. Kull pilastru tal-Pjattaforma huwa mistenni jiltaqa’ 10 darbiet fis-sena u l-kostijiet annwali ta’ rimborż huma stmati li jammontaw għal EUR 223 500.</w:t>
      </w:r>
    </w:p>
    <w:p>
      <w:pPr>
        <w:pStyle w:val="ManualHeading3"/>
        <w:rPr>
          <w:bCs/>
          <w:noProof/>
          <w:szCs w:val="24"/>
        </w:rPr>
      </w:pPr>
      <w:r>
        <w:rPr>
          <w:noProof/>
        </w:rPr>
        <w:br w:type="page"/>
      </w:r>
      <w:r>
        <w:t>1.4.3.</w:t>
      </w:r>
      <w:r>
        <w:tab/>
      </w:r>
      <w:r>
        <w:rPr>
          <w:noProof/>
        </w:rPr>
        <w:t>Riżultat(i) u impatt mistennija</w:t>
      </w:r>
    </w:p>
    <w:p>
      <w:pPr>
        <w:pStyle w:val="Text1"/>
        <w:rPr>
          <w:i/>
          <w:noProof/>
          <w:sz w:val="20"/>
        </w:rPr>
      </w:pPr>
      <w:r>
        <w:rPr>
          <w:i/>
          <w:noProof/>
          <w:sz w:val="20"/>
        </w:rPr>
        <w:t>Speċifika l-effetti li l-proposta / inizjattiva jenħtieġ tħalli fuq il-benefiċjarji / gruppi fil-mira.</w:t>
      </w:r>
    </w:p>
    <w:p>
      <w:pPr>
        <w:pStyle w:val="Text1"/>
        <w:pBdr>
          <w:top w:val="single" w:sz="4" w:space="1" w:color="auto"/>
          <w:left w:val="single" w:sz="4" w:space="4" w:color="auto"/>
          <w:bottom w:val="single" w:sz="4" w:space="1" w:color="auto"/>
          <w:right w:val="single" w:sz="4" w:space="4" w:color="auto"/>
        </w:pBdr>
        <w:ind w:left="851"/>
        <w:rPr>
          <w:noProof/>
        </w:rPr>
      </w:pPr>
      <w:r>
        <w:rPr>
          <w:noProof/>
        </w:rPr>
        <w:t>Il-</w:t>
      </w:r>
      <w:r>
        <w:rPr>
          <w:b/>
          <w:noProof/>
        </w:rPr>
        <w:t>Pjattaforma dwar il-Finanzi Sostenibbli</w:t>
      </w:r>
      <w:r>
        <w:rPr>
          <w:noProof/>
        </w:rPr>
        <w:t xml:space="preserve"> se taġġorna u tkompli żżid progressivament it-tassonomija ta’ sostenibbiltà tal-UE; twettaq kompiti oħrajn meħtieġa biex jinkisbu l-għanijiet tal-pjan ta’ azzjoni dwar il-finanzi sostenibbli; u tagħmel monitoraġġ u tirrapporta regolarment dwar il-flussi ta’ kapital lejn l-investiment sostenibbli.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Kunċett ċar u unifikat ta’ investiment sostenibbli ambjentali jista’ jipprovdi sinjali adegwati għal atturi ekonomiċi dwar liema attivitajiet huma kkunsidrati sostenibbli; tipproteġi lill-investituri privati billi tevita r-riskji ta’ green washing; tiżgura li s-suq uniku ma jkunx frammentat; u tipprovdi l-bażi għal aktar azzjoni siewja (peress li jkun hemm ċarezza dwar x’inhu “sostenibbli” jew “ekoloġiku”) f’oqsma bħalma huma l-istandards, it-tikketti, l-iżvelar, u kwalunkwe bidliet futuri tar-regoli prudenzjali. </w:t>
      </w:r>
    </w:p>
    <w:p>
      <w:pPr>
        <w:pStyle w:val="ManualHeading3"/>
        <w:rPr>
          <w:bCs/>
          <w:noProof/>
          <w:szCs w:val="24"/>
        </w:rPr>
      </w:pPr>
      <w:r>
        <w:t>1.4.4.</w:t>
      </w:r>
      <w:r>
        <w:tab/>
      </w:r>
      <w:r>
        <w:rPr>
          <w:noProof/>
        </w:rPr>
        <w:t xml:space="preserve">Indikaturi tar-riżultati u tal-impatt </w:t>
      </w:r>
    </w:p>
    <w:p>
      <w:pPr>
        <w:pStyle w:val="Text1"/>
        <w:rPr>
          <w:i/>
          <w:noProof/>
          <w:sz w:val="20"/>
        </w:rPr>
      </w:pPr>
      <w:r>
        <w:rPr>
          <w:i/>
          <w:noProof/>
          <w:sz w:val="20"/>
        </w:rPr>
        <w:t>Speċifika l-indikaturi għall-monitoraġġ tal-implimentazzjoni tal-proposta/inizjattiva.</w:t>
      </w:r>
    </w:p>
    <w:p>
      <w:pPr>
        <w:pStyle w:val="Text1"/>
        <w:pBdr>
          <w:top w:val="single" w:sz="4" w:space="1" w:color="auto"/>
          <w:left w:val="single" w:sz="4" w:space="4" w:color="auto"/>
          <w:bottom w:val="single" w:sz="4" w:space="0" w:color="auto"/>
          <w:right w:val="single" w:sz="4" w:space="4" w:color="auto"/>
        </w:pBdr>
        <w:rPr>
          <w:noProof/>
        </w:rPr>
      </w:pPr>
      <w:r>
        <w:rPr>
          <w:noProof/>
        </w:rPr>
        <w:t>Il-Kummissjoni se tagħmel monitoraġġ tal-implimentazzjoni tal-azzjonijiet previsti f’din il-proposta. L-indikaturi jistgħu jinkludu:</w:t>
      </w:r>
    </w:p>
    <w:p>
      <w:pPr>
        <w:pStyle w:val="Text1"/>
        <w:pBdr>
          <w:top w:val="single" w:sz="4" w:space="1" w:color="auto"/>
          <w:left w:val="single" w:sz="4" w:space="4" w:color="auto"/>
          <w:bottom w:val="single" w:sz="4" w:space="0" w:color="auto"/>
          <w:right w:val="single" w:sz="4" w:space="4" w:color="auto"/>
        </w:pBdr>
        <w:rPr>
          <w:noProof/>
        </w:rPr>
      </w:pPr>
      <w:r>
        <w:rPr>
          <w:noProof/>
        </w:rPr>
        <w:t xml:space="preserve">- L-għadd ta’ aġġornamenti tat-tassonomija </w:t>
      </w:r>
    </w:p>
    <w:p>
      <w:pPr>
        <w:pStyle w:val="Text1"/>
        <w:pBdr>
          <w:top w:val="single" w:sz="4" w:space="1" w:color="auto"/>
          <w:left w:val="single" w:sz="4" w:space="4" w:color="auto"/>
          <w:bottom w:val="single" w:sz="4" w:space="0" w:color="auto"/>
          <w:right w:val="single" w:sz="4" w:space="4" w:color="auto"/>
        </w:pBdr>
        <w:rPr>
          <w:noProof/>
        </w:rPr>
      </w:pPr>
      <w:r>
        <w:rPr>
          <w:noProof/>
        </w:rPr>
        <w:t>- L-għadd ta’ rapporti ta’ monitoraġġ dwar il-flussi ta’ kapital lejn l-investiment sostenibbli</w:t>
      </w:r>
    </w:p>
    <w:p>
      <w:pPr>
        <w:pStyle w:val="ManualHeading2"/>
        <w:rPr>
          <w:bCs/>
          <w:noProof/>
          <w:szCs w:val="24"/>
        </w:rPr>
      </w:pPr>
      <w:r>
        <w:t>1.5.</w:t>
      </w:r>
      <w:r>
        <w:tab/>
      </w:r>
      <w:r>
        <w:rPr>
          <w:noProof/>
        </w:rPr>
        <w:t xml:space="preserve">Raġunijiet għall-proposta/għall-inizjattiva </w:t>
      </w:r>
    </w:p>
    <w:p>
      <w:pPr>
        <w:pStyle w:val="ManualHeading3"/>
        <w:rPr>
          <w:bCs/>
          <w:noProof/>
          <w:szCs w:val="24"/>
        </w:rPr>
      </w:pPr>
      <w:r>
        <w:t>1.5.1.</w:t>
      </w:r>
      <w:r>
        <w:tab/>
      </w:r>
      <w:r>
        <w:rPr>
          <w:noProof/>
        </w:rPr>
        <w:t xml:space="preserve">Rekwiżit(i) li għandu/għandhom jiġi/u ssodisfat(i) fi żmien qasir jew twil </w:t>
      </w:r>
    </w:p>
    <w:p>
      <w:pPr>
        <w:pStyle w:val="Text1"/>
        <w:pBdr>
          <w:top w:val="single" w:sz="4" w:space="1" w:color="auto"/>
          <w:left w:val="single" w:sz="4" w:space="4" w:color="auto"/>
          <w:bottom w:val="single" w:sz="4" w:space="1" w:color="auto"/>
          <w:right w:val="single" w:sz="4" w:space="4" w:color="auto"/>
        </w:pBdr>
        <w:ind w:left="851"/>
        <w:rPr>
          <w:noProof/>
        </w:rPr>
      </w:pPr>
      <w:r>
        <w:rPr>
          <w:noProof/>
        </w:rPr>
        <w:t>Il-</w:t>
      </w:r>
      <w:r>
        <w:rPr>
          <w:b/>
          <w:noProof/>
        </w:rPr>
        <w:t>proposta għal dan ir-Regolament</w:t>
      </w:r>
      <w:r>
        <w:rPr>
          <w:noProof/>
        </w:rPr>
        <w:t xml:space="preserve"> issegwi l-adozzjoni tal-Pjan ta’ Azzjoni tal-Kummissjoni tat-8 ta’ Marzu 2018 u r-Rapport Finali tal-Grupp ta’ Esperti ta’ livell Għoli ta’ Jannar 2018, u tidentifika għadd ta’ inizjattivi biex tippermetti l-użu ta’ finanzi sostenibbli fis-settur finanzjarju Ewropew. Filwaqt li għadd ta’ inizjattivi leġiżlattivi diġà ġew adottati f’dan il-qasam, miżuri oħra (leġiżlattivi u mhux leġiżlattivi) huma meqjusa bħala meħtieġa biex ikun żgurat li s-settur finanzjarju Ewropew jista’ jisfrutta l-benefiċċji li jirriżultaw minn finanzi sostenibbli filwaqt li jiġi żgurat livell adegwat ta’ protezzjoni tal-konsumaturi / tal-investituri u ta’ stabbiltà finanzjarja. Barra minn hekk, il-Kummissjoni se tistabbilixxi struttura ta’ governanza aktar stabbli fil-forma ta’ pjattaforma pubblika-privata biex tadatta s-sostenibbiltà tat-tassonomija tal-UE u tagħmel monitoraġġ tal-iżviluppi prinċipali.</w:t>
      </w:r>
    </w:p>
    <w:p>
      <w:pPr>
        <w:pStyle w:val="ManualHeading3"/>
        <w:rPr>
          <w:bCs/>
          <w:noProof/>
          <w:szCs w:val="24"/>
        </w:rPr>
      </w:pPr>
      <w:r>
        <w:t>1.5.2.</w:t>
      </w:r>
      <w:r>
        <w:tab/>
      </w:r>
      <w:r>
        <w:rPr>
          <w:noProof/>
        </w:rPr>
        <w:t>Il-valur miżjud tal-involviment tal-Unjoni (dan jista’ jinkiseb minn fatturi differenti, eż. il-gwadann mill-koordinazzjoni, iċ-ċertezza legali, effettività akbar jew il-kumplimentarjetajiet). Għall-finijiet ta’ dan il-punt, “il-valur miżjud tal-involviment tal-Unjoni” huwa l-valur li jirriżulta mill-intervent tal-Unjoni li huwa addizzjonali għall-valur li inkella kien jinħoloq mill-Istati Membri waħedhom.</w:t>
      </w:r>
    </w:p>
    <w:p>
      <w:pPr>
        <w:pStyle w:val="Text1"/>
        <w:pBdr>
          <w:top w:val="single" w:sz="4" w:space="1" w:color="auto"/>
          <w:left w:val="single" w:sz="4" w:space="4" w:color="auto"/>
          <w:bottom w:val="single" w:sz="4" w:space="1" w:color="auto"/>
          <w:right w:val="single" w:sz="4" w:space="4" w:color="auto"/>
        </w:pBdr>
        <w:rPr>
          <w:noProof/>
        </w:rPr>
      </w:pPr>
      <w:r>
        <w:rPr>
          <w:noProof/>
        </w:rPr>
        <w:t>Raġunijiet għal azzjoni fuq livell Ewropew (</w:t>
      </w:r>
      <w:r>
        <w:rPr>
          <w:i/>
          <w:noProof/>
        </w:rPr>
        <w:t>ex-ante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Klassifikazzjoni ċara u unifikata tat-tassonomija tal-UE (u l-kunċett relatat tal-investiment sostenibbli ambjent) se tipprovdi sinjali adegwati lill-atturi ekonomiċi dwar liema attivitajiet huma kkunsidrati sostenibbli; tipproteġi lill-investituri privati billi tevita r-riskji ta’ green washing; tiżgura li s-suq uniku ma jkunx frammentat; u tipprovdi l-bażi għal aktar azzjoni siewja f’oqsma bħalma huma l-istandards, it-tikketti, żvelar, u kwalunkwe bidliet futuri tar-regoli prudenzjali. </w:t>
      </w:r>
    </w:p>
    <w:p>
      <w:pPr>
        <w:pStyle w:val="Text1"/>
        <w:pBdr>
          <w:top w:val="single" w:sz="4" w:space="1" w:color="auto"/>
          <w:left w:val="single" w:sz="4" w:space="4" w:color="auto"/>
          <w:bottom w:val="single" w:sz="4" w:space="1" w:color="auto"/>
          <w:right w:val="single" w:sz="4" w:space="4" w:color="auto"/>
        </w:pBdr>
        <w:rPr>
          <w:noProof/>
        </w:rPr>
      </w:pPr>
      <w:r>
        <w:rPr>
          <w:noProof/>
        </w:rPr>
        <w:t>Il-valur miżjud tal-Unjoni li mistenni jiġi ġġenerat (</w:t>
      </w:r>
      <w:r>
        <w:rPr>
          <w:i/>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Ix-xogħol ippjanat f’din il-proposta se jippermetti l-mobilizzazzjoni ta’ finanzi sostenibbli madwar l-UE, filwaqt li jkun żgurat livell għoli ta’ stabbiltà finanzjarja. It-tassonomija unifikata u l-monitoraġġ tal-investimenti fis-sostenibbiltà se jappoġġjaw l-użu ta’ finanzi sostenibbli fis-settur finanzjarju Ewropew. </w:t>
      </w:r>
    </w:p>
    <w:p>
      <w:pPr>
        <w:pStyle w:val="ManualHeading3"/>
        <w:rPr>
          <w:bCs/>
          <w:noProof/>
          <w:szCs w:val="24"/>
        </w:rPr>
      </w:pPr>
      <w:r>
        <w:t>1.5.3.</w:t>
      </w:r>
      <w:r>
        <w:tab/>
      </w:r>
      <w:r>
        <w:rPr>
          <w:noProof/>
        </w:rPr>
        <w:t>Tagħlimiet meħuda minn esperjenzi simili fl-imgħoddi</w:t>
      </w:r>
    </w:p>
    <w:p>
      <w:pPr>
        <w:pStyle w:val="Text1"/>
        <w:pBdr>
          <w:top w:val="single" w:sz="4" w:space="0" w:color="auto"/>
          <w:left w:val="single" w:sz="4" w:space="4" w:color="auto"/>
          <w:bottom w:val="single" w:sz="4" w:space="1" w:color="auto"/>
          <w:right w:val="single" w:sz="4" w:space="4" w:color="auto"/>
        </w:pBdr>
        <w:rPr>
          <w:noProof/>
        </w:rPr>
      </w:pPr>
      <w:r>
        <w:rPr>
          <w:noProof/>
        </w:rPr>
        <w:t>Mhux disponibbli</w:t>
      </w:r>
    </w:p>
    <w:p>
      <w:pPr>
        <w:pStyle w:val="ManualHeading3"/>
        <w:rPr>
          <w:bCs/>
          <w:noProof/>
          <w:szCs w:val="24"/>
        </w:rPr>
      </w:pPr>
      <w:r>
        <w:t>1.5.4.</w:t>
      </w:r>
      <w:r>
        <w:tab/>
      </w:r>
      <w:r>
        <w:rPr>
          <w:noProof/>
        </w:rPr>
        <w:t>Kompatibbiltà u sinerġija possibbli ma’ strumenti xierqa oħra</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L-għanijiet ta’ din il-proposta huma konsistenti ma’ għadd ta’ politiki oħrajn tal-UE u inizjattivi li jinsabu għaddejjin bħalissa li għandhom l-għan li: jiżviluppaw l-Unjoni Ekonomika u Monetarja (“UEM”); (ii) jiżviluppaw l-Unjoni tas-Swieq Kapitali: (iii) jintegraw is-sostenibilità tas-sistema finanzjarja tal-UE, filwaqt li fl-istess ħin jipproteġu l-istabbiltà tas-sistema finanzjarja minn riskji relatati mal-fatturi ESG.</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L-ewwel nett, din il-proposta hija koerenti mal-UEM. Ir-Rapport tal-Ħames Presidenti dwar l-Ikkompletar tal-UEM tal-Ewropa enfasizza li l-integrazzjoni aktar mill-qrib tas-swieq kapitali u t-tneħħija gradwali tal-ostakoli nazzjonali li fadal jistgħu joħolqu riskji ġodda għall-istabbiltà finanzjarja. Skont dan ir-Rapport, se jkun meħtieġ li jiġi estiż u msaħħaħ il-qafas superviżorju sabiex tiġi żgurata s-solidità tal-atturi finanzjarji kollha. </w:t>
      </w:r>
    </w:p>
    <w:p>
      <w:pPr>
        <w:pStyle w:val="Text1"/>
        <w:pBdr>
          <w:top w:val="single" w:sz="4" w:space="1" w:color="auto"/>
          <w:left w:val="single" w:sz="4" w:space="4" w:color="auto"/>
          <w:bottom w:val="single" w:sz="4" w:space="1" w:color="auto"/>
          <w:right w:val="single" w:sz="4" w:space="4" w:color="auto"/>
        </w:pBdr>
        <w:rPr>
          <w:noProof/>
        </w:rPr>
      </w:pPr>
      <w:r>
        <w:rPr>
          <w:noProof/>
        </w:rPr>
        <w:t>It-tieni nett, din il-proposta hija koerenti mal-proġett tas-CMU. Fid-dawl tal-interkonnettività dejjem tiżdied tas-swieq finanzjarji, fil-livell tal-UE u dak globali, hemm bżonn li s-superviżjoni tal-UE tkun ulterjorment integrata biex taffaċċa l-isfidi futuri tas-swieq finanzjarji tal-UE. Kemm l-Aġenda 2030 tan-NU għall-Iżvilupp Sostenibbli u wkoll il-Ftehim ta’ Pariġi jagħmluha ċara li r-riforma tas-sistema finanzjarja hija ċentrali biex l-ekonomiji tagħna jitpoġġew fuq il-perkors ta’ tkabbir sostenibbli.</w:t>
      </w:r>
      <w:r>
        <w:rPr>
          <w:noProof/>
          <w:sz w:val="23"/>
        </w:rPr>
        <w:t xml:space="preserve"> L-orjentazzjoni mill-ġdid tal-flussi ta’ kapital privat għal investimenti aktar sostenibbli, tirrikjedi riformolazzjoni tal-qafas finanzjarju tagħna b’mod komprensiv u profond. Tassonomija unifikata u mekkaniżmu ta’ monitoraġġ tal-flussi kapitali lejn investimenti sostenibbli se jappoġġaw l-Unjoni tas-Swieq Kapitali.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It-tielet, il-finanzi sostenibbli huma parti mill-isforzi tal-Kummissjoni biex timmobilizza l-kapital privat lejn investimenti ekoloġiċi u sostenibbli li jippermettu t-tranżizzjoni għal ekonomija b’livell baxx ta’ karbonju u juru l-impenn qawwi tal-UE biex jittaffew ir-riskji li jirriżultaw mit-tibdil fil-klima u l-isfidi ambjentali. B’mod partikolari, hemm il-ħtieġa li s-settur finanzjarju tal-UE ikun mgħammar bl-istrumenti xierqa għall-promozzjoni ta’ finanzi sostenibbli u tiġi żgurata l-istabbiltà finanzjarja. Klassifikazzjoni ċara u unifikata tal-UE (u l-kunċett relatat ta’ ambjent ta’ investiment sostenibbli) se tipprovdi l-bażi għal azzjoni ulterjuri f’oqsma bħalma huma l-istandards, it-tikketti, l-iżvelar, u kwalunkwe bidliet futuri tar-regoli prudenzjali. </w:t>
      </w:r>
    </w:p>
    <w:p>
      <w:pPr>
        <w:pStyle w:val="ManualHeading2"/>
        <w:rPr>
          <w:bCs/>
          <w:noProof/>
          <w:szCs w:val="24"/>
        </w:rPr>
      </w:pPr>
      <w:r>
        <w:rPr>
          <w:noProof/>
        </w:rPr>
        <w:br w:type="page"/>
      </w:r>
      <w:r>
        <w:t>1.6.</w:t>
      </w:r>
      <w:r>
        <w:tab/>
      </w:r>
      <w:r>
        <w:rPr>
          <w:noProof/>
        </w:rPr>
        <w:t xml:space="preserve">Durata u impatt finanzjarju </w:t>
      </w:r>
    </w:p>
    <w:p>
      <w:pPr>
        <w:pStyle w:val="Text1"/>
        <w:rPr>
          <w:noProof/>
        </w:rPr>
      </w:pPr>
      <w:r>
        <w:rPr>
          <w:noProof/>
        </w:rPr>
        <w:sym w:font="Wingdings" w:char="F0A8"/>
      </w:r>
      <w:r>
        <w:rPr>
          <w:noProof/>
        </w:rPr>
        <w:t xml:space="preserve"> Proposta / inizjattiva ta’ </w:t>
      </w:r>
      <w:r>
        <w:rPr>
          <w:b/>
          <w:noProof/>
        </w:rPr>
        <w:t xml:space="preserve">tul ta' żmien limitat </w:t>
      </w:r>
    </w:p>
    <w:p>
      <w:pPr>
        <w:pStyle w:val="ListDash2"/>
        <w:rPr>
          <w:noProof/>
        </w:rPr>
      </w:pPr>
      <w:r>
        <w:rPr>
          <w:noProof/>
        </w:rPr>
        <w:sym w:font="Wingdings" w:char="F0A8"/>
      </w:r>
      <w:r>
        <w:rPr>
          <w:noProof/>
        </w:rPr>
        <w:tab/>
        <w:t xml:space="preserve">Proposta / inizjattiva fis-seħħ minn [JJ/XX]SSSS sa [JJ/XX]SSSS </w:t>
      </w:r>
    </w:p>
    <w:p>
      <w:pPr>
        <w:pStyle w:val="ListDash2"/>
        <w:rPr>
          <w:noProof/>
        </w:rPr>
      </w:pPr>
      <w:r>
        <w:rPr>
          <w:noProof/>
        </w:rPr>
        <w:sym w:font="Wingdings" w:char="F0A8"/>
      </w:r>
      <w:r>
        <w:rPr>
          <w:noProof/>
        </w:rPr>
        <w:tab/>
        <w:t>Impatt finanzjarju mill-SSSS sal-SSSS</w:t>
      </w:r>
    </w:p>
    <w:p>
      <w:pPr>
        <w:pStyle w:val="Text1"/>
        <w:rPr>
          <w:noProof/>
        </w:rPr>
      </w:pPr>
      <w:r>
        <w:rPr>
          <w:noProof/>
        </w:rPr>
        <w:sym w:font="Wingdings" w:char="F0FE"/>
      </w:r>
      <w:r>
        <w:rPr>
          <w:noProof/>
        </w:rPr>
        <w:t xml:space="preserve"> Proposta / inizjattiva ta’ </w:t>
      </w:r>
      <w:r>
        <w:rPr>
          <w:b/>
          <w:noProof/>
        </w:rPr>
        <w:t>tul ta’ żmien mhux limitat</w:t>
      </w:r>
    </w:p>
    <w:p>
      <w:pPr>
        <w:pStyle w:val="ListDash1"/>
        <w:rPr>
          <w:noProof/>
        </w:rPr>
      </w:pPr>
      <w:r>
        <w:rPr>
          <w:noProof/>
        </w:rPr>
        <w:t>Implimentazzjoni b’perjodu inizjali mill-SSSS sal-SSSS,</w:t>
      </w:r>
    </w:p>
    <w:p>
      <w:pPr>
        <w:pStyle w:val="ListDash1"/>
        <w:rPr>
          <w:noProof/>
        </w:rPr>
      </w:pPr>
      <w:r>
        <w:rPr>
          <w:noProof/>
        </w:rPr>
        <w:t>segwit minn operazzjoni fuq skala sħiħa.</w:t>
      </w:r>
    </w:p>
    <w:p>
      <w:pPr>
        <w:pStyle w:val="ManualHeading2"/>
        <w:rPr>
          <w:bCs/>
          <w:noProof/>
          <w:szCs w:val="24"/>
        </w:rPr>
      </w:pPr>
      <w:r>
        <w:t>1.7.</w:t>
      </w:r>
      <w:r>
        <w:tab/>
      </w:r>
      <w:r>
        <w:rPr>
          <w:noProof/>
        </w:rPr>
        <w:t>Mod(i) ta’ ġestjoni ppjanat(i)</w:t>
      </w:r>
      <w:r>
        <w:rPr>
          <w:rStyle w:val="FootnoteReference"/>
          <w:noProof/>
        </w:rPr>
        <w:footnoteReference w:id="57"/>
      </w:r>
      <w:r>
        <w:rPr>
          <w:rStyle w:val="FootnoteReference"/>
          <w:noProof/>
        </w:rPr>
        <w:t xml:space="preserve"> </w:t>
      </w:r>
    </w:p>
    <w:p>
      <w:pPr>
        <w:pStyle w:val="Text1"/>
        <w:rPr>
          <w:noProof/>
        </w:rPr>
      </w:pPr>
      <w:r>
        <w:rPr>
          <w:noProof/>
        </w:rPr>
        <w:sym w:font="Wingdings" w:char="F0FE"/>
      </w:r>
      <w:r>
        <w:rPr>
          <w:noProof/>
        </w:rPr>
        <w:t xml:space="preserve"> </w:t>
      </w:r>
      <w:r>
        <w:rPr>
          <w:b/>
          <w:noProof/>
        </w:rPr>
        <w:t>Ġestjoni diretta</w:t>
      </w:r>
      <w:r>
        <w:rPr>
          <w:noProof/>
        </w:rPr>
        <w:t xml:space="preserve"> mill-Kummissjoni permezz ta’</w:t>
      </w:r>
    </w:p>
    <w:p>
      <w:pPr>
        <w:pStyle w:val="ListDash2"/>
        <w:rPr>
          <w:noProof/>
        </w:rPr>
      </w:pPr>
      <w:r>
        <w:rPr>
          <w:noProof/>
        </w:rPr>
        <w:sym w:font="Wingdings" w:char="F0A8"/>
      </w:r>
      <w:r>
        <w:rPr>
          <w:noProof/>
        </w:rPr>
        <w:tab/>
        <w:t xml:space="preserve">aġenziji eżekuttivi </w:t>
      </w:r>
    </w:p>
    <w:p>
      <w:pPr>
        <w:pStyle w:val="Text1"/>
        <w:rPr>
          <w:noProof/>
        </w:rPr>
      </w:pPr>
      <w:r>
        <w:rPr>
          <w:noProof/>
        </w:rPr>
        <w:sym w:font="Wingdings" w:char="F0A8"/>
      </w:r>
      <w:r>
        <w:rPr>
          <w:noProof/>
        </w:rPr>
        <w:t xml:space="preserve"> </w:t>
      </w:r>
      <w:r>
        <w:rPr>
          <w:b/>
          <w:noProof/>
        </w:rPr>
        <w:t>Ġestjoni kondiviża</w:t>
      </w:r>
      <w:r>
        <w:rPr>
          <w:noProof/>
        </w:rPr>
        <w:t xml:space="preserve"> mal-Istati Membri </w:t>
      </w:r>
    </w:p>
    <w:p>
      <w:pPr>
        <w:pStyle w:val="Text1"/>
        <w:rPr>
          <w:noProof/>
        </w:rPr>
      </w:pPr>
      <w:r>
        <w:rPr>
          <w:noProof/>
        </w:rPr>
        <w:sym w:font="Wingdings" w:char="F0FE"/>
      </w:r>
      <w:r>
        <w:rPr>
          <w:noProof/>
        </w:rPr>
        <w:t xml:space="preserve"> </w:t>
      </w:r>
      <w:r>
        <w:rPr>
          <w:b/>
          <w:noProof/>
        </w:rPr>
        <w:t>Ġestjoni indiretta</w:t>
      </w:r>
      <w:r>
        <w:rPr>
          <w:noProof/>
        </w:rPr>
        <w:t xml:space="preserve"> billi l-kompiti tal-implimentazzjoni tal-baġit jiġu fdati lil:</w:t>
      </w:r>
    </w:p>
    <w:p>
      <w:pPr>
        <w:pStyle w:val="Text1"/>
        <w:rPr>
          <w:noProof/>
        </w:rPr>
      </w:pPr>
      <w:r>
        <w:rPr>
          <w:noProof/>
        </w:rPr>
        <w:sym w:font="Wingdings" w:char="F0A8"/>
      </w:r>
      <w:r>
        <w:rPr>
          <w:noProof/>
        </w:rPr>
        <w:t xml:space="preserve"> organizzazzjonijiet internazzjonali u l-aġenziji tagħhom (iridu jiġu speċifikati);</w:t>
      </w:r>
    </w:p>
    <w:p>
      <w:pPr>
        <w:pStyle w:val="Text1"/>
        <w:rPr>
          <w:noProof/>
        </w:rPr>
      </w:pPr>
      <w:r>
        <w:rPr>
          <w:noProof/>
        </w:rPr>
        <w:sym w:font="Wingdings" w:char="F0A8"/>
      </w:r>
      <w:r>
        <w:rPr>
          <w:noProof/>
        </w:rPr>
        <w:t>il-BEI u l-Fond Ewropew tal-Investiment;</w:t>
      </w:r>
    </w:p>
    <w:p>
      <w:pPr>
        <w:pStyle w:val="Text1"/>
        <w:rPr>
          <w:noProof/>
        </w:rPr>
      </w:pPr>
      <w:r>
        <w:rPr>
          <w:noProof/>
        </w:rPr>
        <w:sym w:font="Wingdings" w:char="F0FE"/>
      </w:r>
      <w:r>
        <w:rPr>
          <w:noProof/>
        </w:rPr>
        <w:t>il-korpi msemmijin fl-Artikoli 208 u 209;</w:t>
      </w:r>
    </w:p>
    <w:p>
      <w:pPr>
        <w:pStyle w:val="Text1"/>
        <w:rPr>
          <w:noProof/>
        </w:rPr>
      </w:pPr>
      <w:r>
        <w:rPr>
          <w:noProof/>
        </w:rPr>
        <w:sym w:font="Wingdings" w:char="F0A8"/>
      </w:r>
      <w:r>
        <w:rPr>
          <w:noProof/>
        </w:rPr>
        <w:t xml:space="preserve"> il-korpi tal-liġi pubblika;</w:t>
      </w:r>
    </w:p>
    <w:p>
      <w:pPr>
        <w:pStyle w:val="Text1"/>
        <w:rPr>
          <w:noProof/>
        </w:rPr>
      </w:pPr>
      <w:r>
        <w:rPr>
          <w:noProof/>
        </w:rPr>
        <w:sym w:font="Wingdings" w:char="F0A8"/>
      </w:r>
      <w:r>
        <w:rPr>
          <w:noProof/>
        </w:rPr>
        <w:t xml:space="preserve"> il-korpi rregolati mid-dritt privat b’missjoni ta’ servizz pubbliku sakemm dawn jipprovdu garanziji finanzjarji adegwati;</w:t>
      </w:r>
    </w:p>
    <w:p>
      <w:pPr>
        <w:pStyle w:val="Text1"/>
        <w:rPr>
          <w:noProof/>
        </w:rPr>
      </w:pPr>
      <w:r>
        <w:rPr>
          <w:noProof/>
        </w:rPr>
        <w:sym w:font="Wingdings" w:char="F0A8"/>
      </w:r>
      <w:r>
        <w:rPr>
          <w:noProof/>
        </w:rPr>
        <w:t xml:space="preserve"> il-korpi rregolati mid-dritt privat ta’ Stat Membru li jkunu fdati bl-implimentazzjoni ta’ sħubija pubblika privata u li jipprovdu garanziji finanzjarji adegwati;</w:t>
      </w:r>
    </w:p>
    <w:p>
      <w:pPr>
        <w:pStyle w:val="Text1"/>
        <w:rPr>
          <w:noProof/>
        </w:rPr>
      </w:pPr>
      <w:r>
        <w:rPr>
          <w:noProof/>
        </w:rPr>
        <w:sym w:font="Wingdings" w:char="F0A8"/>
      </w:r>
      <w:r>
        <w:rPr>
          <w:noProof/>
        </w:rPr>
        <w:t xml:space="preserve"> il-persuni fdati bl-implimentazzjoni ta’ azzjonijiet speċifiċi fil-PESK skont it-Titolu V tat-TUE, u identifikati fl-att bażiku relevanti.</w:t>
      </w:r>
    </w:p>
    <w:p>
      <w:pPr>
        <w:rPr>
          <w:noProof/>
        </w:rPr>
      </w:pPr>
      <w:r>
        <w:rPr>
          <w:noProof/>
        </w:rPr>
        <w:t xml:space="preserve">Kummenti </w:t>
      </w:r>
    </w:p>
    <w:p>
      <w:pPr>
        <w:pBdr>
          <w:top w:val="single" w:sz="4" w:space="1" w:color="auto"/>
          <w:left w:val="single" w:sz="4" w:space="4" w:color="auto"/>
          <w:bottom w:val="single" w:sz="4" w:space="1" w:color="auto"/>
          <w:right w:val="single" w:sz="4" w:space="4" w:color="auto"/>
        </w:pBdr>
        <w:rPr>
          <w:noProof/>
        </w:rPr>
        <w:sectPr>
          <w:pgSz w:w="11907" w:h="16839" w:code="9"/>
          <w:pgMar w:top="794" w:right="907" w:bottom="851" w:left="1361" w:header="510" w:footer="454" w:gutter="0"/>
          <w:cols w:space="720"/>
          <w:docGrid w:linePitch="326"/>
        </w:sectPr>
      </w:pPr>
      <w:r>
        <w:rPr>
          <w:noProof/>
        </w:rPr>
        <w:t>Mhux disponibbli</w:t>
      </w:r>
    </w:p>
    <w:p>
      <w:pPr>
        <w:pStyle w:val="ManualHeading1"/>
        <w:rPr>
          <w:bCs/>
          <w:noProof/>
          <w:szCs w:val="24"/>
        </w:rPr>
      </w:pPr>
      <w:r>
        <w:t>2.</w:t>
      </w:r>
      <w:r>
        <w:tab/>
      </w:r>
      <w:r>
        <w:rPr>
          <w:noProof/>
        </w:rPr>
        <w:t xml:space="preserve">MIŻURI TA’ ĠESTJONI </w:t>
      </w:r>
    </w:p>
    <w:p>
      <w:pPr>
        <w:pStyle w:val="ManualHeading2"/>
        <w:rPr>
          <w:bCs/>
          <w:noProof/>
          <w:szCs w:val="24"/>
        </w:rPr>
      </w:pPr>
      <w:r>
        <w:t>2.1.</w:t>
      </w:r>
      <w:r>
        <w:tab/>
      </w:r>
      <w:r>
        <w:rPr>
          <w:noProof/>
        </w:rPr>
        <w:t xml:space="preserve">Regoli ta’ monitoraġġ u ta’ rapportar </w:t>
      </w:r>
    </w:p>
    <w:p>
      <w:pPr>
        <w:pStyle w:val="Text1"/>
        <w:rPr>
          <w:i/>
          <w:noProof/>
          <w:sz w:val="20"/>
        </w:rPr>
      </w:pPr>
      <w:r>
        <w:rPr>
          <w:i/>
          <w:noProof/>
          <w:sz w:val="20"/>
        </w:rPr>
        <w:t>Speċifika l-frekwenza u l-kundizzjonijiet.</w:t>
      </w:r>
    </w:p>
    <w:p>
      <w:pPr>
        <w:pStyle w:val="Text1"/>
        <w:pBdr>
          <w:top w:val="single" w:sz="4" w:space="1" w:color="auto"/>
          <w:left w:val="single" w:sz="4" w:space="4" w:color="auto"/>
          <w:bottom w:val="single" w:sz="4" w:space="1" w:color="auto"/>
          <w:right w:val="single" w:sz="4" w:space="4" w:color="auto"/>
        </w:pBdr>
        <w:rPr>
          <w:noProof/>
        </w:rPr>
      </w:pPr>
      <w:r>
        <w:rPr>
          <w:noProof/>
        </w:rPr>
        <w:t>Il-proposta tippreżenta l-istabbiliment ta’ pjattaforma pubblika-privata dwar il-finanzi sostenibbli għall-monitoraġġ tal-iżviluppi prinċipali biex ikun żgurat il-progress, it-tkabbir u l-adattabilità ta’ tassonomija ta’ sostenibbiltà tal-UE. Rigward l-involviment tal-ASEs u tal-EEA, il-Kummissjoni se tagħmel monitoraġġ tiegħu abbażi tal-kompiti previsti fil-proposta.</w:t>
      </w:r>
    </w:p>
    <w:p>
      <w:pPr>
        <w:pStyle w:val="ManualHeading2"/>
        <w:rPr>
          <w:bCs/>
          <w:noProof/>
          <w:szCs w:val="24"/>
        </w:rPr>
      </w:pPr>
      <w:r>
        <w:t>2.2.</w:t>
      </w:r>
      <w:r>
        <w:tab/>
      </w:r>
      <w:r>
        <w:rPr>
          <w:noProof/>
        </w:rPr>
        <w:t xml:space="preserve">Sistema ta’ ġestjoni u ta’ kontroll </w:t>
      </w:r>
    </w:p>
    <w:p>
      <w:pPr>
        <w:pStyle w:val="ManualHeading3"/>
        <w:rPr>
          <w:bCs/>
          <w:noProof/>
          <w:szCs w:val="24"/>
        </w:rPr>
      </w:pPr>
      <w:r>
        <w:t>2.2.1.</w:t>
      </w:r>
      <w:r>
        <w:tab/>
      </w:r>
      <w:r>
        <w:rPr>
          <w:noProof/>
        </w:rPr>
        <w:t xml:space="preserve">Riskju/i identifikat(i) </w:t>
      </w:r>
    </w:p>
    <w:p>
      <w:pPr>
        <w:pStyle w:val="Text1"/>
        <w:pBdr>
          <w:top w:val="single" w:sz="4" w:space="1" w:color="auto"/>
          <w:left w:val="single" w:sz="4" w:space="4" w:color="auto"/>
          <w:bottom w:val="single" w:sz="4" w:space="1" w:color="auto"/>
          <w:right w:val="single" w:sz="4" w:space="4" w:color="auto"/>
        </w:pBdr>
        <w:rPr>
          <w:noProof/>
        </w:rPr>
      </w:pPr>
      <w:r>
        <w:rPr>
          <w:noProof/>
        </w:rPr>
        <w:t>Fir-rigward tal-użu legali, ekonomiku, effiċjenti u effikaċi tal-approprjazzjonijiet li jirriżultaw mill-azzjonijiet li għandhom jiġu mwettqa mill-ASEs u l-EEA fil-kuntest ta’ din il-proposta, din l-inizjattiva ma tiġġenerax riskji sinifikanti ġodda li ma jkunux koperti minn qafas ta’ kontroll intern eżistenti.</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L-azzjonijiet li għandhom jitwettqu fil-kuntest ta’ din il-proposta se jibdew fl-2020, u se jkomplu u għandhom jiġu previsti skont il-Qafas Finanzjarju Multiannwali ġdid (MFF).</w:t>
      </w:r>
    </w:p>
    <w:p>
      <w:pPr>
        <w:pStyle w:val="ManualHeading3"/>
        <w:rPr>
          <w:bCs/>
          <w:noProof/>
          <w:szCs w:val="24"/>
        </w:rPr>
      </w:pPr>
      <w:r>
        <w:t>2.2.2.</w:t>
      </w:r>
      <w:r>
        <w:tab/>
      </w:r>
      <w:r>
        <w:rPr>
          <w:noProof/>
        </w:rPr>
        <w:t xml:space="preserve">Metodu/i ta’ kontroll previst(i)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Is-sistemi ta’ ġestjoni u ta’ kontroll huma pprovduti fir-Regolamenti li bħalissa jirregolaw il-funzjonament tal-ASEs u EEA. Dawn il-korpi se jaħdmu mill-qrib mas-Servizz tal-Awditjar Intern tal-Kummissjoni sabiex jiżguraw li jiġu segwiti l-istandards xierqa fl-oqsma kollha tal-qafas ta’ kontroll intern.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Kull sena, il-Parlament Ewropew, wara rakkomandazzjoni mill-Kunsill, jagħti kwittanza lil kull ASE u lill-EEA għall-implimentazzjoni tal-baġit tagħhom. </w:t>
      </w:r>
    </w:p>
    <w:p>
      <w:pPr>
        <w:pStyle w:val="ManualHeading2"/>
        <w:rPr>
          <w:bCs/>
          <w:noProof/>
          <w:szCs w:val="24"/>
        </w:rPr>
      </w:pPr>
      <w:r>
        <w:t>2.3.</w:t>
      </w:r>
      <w:r>
        <w:tab/>
      </w:r>
      <w:r>
        <w:rPr>
          <w:noProof/>
        </w:rPr>
        <w:t xml:space="preserve">Miżuri għall-prevenzjoni ta’ frodi u ta’ irregolaritajiet </w:t>
      </w:r>
    </w:p>
    <w:p>
      <w:pPr>
        <w:pStyle w:val="Text1"/>
        <w:rPr>
          <w:i/>
          <w:noProof/>
          <w:sz w:val="20"/>
        </w:rPr>
      </w:pPr>
      <w:r>
        <w:rPr>
          <w:i/>
          <w:noProof/>
          <w:sz w:val="20"/>
        </w:rPr>
        <w:t>Speċifika l-miżuri ta’ prevenzjoni jew protezzjoni eżistenti jew dawk previsti.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Għall-finijiet tal-ġlieda kontra l-frodi, il-korruzzjoni u kull attività illegali oħra, id-dispożizzjonijiet tar-Regolament (UE, Euratom) Nru 883/2013 tal-Parlament Ewropew u tal-Kunsill tal-11 ta’ Settembru 2013 dwar investigazzjonijiet immexxija mill-Uffiċċju Ewropew Kontra l-Frodi (OLAF) japplikaw għall-ASEs u għall-EEA mingħajr ebda restrizzjoni. L-ASEs u l-EEA għandhom strateġija ddedikata għal kontra l-frodi u l-pjan ta’ azzjoni li jirriżulta minnha. Barra minn hekk, ir-Regolamenti li jistabbilixxu l-ASEs u l-EEA, kif ukoll ir-Regolamenti Finanzjarji tal-ASEs jistabbilixxu d-dispożizzjonijiet dwar l-implimentazzjoni u l-kontroll tal-baġit tal-ASEs u tal-EEA u r-regoli finanzjarji applikabbli, inklużi dawk immirati biex jipprevjenu l-frodi u l-irregolaritajiet. </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r>
        <w:t>3.</w:t>
      </w:r>
      <w:r>
        <w:tab/>
      </w:r>
      <w:r>
        <w:rPr>
          <w:noProof/>
        </w:rPr>
        <w:t xml:space="preserve">IMPATT FINANZJARJU STMAT TAL-PROPOSTA/TAL-INIZJATTIVA </w:t>
      </w:r>
    </w:p>
    <w:p>
      <w:pPr>
        <w:pStyle w:val="ManualHeading2"/>
        <w:rPr>
          <w:bCs/>
          <w:noProof/>
          <w:szCs w:val="24"/>
        </w:rPr>
      </w:pPr>
      <w:r>
        <w:t>3.1.</w:t>
      </w:r>
      <w:r>
        <w:tab/>
      </w:r>
      <w:r>
        <w:rPr>
          <w:noProof/>
        </w:rPr>
        <w:t xml:space="preserve">Intestatura/i tal-qafas finanzjarju pluriennali u linja/i baġitarja/i tan-nefqa affettwata/i </w:t>
      </w:r>
    </w:p>
    <w:p>
      <w:pPr>
        <w:pStyle w:val="ListBullet1"/>
        <w:rPr>
          <w:noProof/>
        </w:rPr>
      </w:pPr>
      <w:r>
        <w:rPr>
          <w:noProof/>
        </w:rPr>
        <w:t xml:space="preserve">Linji baġitarji eżistenti </w:t>
      </w:r>
    </w:p>
    <w:p>
      <w:pPr>
        <w:pStyle w:val="Text1"/>
        <w:rPr>
          <w:noProof/>
        </w:rPr>
      </w:pPr>
      <w:r>
        <w:rPr>
          <w:noProof/>
          <w:u w:val="single"/>
        </w:rPr>
        <w:t>Fl-ordni</w:t>
      </w:r>
      <w:r>
        <w:rPr>
          <w:noProof/>
        </w:rPr>
        <w:t xml:space="preserve"> tal-intestaturi tal-qafas finanzjarju pluriennali u l-linji baġitarji.</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Intestaturi tal-qafas finanzjarju pluriennali</w:t>
            </w:r>
          </w:p>
        </w:tc>
        <w:tc>
          <w:tcPr>
            <w:tcW w:w="3262" w:type="dxa"/>
            <w:vAlign w:val="center"/>
          </w:tcPr>
          <w:p>
            <w:pPr>
              <w:spacing w:before="60" w:after="60"/>
              <w:jc w:val="center"/>
              <w:rPr>
                <w:noProof/>
              </w:rPr>
            </w:pPr>
            <w:r>
              <w:rPr>
                <w:noProof/>
                <w:sz w:val="20"/>
              </w:rPr>
              <w:t>Linja baġitarja</w:t>
            </w:r>
          </w:p>
        </w:tc>
        <w:tc>
          <w:tcPr>
            <w:tcW w:w="1080" w:type="dxa"/>
            <w:vAlign w:val="center"/>
          </w:tcPr>
          <w:p>
            <w:pPr>
              <w:spacing w:before="60" w:after="60"/>
              <w:jc w:val="center"/>
              <w:rPr>
                <w:noProof/>
              </w:rPr>
            </w:pPr>
            <w:r>
              <w:rPr>
                <w:noProof/>
                <w:sz w:val="18"/>
              </w:rPr>
              <w:t xml:space="preserve">Tip ta’ </w:t>
            </w:r>
            <w:r>
              <w:rPr>
                <w:noProof/>
                <w:sz w:val="22"/>
              </w:rPr>
              <w:br/>
            </w:r>
            <w:r>
              <w:rPr>
                <w:noProof/>
                <w:sz w:val="18"/>
              </w:rPr>
              <w:t>nefqa</w:t>
            </w:r>
          </w:p>
        </w:tc>
        <w:tc>
          <w:tcPr>
            <w:tcW w:w="4556" w:type="dxa"/>
            <w:gridSpan w:val="4"/>
            <w:vAlign w:val="center"/>
          </w:tcPr>
          <w:p>
            <w:pPr>
              <w:spacing w:before="60" w:after="60"/>
              <w:jc w:val="center"/>
              <w:rPr>
                <w:noProof/>
              </w:rPr>
            </w:pPr>
            <w:r>
              <w:rPr>
                <w:noProof/>
                <w:sz w:val="20"/>
              </w:rPr>
              <w:t xml:space="preserve">Kontribuzzjoni </w:t>
            </w:r>
          </w:p>
        </w:tc>
      </w:tr>
      <w:tr>
        <w:tc>
          <w:tcPr>
            <w:tcW w:w="1778" w:type="dxa"/>
            <w:vMerge/>
            <w:vAlign w:val="center"/>
          </w:tcPr>
          <w:p>
            <w:pPr>
              <w:rPr>
                <w:noProof/>
                <w:sz w:val="18"/>
              </w:rPr>
            </w:pPr>
          </w:p>
        </w:tc>
        <w:tc>
          <w:tcPr>
            <w:tcW w:w="3262" w:type="dxa"/>
            <w:vAlign w:val="center"/>
          </w:tcPr>
          <w:p>
            <w:pPr>
              <w:jc w:val="left"/>
              <w:rPr>
                <w:noProof/>
              </w:rPr>
            </w:pPr>
            <w:r>
              <w:rPr>
                <w:noProof/>
                <w:sz w:val="20"/>
              </w:rPr>
              <w:t xml:space="preserve">Numru </w:t>
            </w:r>
            <w:r>
              <w:rPr>
                <w:noProof/>
                <w:sz w:val="22"/>
              </w:rPr>
              <w:br/>
            </w:r>
          </w:p>
        </w:tc>
        <w:tc>
          <w:tcPr>
            <w:tcW w:w="1080" w:type="dxa"/>
            <w:vAlign w:val="center"/>
          </w:tcPr>
          <w:p>
            <w:pPr>
              <w:jc w:val="center"/>
              <w:rPr>
                <w:noProof/>
              </w:rPr>
            </w:pPr>
            <w:r>
              <w:rPr>
                <w:noProof/>
                <w:sz w:val="18"/>
              </w:rPr>
              <w:t>Diff/Mhux diff.</w:t>
            </w:r>
            <w:r>
              <w:rPr>
                <w:rStyle w:val="FootnoteReference"/>
                <w:noProof/>
                <w:sz w:val="18"/>
              </w:rPr>
              <w:footnoteReference w:id="58"/>
            </w:r>
          </w:p>
        </w:tc>
        <w:tc>
          <w:tcPr>
            <w:tcW w:w="956" w:type="dxa"/>
            <w:vAlign w:val="center"/>
          </w:tcPr>
          <w:p>
            <w:pPr>
              <w:jc w:val="center"/>
              <w:rPr>
                <w:noProof/>
              </w:rPr>
            </w:pPr>
            <w:r>
              <w:rPr>
                <w:noProof/>
                <w:sz w:val="18"/>
              </w:rPr>
              <w:t>mingħand il-pajjiżi tal-EFTA</w:t>
            </w:r>
            <w:r>
              <w:rPr>
                <w:rStyle w:val="FootnoteReference"/>
                <w:noProof/>
                <w:sz w:val="18"/>
              </w:rPr>
              <w:footnoteReference w:id="59"/>
            </w:r>
          </w:p>
        </w:tc>
        <w:tc>
          <w:tcPr>
            <w:tcW w:w="1080" w:type="dxa"/>
            <w:vAlign w:val="center"/>
          </w:tcPr>
          <w:p>
            <w:pPr>
              <w:jc w:val="center"/>
              <w:rPr>
                <w:noProof/>
                <w:sz w:val="18"/>
              </w:rPr>
            </w:pPr>
            <w:r>
              <w:rPr>
                <w:noProof/>
                <w:sz w:val="18"/>
              </w:rPr>
              <w:t>mingħand il-pajjiżi kandidati</w:t>
            </w:r>
            <w:r>
              <w:rPr>
                <w:rStyle w:val="FootnoteReference"/>
                <w:noProof/>
                <w:sz w:val="18"/>
              </w:rPr>
              <w:footnoteReference w:id="60"/>
            </w:r>
          </w:p>
        </w:tc>
        <w:tc>
          <w:tcPr>
            <w:tcW w:w="956" w:type="dxa"/>
            <w:vAlign w:val="center"/>
          </w:tcPr>
          <w:p>
            <w:pPr>
              <w:jc w:val="center"/>
              <w:rPr>
                <w:noProof/>
                <w:sz w:val="18"/>
              </w:rPr>
            </w:pPr>
            <w:r>
              <w:rPr>
                <w:noProof/>
                <w:sz w:val="18"/>
              </w:rPr>
              <w:t>mingħand pajjiżi terzi</w:t>
            </w:r>
          </w:p>
        </w:tc>
        <w:tc>
          <w:tcPr>
            <w:tcW w:w="1564" w:type="dxa"/>
            <w:vAlign w:val="center"/>
          </w:tcPr>
          <w:p>
            <w:pPr>
              <w:jc w:val="center"/>
              <w:rPr>
                <w:noProof/>
                <w:sz w:val="16"/>
                <w:szCs w:val="16"/>
              </w:rPr>
            </w:pPr>
            <w:r>
              <w:rPr>
                <w:noProof/>
                <w:sz w:val="16"/>
              </w:rPr>
              <w:t xml:space="preserve">skont it-tifsira tal-Artikolu 21(2)(b) tar-Regolament Finanzjarju </w:t>
            </w:r>
          </w:p>
        </w:tc>
      </w:tr>
      <w:tr>
        <w:tc>
          <w:tcPr>
            <w:tcW w:w="1778" w:type="dxa"/>
            <w:vMerge w:val="restart"/>
            <w:vAlign w:val="center"/>
          </w:tcPr>
          <w:p>
            <w:pPr>
              <w:jc w:val="center"/>
              <w:rPr>
                <w:b/>
                <w:bCs/>
                <w:noProof/>
              </w:rPr>
            </w:pPr>
            <w:r>
              <w:rPr>
                <w:noProof/>
              </w:rPr>
              <w:t>1a) Kompetittività għat-tkabbir u l-impjiegi</w:t>
            </w:r>
          </w:p>
        </w:tc>
        <w:tc>
          <w:tcPr>
            <w:tcW w:w="3262" w:type="dxa"/>
            <w:vAlign w:val="center"/>
          </w:tcPr>
          <w:p>
            <w:pPr>
              <w:spacing w:after="60"/>
              <w:rPr>
                <w:noProof/>
              </w:rPr>
            </w:pPr>
            <w:r>
              <w:rPr>
                <w:noProof/>
                <w:sz w:val="20"/>
              </w:rPr>
              <w:t>12.0201FISMA</w:t>
            </w:r>
          </w:p>
        </w:tc>
        <w:tc>
          <w:tcPr>
            <w:tcW w:w="1080" w:type="dxa"/>
            <w:vAlign w:val="center"/>
          </w:tcPr>
          <w:p>
            <w:pPr>
              <w:jc w:val="center"/>
              <w:rPr>
                <w:noProof/>
                <w:color w:val="0000FF"/>
              </w:rPr>
            </w:pPr>
            <w:r>
              <w:rPr>
                <w:noProof/>
                <w:sz w:val="18"/>
              </w:rPr>
              <w:t>Diff.</w:t>
            </w:r>
          </w:p>
        </w:tc>
        <w:tc>
          <w:tcPr>
            <w:tcW w:w="956" w:type="dxa"/>
            <w:vAlign w:val="center"/>
          </w:tcPr>
          <w:p>
            <w:pPr>
              <w:jc w:val="center"/>
              <w:rPr>
                <w:noProof/>
              </w:rPr>
            </w:pPr>
            <w:r>
              <w:rPr>
                <w:noProof/>
              </w:rPr>
              <w:t>LE</w:t>
            </w:r>
          </w:p>
        </w:tc>
        <w:tc>
          <w:tcPr>
            <w:tcW w:w="1080" w:type="dxa"/>
            <w:vAlign w:val="center"/>
          </w:tcPr>
          <w:p>
            <w:pPr>
              <w:jc w:val="center"/>
              <w:rPr>
                <w:noProof/>
              </w:rPr>
            </w:pPr>
            <w:r>
              <w:rPr>
                <w:noProof/>
              </w:rPr>
              <w:t>LE</w:t>
            </w:r>
          </w:p>
        </w:tc>
        <w:tc>
          <w:tcPr>
            <w:tcW w:w="956" w:type="dxa"/>
            <w:vAlign w:val="center"/>
          </w:tcPr>
          <w:p>
            <w:pPr>
              <w:jc w:val="center"/>
              <w:rPr>
                <w:noProof/>
              </w:rPr>
            </w:pPr>
            <w:r>
              <w:rPr>
                <w:noProof/>
              </w:rPr>
              <w:t>LE</w:t>
            </w:r>
          </w:p>
        </w:tc>
        <w:tc>
          <w:tcPr>
            <w:tcW w:w="1564" w:type="dxa"/>
            <w:vAlign w:val="center"/>
          </w:tcPr>
          <w:p>
            <w:pPr>
              <w:jc w:val="center"/>
              <w:rPr>
                <w:noProof/>
              </w:rPr>
            </w:pPr>
            <w:r>
              <w:rPr>
                <w:noProof/>
              </w:rPr>
              <w:t>LE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12.0204 EBA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LE</w:t>
            </w:r>
          </w:p>
        </w:tc>
        <w:tc>
          <w:tcPr>
            <w:tcW w:w="1080" w:type="dxa"/>
            <w:vAlign w:val="center"/>
          </w:tcPr>
          <w:p>
            <w:pPr>
              <w:jc w:val="center"/>
              <w:rPr>
                <w:noProof/>
              </w:rPr>
            </w:pPr>
            <w:r>
              <w:rPr>
                <w:noProof/>
              </w:rPr>
              <w:t>LE</w:t>
            </w:r>
          </w:p>
        </w:tc>
        <w:tc>
          <w:tcPr>
            <w:tcW w:w="956" w:type="dxa"/>
            <w:vAlign w:val="center"/>
          </w:tcPr>
          <w:p>
            <w:pPr>
              <w:jc w:val="center"/>
              <w:rPr>
                <w:noProof/>
              </w:rPr>
            </w:pPr>
            <w:r>
              <w:rPr>
                <w:noProof/>
              </w:rPr>
              <w:t>LE</w:t>
            </w:r>
          </w:p>
        </w:tc>
        <w:tc>
          <w:tcPr>
            <w:tcW w:w="1564" w:type="dxa"/>
            <w:vAlign w:val="center"/>
          </w:tcPr>
          <w:p>
            <w:pPr>
              <w:jc w:val="center"/>
              <w:rPr>
                <w:noProof/>
              </w:rPr>
            </w:pPr>
            <w:r>
              <w:rPr>
                <w:noProof/>
              </w:rPr>
              <w:t>LE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12.0205 EIOPA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LE</w:t>
            </w:r>
          </w:p>
        </w:tc>
        <w:tc>
          <w:tcPr>
            <w:tcW w:w="1080" w:type="dxa"/>
            <w:vAlign w:val="center"/>
          </w:tcPr>
          <w:p>
            <w:pPr>
              <w:jc w:val="center"/>
              <w:rPr>
                <w:noProof/>
              </w:rPr>
            </w:pPr>
            <w:r>
              <w:rPr>
                <w:noProof/>
              </w:rPr>
              <w:t>LE</w:t>
            </w:r>
          </w:p>
        </w:tc>
        <w:tc>
          <w:tcPr>
            <w:tcW w:w="956" w:type="dxa"/>
            <w:vAlign w:val="center"/>
          </w:tcPr>
          <w:p>
            <w:pPr>
              <w:jc w:val="center"/>
              <w:rPr>
                <w:noProof/>
              </w:rPr>
            </w:pPr>
            <w:r>
              <w:rPr>
                <w:noProof/>
              </w:rPr>
              <w:t>LE</w:t>
            </w:r>
          </w:p>
        </w:tc>
        <w:tc>
          <w:tcPr>
            <w:tcW w:w="1564" w:type="dxa"/>
            <w:vAlign w:val="center"/>
          </w:tcPr>
          <w:p>
            <w:pPr>
              <w:jc w:val="center"/>
              <w:rPr>
                <w:noProof/>
              </w:rPr>
            </w:pPr>
            <w:r>
              <w:rPr>
                <w:noProof/>
              </w:rPr>
              <w:t>LE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12.0206 ESMA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LE</w:t>
            </w:r>
          </w:p>
        </w:tc>
        <w:tc>
          <w:tcPr>
            <w:tcW w:w="1080" w:type="dxa"/>
            <w:vAlign w:val="center"/>
          </w:tcPr>
          <w:p>
            <w:pPr>
              <w:jc w:val="center"/>
              <w:rPr>
                <w:noProof/>
              </w:rPr>
            </w:pPr>
            <w:r>
              <w:rPr>
                <w:noProof/>
              </w:rPr>
              <w:t>LE</w:t>
            </w:r>
          </w:p>
        </w:tc>
        <w:tc>
          <w:tcPr>
            <w:tcW w:w="956" w:type="dxa"/>
            <w:vAlign w:val="center"/>
          </w:tcPr>
          <w:p>
            <w:pPr>
              <w:jc w:val="center"/>
              <w:rPr>
                <w:noProof/>
              </w:rPr>
            </w:pPr>
            <w:r>
              <w:rPr>
                <w:noProof/>
              </w:rPr>
              <w:t>LE</w:t>
            </w:r>
          </w:p>
        </w:tc>
        <w:tc>
          <w:tcPr>
            <w:tcW w:w="1564" w:type="dxa"/>
            <w:vAlign w:val="center"/>
          </w:tcPr>
          <w:p>
            <w:pPr>
              <w:jc w:val="center"/>
              <w:rPr>
                <w:noProof/>
              </w:rPr>
            </w:pPr>
            <w:r>
              <w:rPr>
                <w:noProof/>
              </w:rPr>
              <w:t>LE</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Intestaturi tal-qafas finanzjarju pluriennali</w:t>
            </w:r>
          </w:p>
        </w:tc>
        <w:tc>
          <w:tcPr>
            <w:tcW w:w="3535" w:type="dxa"/>
            <w:vAlign w:val="center"/>
          </w:tcPr>
          <w:p>
            <w:pPr>
              <w:spacing w:before="60" w:after="60"/>
              <w:jc w:val="center"/>
              <w:rPr>
                <w:noProof/>
              </w:rPr>
            </w:pPr>
            <w:r>
              <w:rPr>
                <w:noProof/>
                <w:sz w:val="20"/>
              </w:rPr>
              <w:t>Linja baġitarja</w:t>
            </w:r>
          </w:p>
        </w:tc>
        <w:tc>
          <w:tcPr>
            <w:tcW w:w="1080" w:type="dxa"/>
            <w:vAlign w:val="center"/>
          </w:tcPr>
          <w:p>
            <w:pPr>
              <w:spacing w:before="60" w:after="60"/>
              <w:jc w:val="center"/>
              <w:rPr>
                <w:noProof/>
              </w:rPr>
            </w:pPr>
            <w:r>
              <w:rPr>
                <w:noProof/>
                <w:sz w:val="18"/>
              </w:rPr>
              <w:t xml:space="preserve">Tip ta’ </w:t>
            </w:r>
            <w:r>
              <w:rPr>
                <w:noProof/>
                <w:sz w:val="22"/>
              </w:rPr>
              <w:br/>
            </w:r>
            <w:r>
              <w:rPr>
                <w:noProof/>
                <w:sz w:val="18"/>
              </w:rPr>
              <w:t>nefqa</w:t>
            </w:r>
          </w:p>
        </w:tc>
        <w:tc>
          <w:tcPr>
            <w:tcW w:w="4556" w:type="dxa"/>
            <w:gridSpan w:val="4"/>
            <w:vAlign w:val="center"/>
          </w:tcPr>
          <w:p>
            <w:pPr>
              <w:spacing w:before="60" w:after="60"/>
              <w:jc w:val="center"/>
              <w:rPr>
                <w:noProof/>
              </w:rPr>
            </w:pPr>
            <w:r>
              <w:rPr>
                <w:noProof/>
                <w:sz w:val="20"/>
              </w:rPr>
              <w:t xml:space="preserve">Kontribuzzjoni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Numru </w:t>
            </w:r>
            <w:r>
              <w:rPr>
                <w:noProof/>
                <w:sz w:val="22"/>
              </w:rPr>
              <w:br/>
            </w:r>
          </w:p>
        </w:tc>
        <w:tc>
          <w:tcPr>
            <w:tcW w:w="1080" w:type="dxa"/>
            <w:vAlign w:val="center"/>
          </w:tcPr>
          <w:p>
            <w:pPr>
              <w:jc w:val="center"/>
              <w:rPr>
                <w:noProof/>
              </w:rPr>
            </w:pPr>
            <w:r>
              <w:rPr>
                <w:noProof/>
                <w:sz w:val="18"/>
              </w:rPr>
              <w:t>Diff</w:t>
            </w:r>
            <w:r>
              <w:rPr>
                <w:rStyle w:val="FootnoteReference"/>
                <w:noProof/>
                <w:sz w:val="18"/>
              </w:rPr>
              <w:footnoteReference w:id="61"/>
            </w:r>
            <w:r>
              <w:rPr>
                <w:noProof/>
              </w:rPr>
              <w:t>.</w:t>
            </w:r>
          </w:p>
        </w:tc>
        <w:tc>
          <w:tcPr>
            <w:tcW w:w="956" w:type="dxa"/>
            <w:vAlign w:val="center"/>
          </w:tcPr>
          <w:p>
            <w:pPr>
              <w:jc w:val="center"/>
              <w:rPr>
                <w:noProof/>
              </w:rPr>
            </w:pPr>
            <w:r>
              <w:rPr>
                <w:noProof/>
                <w:sz w:val="18"/>
              </w:rPr>
              <w:t>mingħand il-pajjiżi tal-EFTA</w:t>
            </w:r>
            <w:r>
              <w:rPr>
                <w:rStyle w:val="FootnoteReference"/>
                <w:noProof/>
                <w:sz w:val="18"/>
              </w:rPr>
              <w:footnoteReference w:id="62"/>
            </w:r>
          </w:p>
        </w:tc>
        <w:tc>
          <w:tcPr>
            <w:tcW w:w="1080" w:type="dxa"/>
            <w:vAlign w:val="center"/>
          </w:tcPr>
          <w:p>
            <w:pPr>
              <w:jc w:val="center"/>
              <w:rPr>
                <w:noProof/>
                <w:sz w:val="18"/>
              </w:rPr>
            </w:pPr>
            <w:r>
              <w:rPr>
                <w:noProof/>
                <w:sz w:val="18"/>
              </w:rPr>
              <w:t>mingħand il-pajjiżi kandidati</w:t>
            </w:r>
            <w:r>
              <w:rPr>
                <w:rStyle w:val="FootnoteReference"/>
                <w:noProof/>
                <w:sz w:val="18"/>
              </w:rPr>
              <w:footnoteReference w:id="63"/>
            </w:r>
          </w:p>
        </w:tc>
        <w:tc>
          <w:tcPr>
            <w:tcW w:w="956" w:type="dxa"/>
            <w:vAlign w:val="center"/>
          </w:tcPr>
          <w:p>
            <w:pPr>
              <w:jc w:val="center"/>
              <w:rPr>
                <w:noProof/>
                <w:sz w:val="18"/>
              </w:rPr>
            </w:pPr>
            <w:r>
              <w:rPr>
                <w:noProof/>
                <w:sz w:val="18"/>
              </w:rPr>
              <w:t>mingħand pajjiżi terzi</w:t>
            </w:r>
          </w:p>
        </w:tc>
        <w:tc>
          <w:tcPr>
            <w:tcW w:w="1564" w:type="dxa"/>
            <w:vAlign w:val="center"/>
          </w:tcPr>
          <w:p>
            <w:pPr>
              <w:jc w:val="center"/>
              <w:rPr>
                <w:noProof/>
                <w:sz w:val="16"/>
                <w:szCs w:val="16"/>
              </w:rPr>
            </w:pPr>
            <w:r>
              <w:rPr>
                <w:noProof/>
                <w:sz w:val="16"/>
              </w:rPr>
              <w:t xml:space="preserve">skont it-tifsira tal-Artikolu 21(2)(b) tar-Regolament Finanzjarju </w:t>
            </w:r>
          </w:p>
        </w:tc>
      </w:tr>
      <w:tr>
        <w:tc>
          <w:tcPr>
            <w:tcW w:w="1778" w:type="dxa"/>
            <w:vMerge w:val="restart"/>
            <w:vAlign w:val="center"/>
          </w:tcPr>
          <w:p>
            <w:pPr>
              <w:jc w:val="center"/>
              <w:rPr>
                <w:noProof/>
              </w:rPr>
            </w:pPr>
            <w:r>
              <w:rPr>
                <w:noProof/>
              </w:rPr>
              <w:t xml:space="preserve">2 – Tkabbir sostenibbli: Riżorsi naturali </w:t>
            </w:r>
          </w:p>
        </w:tc>
        <w:tc>
          <w:tcPr>
            <w:tcW w:w="3535" w:type="dxa"/>
            <w:vAlign w:val="center"/>
          </w:tcPr>
          <w:p>
            <w:pPr>
              <w:spacing w:after="60"/>
              <w:rPr>
                <w:noProof/>
              </w:rPr>
            </w:pPr>
            <w:r>
              <w:rPr>
                <w:noProof/>
                <w:sz w:val="20"/>
              </w:rPr>
              <w:t>07.0203 DĠ ENV</w:t>
            </w:r>
            <w:r>
              <w:rPr>
                <w:noProof/>
              </w:rPr>
              <w:t xml:space="preserve"> </w:t>
            </w:r>
          </w:p>
        </w:tc>
        <w:tc>
          <w:tcPr>
            <w:tcW w:w="1080" w:type="dxa"/>
            <w:vAlign w:val="center"/>
          </w:tcPr>
          <w:p>
            <w:pPr>
              <w:jc w:val="center"/>
              <w:rPr>
                <w:noProof/>
                <w:color w:val="0000FF"/>
              </w:rPr>
            </w:pPr>
            <w:r>
              <w:rPr>
                <w:noProof/>
                <w:sz w:val="18"/>
              </w:rPr>
              <w:t>Diff.</w:t>
            </w:r>
          </w:p>
        </w:tc>
        <w:tc>
          <w:tcPr>
            <w:tcW w:w="956" w:type="dxa"/>
            <w:vAlign w:val="center"/>
          </w:tcPr>
          <w:p>
            <w:pPr>
              <w:jc w:val="center"/>
              <w:rPr>
                <w:noProof/>
              </w:rPr>
            </w:pPr>
            <w:r>
              <w:rPr>
                <w:noProof/>
              </w:rPr>
              <w:t>LE</w:t>
            </w:r>
          </w:p>
        </w:tc>
        <w:tc>
          <w:tcPr>
            <w:tcW w:w="1080" w:type="dxa"/>
            <w:vAlign w:val="center"/>
          </w:tcPr>
          <w:p>
            <w:pPr>
              <w:jc w:val="center"/>
              <w:rPr>
                <w:noProof/>
              </w:rPr>
            </w:pPr>
            <w:r>
              <w:rPr>
                <w:noProof/>
              </w:rPr>
              <w:t>LE</w:t>
            </w:r>
          </w:p>
        </w:tc>
        <w:tc>
          <w:tcPr>
            <w:tcW w:w="956" w:type="dxa"/>
            <w:vAlign w:val="center"/>
          </w:tcPr>
          <w:p>
            <w:pPr>
              <w:jc w:val="center"/>
              <w:rPr>
                <w:noProof/>
              </w:rPr>
            </w:pPr>
            <w:r>
              <w:rPr>
                <w:noProof/>
              </w:rPr>
              <w:t>LE</w:t>
            </w:r>
          </w:p>
        </w:tc>
        <w:tc>
          <w:tcPr>
            <w:tcW w:w="1564" w:type="dxa"/>
            <w:vAlign w:val="center"/>
          </w:tcPr>
          <w:p>
            <w:pPr>
              <w:jc w:val="center"/>
              <w:rPr>
                <w:noProof/>
              </w:rPr>
            </w:pPr>
            <w:r>
              <w:rPr>
                <w:noProof/>
              </w:rPr>
              <w:t>LE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07.0206 EEA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LE</w:t>
            </w:r>
          </w:p>
        </w:tc>
        <w:tc>
          <w:tcPr>
            <w:tcW w:w="1080" w:type="dxa"/>
            <w:vAlign w:val="center"/>
          </w:tcPr>
          <w:p>
            <w:pPr>
              <w:jc w:val="center"/>
              <w:rPr>
                <w:noProof/>
              </w:rPr>
            </w:pPr>
            <w:r>
              <w:rPr>
                <w:noProof/>
              </w:rPr>
              <w:t>LE</w:t>
            </w:r>
          </w:p>
        </w:tc>
        <w:tc>
          <w:tcPr>
            <w:tcW w:w="956" w:type="dxa"/>
            <w:vAlign w:val="center"/>
          </w:tcPr>
          <w:p>
            <w:pPr>
              <w:jc w:val="center"/>
              <w:rPr>
                <w:noProof/>
              </w:rPr>
            </w:pPr>
            <w:r>
              <w:rPr>
                <w:noProof/>
              </w:rPr>
              <w:t>LE</w:t>
            </w:r>
          </w:p>
        </w:tc>
        <w:tc>
          <w:tcPr>
            <w:tcW w:w="1564" w:type="dxa"/>
            <w:vAlign w:val="center"/>
          </w:tcPr>
          <w:p>
            <w:pPr>
              <w:jc w:val="center"/>
              <w:rPr>
                <w:noProof/>
              </w:rPr>
            </w:pPr>
            <w:r>
              <w:rPr>
                <w:noProof/>
              </w:rPr>
              <w:t>LE</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Intestaturi tal-qafas finanzjarju pluriennali</w:t>
            </w:r>
          </w:p>
        </w:tc>
        <w:tc>
          <w:tcPr>
            <w:tcW w:w="3535" w:type="dxa"/>
            <w:vAlign w:val="center"/>
          </w:tcPr>
          <w:p>
            <w:pPr>
              <w:spacing w:before="60" w:after="60"/>
              <w:jc w:val="center"/>
              <w:rPr>
                <w:noProof/>
              </w:rPr>
            </w:pPr>
            <w:r>
              <w:rPr>
                <w:noProof/>
                <w:sz w:val="20"/>
              </w:rPr>
              <w:t>Linja baġitarja</w:t>
            </w:r>
          </w:p>
        </w:tc>
        <w:tc>
          <w:tcPr>
            <w:tcW w:w="1080" w:type="dxa"/>
            <w:vAlign w:val="center"/>
          </w:tcPr>
          <w:p>
            <w:pPr>
              <w:spacing w:before="60" w:after="60"/>
              <w:jc w:val="center"/>
              <w:rPr>
                <w:noProof/>
              </w:rPr>
            </w:pPr>
            <w:r>
              <w:rPr>
                <w:noProof/>
                <w:sz w:val="18"/>
              </w:rPr>
              <w:t xml:space="preserve">Tip ta’ </w:t>
            </w:r>
            <w:r>
              <w:rPr>
                <w:noProof/>
                <w:sz w:val="22"/>
              </w:rPr>
              <w:br/>
            </w:r>
            <w:r>
              <w:rPr>
                <w:noProof/>
                <w:sz w:val="18"/>
              </w:rPr>
              <w:t>nefqa</w:t>
            </w:r>
          </w:p>
        </w:tc>
        <w:tc>
          <w:tcPr>
            <w:tcW w:w="4556" w:type="dxa"/>
            <w:gridSpan w:val="4"/>
            <w:vAlign w:val="center"/>
          </w:tcPr>
          <w:p>
            <w:pPr>
              <w:spacing w:before="60" w:after="60"/>
              <w:jc w:val="center"/>
              <w:rPr>
                <w:noProof/>
              </w:rPr>
            </w:pPr>
            <w:r>
              <w:rPr>
                <w:noProof/>
                <w:sz w:val="20"/>
              </w:rPr>
              <w:t xml:space="preserve">Kontribuzzjoni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Numru </w:t>
            </w:r>
            <w:r>
              <w:rPr>
                <w:noProof/>
                <w:sz w:val="22"/>
              </w:rPr>
              <w:br/>
            </w:r>
          </w:p>
        </w:tc>
        <w:tc>
          <w:tcPr>
            <w:tcW w:w="1080" w:type="dxa"/>
            <w:vAlign w:val="center"/>
          </w:tcPr>
          <w:p>
            <w:pPr>
              <w:jc w:val="center"/>
              <w:rPr>
                <w:noProof/>
              </w:rPr>
            </w:pPr>
            <w:r>
              <w:rPr>
                <w:noProof/>
                <w:sz w:val="18"/>
              </w:rPr>
              <w:t>Mhux diff</w:t>
            </w:r>
            <w:r>
              <w:rPr>
                <w:rStyle w:val="FootnoteReference"/>
                <w:noProof/>
                <w:sz w:val="18"/>
              </w:rPr>
              <w:footnoteReference w:id="64"/>
            </w:r>
            <w:r>
              <w:rPr>
                <w:noProof/>
              </w:rPr>
              <w:t>.</w:t>
            </w:r>
          </w:p>
        </w:tc>
        <w:tc>
          <w:tcPr>
            <w:tcW w:w="956" w:type="dxa"/>
            <w:vAlign w:val="center"/>
          </w:tcPr>
          <w:p>
            <w:pPr>
              <w:jc w:val="center"/>
              <w:rPr>
                <w:noProof/>
              </w:rPr>
            </w:pPr>
            <w:r>
              <w:rPr>
                <w:noProof/>
                <w:sz w:val="18"/>
              </w:rPr>
              <w:t>mingħand il-pajjiżi tal-EFTA</w:t>
            </w:r>
            <w:r>
              <w:rPr>
                <w:rStyle w:val="FootnoteReference"/>
                <w:noProof/>
                <w:sz w:val="18"/>
              </w:rPr>
              <w:footnoteReference w:id="65"/>
            </w:r>
          </w:p>
        </w:tc>
        <w:tc>
          <w:tcPr>
            <w:tcW w:w="1080" w:type="dxa"/>
            <w:vAlign w:val="center"/>
          </w:tcPr>
          <w:p>
            <w:pPr>
              <w:jc w:val="center"/>
              <w:rPr>
                <w:noProof/>
                <w:sz w:val="18"/>
              </w:rPr>
            </w:pPr>
            <w:r>
              <w:rPr>
                <w:noProof/>
                <w:sz w:val="18"/>
              </w:rPr>
              <w:t>mingħand il-pajjiżi kandidati</w:t>
            </w:r>
            <w:r>
              <w:rPr>
                <w:rStyle w:val="FootnoteReference"/>
                <w:noProof/>
                <w:sz w:val="18"/>
              </w:rPr>
              <w:footnoteReference w:id="66"/>
            </w:r>
          </w:p>
        </w:tc>
        <w:tc>
          <w:tcPr>
            <w:tcW w:w="956" w:type="dxa"/>
            <w:vAlign w:val="center"/>
          </w:tcPr>
          <w:p>
            <w:pPr>
              <w:jc w:val="center"/>
              <w:rPr>
                <w:noProof/>
                <w:sz w:val="18"/>
              </w:rPr>
            </w:pPr>
            <w:r>
              <w:rPr>
                <w:noProof/>
                <w:sz w:val="18"/>
              </w:rPr>
              <w:t>mingħand pajjiżi terzi</w:t>
            </w:r>
          </w:p>
        </w:tc>
        <w:tc>
          <w:tcPr>
            <w:tcW w:w="1564" w:type="dxa"/>
            <w:vAlign w:val="center"/>
          </w:tcPr>
          <w:p>
            <w:pPr>
              <w:jc w:val="center"/>
              <w:rPr>
                <w:noProof/>
                <w:sz w:val="16"/>
                <w:szCs w:val="16"/>
              </w:rPr>
            </w:pPr>
            <w:r>
              <w:rPr>
                <w:noProof/>
                <w:sz w:val="16"/>
              </w:rPr>
              <w:t xml:space="preserve">skont it-tifsira tal-Artikolu 21(2)(b) tar-Regolament Finanzjarju </w:t>
            </w:r>
          </w:p>
        </w:tc>
      </w:tr>
      <w:tr>
        <w:tc>
          <w:tcPr>
            <w:tcW w:w="1778" w:type="dxa"/>
            <w:vMerge w:val="restart"/>
            <w:vAlign w:val="center"/>
          </w:tcPr>
          <w:p>
            <w:pPr>
              <w:jc w:val="center"/>
              <w:rPr>
                <w:b/>
                <w:bCs/>
                <w:noProof/>
                <w:color w:val="0000FF"/>
              </w:rPr>
            </w:pPr>
            <w:r>
              <w:rPr>
                <w:noProof/>
              </w:rPr>
              <w:t xml:space="preserve">5 – Nefqa amministrattiva </w:t>
            </w:r>
          </w:p>
        </w:tc>
        <w:tc>
          <w:tcPr>
            <w:tcW w:w="3535" w:type="dxa"/>
            <w:vAlign w:val="center"/>
          </w:tcPr>
          <w:p>
            <w:pPr>
              <w:spacing w:after="60"/>
              <w:rPr>
                <w:noProof/>
                <w:sz w:val="20"/>
              </w:rPr>
            </w:pPr>
            <w:r>
              <w:rPr>
                <w:noProof/>
                <w:sz w:val="20"/>
              </w:rPr>
              <w:t xml:space="preserve">12 01 01 01 DĠ FISMA </w:t>
            </w:r>
          </w:p>
          <w:p>
            <w:pPr>
              <w:spacing w:after="60"/>
              <w:rPr>
                <w:noProof/>
                <w:sz w:val="20"/>
              </w:rPr>
            </w:pPr>
            <w:r>
              <w:rPr>
                <w:noProof/>
                <w:sz w:val="20"/>
              </w:rPr>
              <w:t>Riżorsi umani</w:t>
            </w:r>
          </w:p>
          <w:p>
            <w:pPr>
              <w:spacing w:after="60"/>
              <w:rPr>
                <w:noProof/>
              </w:rPr>
            </w:pPr>
            <w:r>
              <w:rPr>
                <w:noProof/>
                <w:sz w:val="20"/>
              </w:rPr>
              <w:t xml:space="preserve">Kostijiet amministrattivi </w:t>
            </w:r>
          </w:p>
        </w:tc>
        <w:tc>
          <w:tcPr>
            <w:tcW w:w="1080" w:type="dxa"/>
            <w:vAlign w:val="center"/>
          </w:tcPr>
          <w:p>
            <w:pPr>
              <w:jc w:val="center"/>
              <w:rPr>
                <w:noProof/>
                <w:color w:val="0000FF"/>
              </w:rPr>
            </w:pPr>
            <w:r>
              <w:rPr>
                <w:noProof/>
                <w:sz w:val="18"/>
              </w:rPr>
              <w:t>Mhux diff.</w:t>
            </w:r>
          </w:p>
        </w:tc>
        <w:tc>
          <w:tcPr>
            <w:tcW w:w="956" w:type="dxa"/>
            <w:shd w:val="clear" w:color="auto" w:fill="auto"/>
            <w:vAlign w:val="center"/>
          </w:tcPr>
          <w:p>
            <w:pPr>
              <w:jc w:val="center"/>
              <w:rPr>
                <w:noProof/>
              </w:rPr>
            </w:pPr>
            <w:r>
              <w:rPr>
                <w:noProof/>
              </w:rPr>
              <w:t>LE</w:t>
            </w:r>
          </w:p>
        </w:tc>
        <w:tc>
          <w:tcPr>
            <w:tcW w:w="1080" w:type="dxa"/>
            <w:shd w:val="clear" w:color="auto" w:fill="auto"/>
            <w:vAlign w:val="center"/>
          </w:tcPr>
          <w:p>
            <w:pPr>
              <w:jc w:val="center"/>
              <w:rPr>
                <w:noProof/>
              </w:rPr>
            </w:pPr>
            <w:r>
              <w:rPr>
                <w:noProof/>
              </w:rPr>
              <w:t>LE</w:t>
            </w:r>
          </w:p>
        </w:tc>
        <w:tc>
          <w:tcPr>
            <w:tcW w:w="956" w:type="dxa"/>
            <w:shd w:val="clear" w:color="auto" w:fill="auto"/>
            <w:vAlign w:val="center"/>
          </w:tcPr>
          <w:p>
            <w:pPr>
              <w:jc w:val="center"/>
              <w:rPr>
                <w:noProof/>
              </w:rPr>
            </w:pPr>
            <w:r>
              <w:rPr>
                <w:noProof/>
              </w:rPr>
              <w:t>LE</w:t>
            </w:r>
          </w:p>
        </w:tc>
        <w:tc>
          <w:tcPr>
            <w:tcW w:w="1564" w:type="dxa"/>
            <w:shd w:val="clear" w:color="auto" w:fill="auto"/>
            <w:vAlign w:val="center"/>
          </w:tcPr>
          <w:p>
            <w:pPr>
              <w:jc w:val="center"/>
              <w:rPr>
                <w:noProof/>
              </w:rPr>
            </w:pPr>
            <w:r>
              <w:rPr>
                <w:noProof/>
              </w:rPr>
              <w:t>LE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 01 01 01 DĠ ENV</w:t>
            </w:r>
          </w:p>
        </w:tc>
        <w:tc>
          <w:tcPr>
            <w:tcW w:w="1080" w:type="dxa"/>
            <w:vAlign w:val="center"/>
          </w:tcPr>
          <w:p>
            <w:pPr>
              <w:jc w:val="center"/>
              <w:rPr>
                <w:noProof/>
                <w:sz w:val="18"/>
              </w:rPr>
            </w:pPr>
            <w:r>
              <w:rPr>
                <w:noProof/>
                <w:sz w:val="18"/>
              </w:rPr>
              <w:t>Mhux diff.</w:t>
            </w:r>
          </w:p>
        </w:tc>
        <w:tc>
          <w:tcPr>
            <w:tcW w:w="956" w:type="dxa"/>
            <w:shd w:val="clear" w:color="auto" w:fill="auto"/>
            <w:vAlign w:val="center"/>
          </w:tcPr>
          <w:p>
            <w:pPr>
              <w:jc w:val="center"/>
              <w:rPr>
                <w:noProof/>
              </w:rPr>
            </w:pPr>
            <w:r>
              <w:rPr>
                <w:noProof/>
              </w:rPr>
              <w:t>LE</w:t>
            </w:r>
          </w:p>
        </w:tc>
        <w:tc>
          <w:tcPr>
            <w:tcW w:w="1080" w:type="dxa"/>
            <w:shd w:val="clear" w:color="auto" w:fill="auto"/>
            <w:vAlign w:val="center"/>
          </w:tcPr>
          <w:p>
            <w:pPr>
              <w:jc w:val="center"/>
              <w:rPr>
                <w:noProof/>
              </w:rPr>
            </w:pPr>
            <w:r>
              <w:rPr>
                <w:noProof/>
              </w:rPr>
              <w:t>LE</w:t>
            </w:r>
          </w:p>
        </w:tc>
        <w:tc>
          <w:tcPr>
            <w:tcW w:w="956" w:type="dxa"/>
            <w:shd w:val="clear" w:color="auto" w:fill="auto"/>
            <w:vAlign w:val="center"/>
          </w:tcPr>
          <w:p>
            <w:pPr>
              <w:jc w:val="center"/>
              <w:rPr>
                <w:noProof/>
              </w:rPr>
            </w:pPr>
            <w:r>
              <w:rPr>
                <w:noProof/>
              </w:rPr>
              <w:t>LE</w:t>
            </w:r>
          </w:p>
        </w:tc>
        <w:tc>
          <w:tcPr>
            <w:tcW w:w="1564" w:type="dxa"/>
            <w:shd w:val="clear" w:color="auto" w:fill="auto"/>
            <w:vAlign w:val="center"/>
          </w:tcPr>
          <w:p>
            <w:pPr>
              <w:jc w:val="center"/>
              <w:rPr>
                <w:noProof/>
              </w:rPr>
            </w:pPr>
            <w:r>
              <w:rPr>
                <w:noProof/>
              </w:rPr>
              <w:t>LE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34 01 01 01 DĠ CLIMA</w:t>
            </w:r>
          </w:p>
        </w:tc>
        <w:tc>
          <w:tcPr>
            <w:tcW w:w="1080" w:type="dxa"/>
            <w:vAlign w:val="center"/>
          </w:tcPr>
          <w:p>
            <w:pPr>
              <w:jc w:val="center"/>
              <w:rPr>
                <w:noProof/>
                <w:sz w:val="18"/>
              </w:rPr>
            </w:pPr>
            <w:r>
              <w:rPr>
                <w:noProof/>
                <w:sz w:val="18"/>
              </w:rPr>
              <w:t>Mhux diff.</w:t>
            </w:r>
          </w:p>
        </w:tc>
        <w:tc>
          <w:tcPr>
            <w:tcW w:w="956" w:type="dxa"/>
            <w:shd w:val="clear" w:color="auto" w:fill="auto"/>
            <w:vAlign w:val="center"/>
          </w:tcPr>
          <w:p>
            <w:pPr>
              <w:jc w:val="center"/>
              <w:rPr>
                <w:noProof/>
              </w:rPr>
            </w:pPr>
            <w:r>
              <w:rPr>
                <w:noProof/>
              </w:rPr>
              <w:t>LE</w:t>
            </w:r>
          </w:p>
        </w:tc>
        <w:tc>
          <w:tcPr>
            <w:tcW w:w="1080" w:type="dxa"/>
            <w:shd w:val="clear" w:color="auto" w:fill="auto"/>
            <w:vAlign w:val="center"/>
          </w:tcPr>
          <w:p>
            <w:pPr>
              <w:jc w:val="center"/>
              <w:rPr>
                <w:noProof/>
              </w:rPr>
            </w:pPr>
            <w:r>
              <w:rPr>
                <w:noProof/>
              </w:rPr>
              <w:t>LE</w:t>
            </w:r>
          </w:p>
        </w:tc>
        <w:tc>
          <w:tcPr>
            <w:tcW w:w="956" w:type="dxa"/>
            <w:shd w:val="clear" w:color="auto" w:fill="auto"/>
            <w:vAlign w:val="center"/>
          </w:tcPr>
          <w:p>
            <w:pPr>
              <w:jc w:val="center"/>
              <w:rPr>
                <w:noProof/>
              </w:rPr>
            </w:pPr>
            <w:r>
              <w:rPr>
                <w:noProof/>
              </w:rPr>
              <w:t>LE</w:t>
            </w:r>
          </w:p>
        </w:tc>
        <w:tc>
          <w:tcPr>
            <w:tcW w:w="1564" w:type="dxa"/>
            <w:shd w:val="clear" w:color="auto" w:fill="auto"/>
            <w:vAlign w:val="center"/>
          </w:tcPr>
          <w:p>
            <w:pPr>
              <w:jc w:val="center"/>
              <w:rPr>
                <w:noProof/>
              </w:rPr>
            </w:pPr>
            <w:r>
              <w:rPr>
                <w:noProof/>
              </w:rPr>
              <w:t>LE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29 01 01 01 ESTAT</w:t>
            </w:r>
          </w:p>
        </w:tc>
        <w:tc>
          <w:tcPr>
            <w:tcW w:w="1080" w:type="dxa"/>
            <w:vAlign w:val="center"/>
          </w:tcPr>
          <w:p>
            <w:pPr>
              <w:jc w:val="center"/>
              <w:rPr>
                <w:noProof/>
                <w:sz w:val="18"/>
              </w:rPr>
            </w:pPr>
            <w:r>
              <w:rPr>
                <w:noProof/>
                <w:sz w:val="18"/>
              </w:rPr>
              <w:t>Mhux diff.</w:t>
            </w:r>
          </w:p>
        </w:tc>
        <w:tc>
          <w:tcPr>
            <w:tcW w:w="956" w:type="dxa"/>
            <w:shd w:val="clear" w:color="auto" w:fill="auto"/>
            <w:vAlign w:val="center"/>
          </w:tcPr>
          <w:p>
            <w:pPr>
              <w:jc w:val="center"/>
              <w:rPr>
                <w:noProof/>
              </w:rPr>
            </w:pPr>
            <w:r>
              <w:rPr>
                <w:noProof/>
              </w:rPr>
              <w:t>LE</w:t>
            </w:r>
          </w:p>
        </w:tc>
        <w:tc>
          <w:tcPr>
            <w:tcW w:w="1080" w:type="dxa"/>
            <w:shd w:val="clear" w:color="auto" w:fill="auto"/>
            <w:vAlign w:val="center"/>
          </w:tcPr>
          <w:p>
            <w:pPr>
              <w:jc w:val="center"/>
              <w:rPr>
                <w:noProof/>
              </w:rPr>
            </w:pPr>
            <w:r>
              <w:rPr>
                <w:noProof/>
              </w:rPr>
              <w:t>LE</w:t>
            </w:r>
          </w:p>
        </w:tc>
        <w:tc>
          <w:tcPr>
            <w:tcW w:w="956" w:type="dxa"/>
            <w:shd w:val="clear" w:color="auto" w:fill="auto"/>
            <w:vAlign w:val="center"/>
          </w:tcPr>
          <w:p>
            <w:pPr>
              <w:jc w:val="center"/>
              <w:rPr>
                <w:noProof/>
              </w:rPr>
            </w:pPr>
            <w:r>
              <w:rPr>
                <w:noProof/>
              </w:rPr>
              <w:t>LE</w:t>
            </w:r>
          </w:p>
        </w:tc>
        <w:tc>
          <w:tcPr>
            <w:tcW w:w="1564" w:type="dxa"/>
            <w:shd w:val="clear" w:color="auto" w:fill="auto"/>
            <w:vAlign w:val="center"/>
          </w:tcPr>
          <w:p>
            <w:pPr>
              <w:jc w:val="center"/>
              <w:rPr>
                <w:noProof/>
              </w:rPr>
            </w:pPr>
            <w:r>
              <w:rPr>
                <w:noProof/>
              </w:rPr>
              <w:t>LE</w:t>
            </w:r>
          </w:p>
        </w:tc>
      </w:tr>
    </w:tbl>
    <w:p>
      <w:pPr>
        <w:rPr>
          <w:noProof/>
        </w:rPr>
      </w:pPr>
    </w:p>
    <w:p>
      <w:pPr>
        <w:pStyle w:val="ListBullet1"/>
        <w:rPr>
          <w:noProof/>
        </w:rPr>
      </w:pPr>
      <w:r>
        <w:rPr>
          <w:noProof/>
        </w:rPr>
        <w:t xml:space="preserve">Linji baġitarji ġodda mitluba </w:t>
      </w:r>
    </w:p>
    <w:p>
      <w:pPr>
        <w:pStyle w:val="Text1"/>
        <w:rPr>
          <w:i/>
          <w:noProof/>
          <w:sz w:val="20"/>
        </w:rPr>
      </w:pPr>
      <w:r>
        <w:rPr>
          <w:noProof/>
          <w:u w:val="single"/>
        </w:rPr>
        <w:t>Fl-ordni</w:t>
      </w:r>
      <w:r>
        <w:rPr>
          <w:noProof/>
        </w:rPr>
        <w:t xml:space="preserve"> tal-intestaturi tal-qafas finanzjarju pluriennali u l-linji baġitarji.</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rPr>
            </w:pPr>
            <w:r>
              <w:rPr>
                <w:noProof/>
                <w:sz w:val="18"/>
              </w:rPr>
              <w:t>Intestaturi tal-qafas finanzjarju pluriennali</w:t>
            </w:r>
          </w:p>
        </w:tc>
        <w:tc>
          <w:tcPr>
            <w:tcW w:w="3262" w:type="dxa"/>
            <w:vAlign w:val="center"/>
          </w:tcPr>
          <w:p>
            <w:pPr>
              <w:spacing w:before="60" w:after="60"/>
              <w:jc w:val="center"/>
              <w:rPr>
                <w:noProof/>
              </w:rPr>
            </w:pPr>
            <w:r>
              <w:rPr>
                <w:noProof/>
                <w:sz w:val="20"/>
              </w:rPr>
              <w:t>Linja baġitarja</w:t>
            </w:r>
          </w:p>
        </w:tc>
        <w:tc>
          <w:tcPr>
            <w:tcW w:w="1080" w:type="dxa"/>
            <w:vAlign w:val="center"/>
          </w:tcPr>
          <w:p>
            <w:pPr>
              <w:spacing w:before="60" w:after="60"/>
              <w:jc w:val="center"/>
              <w:rPr>
                <w:noProof/>
              </w:rPr>
            </w:pPr>
            <w:r>
              <w:rPr>
                <w:noProof/>
                <w:sz w:val="18"/>
              </w:rPr>
              <w:t>Tip ta’</w:t>
            </w:r>
            <w:r>
              <w:rPr>
                <w:noProof/>
                <w:sz w:val="22"/>
              </w:rPr>
              <w:br/>
            </w:r>
            <w:r>
              <w:rPr>
                <w:noProof/>
                <w:sz w:val="18"/>
              </w:rPr>
              <w:t>nefqa</w:t>
            </w:r>
          </w:p>
        </w:tc>
        <w:tc>
          <w:tcPr>
            <w:tcW w:w="4556" w:type="dxa"/>
            <w:gridSpan w:val="4"/>
            <w:vAlign w:val="center"/>
          </w:tcPr>
          <w:p>
            <w:pPr>
              <w:spacing w:before="60" w:after="60"/>
              <w:jc w:val="center"/>
              <w:rPr>
                <w:noProof/>
              </w:rPr>
            </w:pPr>
            <w:r>
              <w:rPr>
                <w:noProof/>
                <w:sz w:val="20"/>
              </w:rPr>
              <w:t xml:space="preserve">Kontribuzzjoni </w:t>
            </w:r>
          </w:p>
        </w:tc>
      </w:tr>
      <w:tr>
        <w:tc>
          <w:tcPr>
            <w:tcW w:w="1778" w:type="dxa"/>
            <w:vMerge/>
            <w:vAlign w:val="center"/>
          </w:tcPr>
          <w:p>
            <w:pPr>
              <w:rPr>
                <w:noProof/>
              </w:rPr>
            </w:pPr>
          </w:p>
        </w:tc>
        <w:tc>
          <w:tcPr>
            <w:tcW w:w="3262" w:type="dxa"/>
            <w:vAlign w:val="center"/>
          </w:tcPr>
          <w:p>
            <w:pPr>
              <w:rPr>
                <w:noProof/>
              </w:rPr>
            </w:pPr>
            <w:r>
              <w:rPr>
                <w:noProof/>
                <w:sz w:val="20"/>
              </w:rPr>
              <w:t xml:space="preserve">Numru </w:t>
            </w:r>
            <w:r>
              <w:rPr>
                <w:noProof/>
                <w:sz w:val="22"/>
              </w:rPr>
              <w:br/>
            </w:r>
            <w:r>
              <w:rPr>
                <w:noProof/>
                <w:sz w:val="20"/>
              </w:rPr>
              <w:t>[Intestatura………………………………………]</w:t>
            </w:r>
          </w:p>
        </w:tc>
        <w:tc>
          <w:tcPr>
            <w:tcW w:w="1080" w:type="dxa"/>
            <w:vAlign w:val="center"/>
          </w:tcPr>
          <w:p>
            <w:pPr>
              <w:jc w:val="center"/>
              <w:rPr>
                <w:noProof/>
              </w:rPr>
            </w:pPr>
            <w:r>
              <w:rPr>
                <w:noProof/>
                <w:sz w:val="18"/>
              </w:rPr>
              <w:t>Diff. / mhux diff.</w:t>
            </w:r>
          </w:p>
        </w:tc>
        <w:tc>
          <w:tcPr>
            <w:tcW w:w="956" w:type="dxa"/>
            <w:vAlign w:val="center"/>
          </w:tcPr>
          <w:p>
            <w:pPr>
              <w:jc w:val="center"/>
              <w:rPr>
                <w:noProof/>
                <w:sz w:val="18"/>
              </w:rPr>
            </w:pPr>
            <w:r>
              <w:rPr>
                <w:noProof/>
                <w:sz w:val="18"/>
              </w:rPr>
              <w:t>mingħand il-pajjiżi tal-EFTA</w:t>
            </w:r>
          </w:p>
        </w:tc>
        <w:tc>
          <w:tcPr>
            <w:tcW w:w="1080" w:type="dxa"/>
            <w:vAlign w:val="center"/>
          </w:tcPr>
          <w:p>
            <w:pPr>
              <w:jc w:val="center"/>
              <w:rPr>
                <w:noProof/>
                <w:sz w:val="18"/>
              </w:rPr>
            </w:pPr>
            <w:r>
              <w:rPr>
                <w:noProof/>
                <w:sz w:val="18"/>
              </w:rPr>
              <w:t>mingħand il-pajjiżi kandidati</w:t>
            </w:r>
          </w:p>
        </w:tc>
        <w:tc>
          <w:tcPr>
            <w:tcW w:w="956" w:type="dxa"/>
            <w:vAlign w:val="center"/>
          </w:tcPr>
          <w:p>
            <w:pPr>
              <w:jc w:val="center"/>
              <w:rPr>
                <w:noProof/>
                <w:sz w:val="18"/>
              </w:rPr>
            </w:pPr>
            <w:r>
              <w:rPr>
                <w:noProof/>
                <w:sz w:val="18"/>
              </w:rPr>
              <w:t>mingħand pajjiżi terzi</w:t>
            </w:r>
          </w:p>
        </w:tc>
        <w:tc>
          <w:tcPr>
            <w:tcW w:w="1564" w:type="dxa"/>
            <w:vAlign w:val="center"/>
          </w:tcPr>
          <w:p>
            <w:pPr>
              <w:jc w:val="center"/>
              <w:rPr>
                <w:noProof/>
              </w:rPr>
            </w:pPr>
            <w:r>
              <w:rPr>
                <w:noProof/>
                <w:sz w:val="16"/>
              </w:rPr>
              <w:t xml:space="preserve">skont it-tifsira tal-Artikolu 21(2)(b) tar-Regolament Finanzjarju </w:t>
            </w:r>
          </w:p>
        </w:tc>
      </w:tr>
      <w:tr>
        <w:tc>
          <w:tcPr>
            <w:tcW w:w="1778" w:type="dxa"/>
            <w:vAlign w:val="center"/>
          </w:tcPr>
          <w:p>
            <w:pPr>
              <w:jc w:val="center"/>
              <w:rPr>
                <w:noProof/>
              </w:rPr>
            </w:pPr>
          </w:p>
        </w:tc>
        <w:tc>
          <w:tcPr>
            <w:tcW w:w="3262"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IVA / LE</w:t>
            </w:r>
          </w:p>
        </w:tc>
        <w:tc>
          <w:tcPr>
            <w:tcW w:w="1080" w:type="dxa"/>
            <w:vAlign w:val="center"/>
          </w:tcPr>
          <w:p>
            <w:pPr>
              <w:jc w:val="center"/>
              <w:rPr>
                <w:noProof/>
                <w:sz w:val="18"/>
              </w:rPr>
            </w:pPr>
            <w:r>
              <w:rPr>
                <w:noProof/>
              </w:rPr>
              <w:t>IVA / LE</w:t>
            </w:r>
          </w:p>
        </w:tc>
        <w:tc>
          <w:tcPr>
            <w:tcW w:w="956" w:type="dxa"/>
            <w:vAlign w:val="center"/>
          </w:tcPr>
          <w:p>
            <w:pPr>
              <w:jc w:val="center"/>
              <w:rPr>
                <w:noProof/>
                <w:sz w:val="18"/>
              </w:rPr>
            </w:pPr>
            <w:r>
              <w:rPr>
                <w:noProof/>
              </w:rPr>
              <w:t>IVA / LE</w:t>
            </w:r>
          </w:p>
        </w:tc>
        <w:tc>
          <w:tcPr>
            <w:tcW w:w="1564" w:type="dxa"/>
            <w:vAlign w:val="center"/>
          </w:tcPr>
          <w:p>
            <w:pPr>
              <w:jc w:val="center"/>
              <w:rPr>
                <w:noProof/>
              </w:rPr>
            </w:pPr>
            <w:r>
              <w:rPr>
                <w:noProof/>
              </w:rPr>
              <w:t>IVA / LE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t>3.2.</w:t>
      </w:r>
      <w:r>
        <w:tab/>
      </w:r>
      <w:r>
        <w:rPr>
          <w:noProof/>
        </w:rPr>
        <w:t xml:space="preserve">Impatt stmat fuq in-nefqa </w:t>
      </w:r>
    </w:p>
    <w:p>
      <w:pPr>
        <w:pStyle w:val="ManualHeading3"/>
        <w:rPr>
          <w:bCs/>
          <w:noProof/>
          <w:szCs w:val="24"/>
        </w:rPr>
      </w:pPr>
      <w:r>
        <w:t>3.2.1.</w:t>
      </w:r>
      <w:r>
        <w:tab/>
      </w:r>
      <w:r>
        <w:rPr>
          <w:noProof/>
        </w:rPr>
        <w:t xml:space="preserve">Sommarju tal-impatt stmat fuq in-nefqa </w:t>
      </w:r>
    </w:p>
    <w:p>
      <w:pPr>
        <w:jc w:val="right"/>
        <w:rPr>
          <w:noProof/>
          <w:sz w:val="20"/>
        </w:rPr>
      </w:pPr>
      <w:r>
        <w:rPr>
          <w:noProof/>
          <w:sz w:val="20"/>
        </w:rPr>
        <w:t>f’miljuni ta’ EUR (sa tliet pożizzjonijiet deċimali)</w:t>
      </w:r>
      <w:r>
        <w:rPr>
          <w:rStyle w:val="FootnoteReference"/>
          <w:noProof/>
          <w:sz w:val="20"/>
        </w:rPr>
        <w:footnoteReference w:id="6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080"/>
        <w:gridCol w:w="7817"/>
      </w:tblGrid>
      <w:tr>
        <w:trPr>
          <w:jc w:val="center"/>
        </w:trPr>
        <w:tc>
          <w:tcPr>
            <w:tcW w:w="4965" w:type="dxa"/>
            <w:shd w:val="thinDiagStripe" w:color="C0C0C0" w:fill="auto"/>
            <w:vAlign w:val="center"/>
          </w:tcPr>
          <w:p>
            <w:pPr>
              <w:spacing w:before="60" w:after="60"/>
              <w:jc w:val="center"/>
              <w:rPr>
                <w:b/>
                <w:noProof/>
              </w:rPr>
            </w:pPr>
            <w:r>
              <w:rPr>
                <w:b/>
                <w:noProof/>
              </w:rPr>
              <w:t xml:space="preserve">Intestatura tal-qafas finanzjarju </w:t>
            </w:r>
            <w:r>
              <w:rPr>
                <w:noProof/>
                <w:sz w:val="22"/>
              </w:rPr>
              <w:br/>
            </w:r>
            <w:r>
              <w:rPr>
                <w:b/>
                <w:noProof/>
                <w:sz w:val="22"/>
              </w:rPr>
              <w:t xml:space="preserve">pluriennali </w:t>
            </w:r>
          </w:p>
        </w:tc>
        <w:tc>
          <w:tcPr>
            <w:tcW w:w="1080" w:type="dxa"/>
            <w:vAlign w:val="center"/>
          </w:tcPr>
          <w:p>
            <w:pPr>
              <w:spacing w:before="60" w:after="60"/>
              <w:jc w:val="center"/>
              <w:rPr>
                <w:noProof/>
              </w:rPr>
            </w:pPr>
            <w:r>
              <w:rPr>
                <w:b/>
                <w:noProof/>
                <w:sz w:val="22"/>
              </w:rPr>
              <w:t>1a)</w:t>
            </w:r>
          </w:p>
        </w:tc>
        <w:tc>
          <w:tcPr>
            <w:tcW w:w="7817" w:type="dxa"/>
            <w:vAlign w:val="center"/>
          </w:tcPr>
          <w:p>
            <w:pPr>
              <w:spacing w:before="60" w:after="60"/>
              <w:jc w:val="left"/>
              <w:rPr>
                <w:noProof/>
              </w:rPr>
            </w:pPr>
            <w:r>
              <w:rPr>
                <w:noProof/>
              </w:rPr>
              <w:t xml:space="preserve">Kompetittività għat-tkabbir u l-impjiegi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noProof/>
              </w:rPr>
            </w:pPr>
            <w:r>
              <w:rPr>
                <w:noProof/>
                <w:sz w:val="22"/>
              </w:rPr>
              <w:t>DĠ FISMA</w:t>
            </w:r>
          </w:p>
        </w:tc>
        <w:tc>
          <w:tcPr>
            <w:tcW w:w="1503" w:type="dxa"/>
            <w:gridSpan w:val="2"/>
          </w:tcPr>
          <w:p>
            <w:pPr>
              <w:rPr>
                <w:noProof/>
                <w:sz w:val="20"/>
              </w:rPr>
            </w:pPr>
          </w:p>
        </w:tc>
        <w:tc>
          <w:tcPr>
            <w:tcW w:w="591"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r>
              <w:rPr>
                <w:rStyle w:val="FootnoteReference"/>
                <w:b/>
                <w:noProof/>
                <w:sz w:val="20"/>
              </w:rPr>
              <w:footnoteReference w:id="68"/>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r>
              <w:rPr>
                <w:rStyle w:val="FootnoteReference"/>
                <w:noProof/>
                <w:sz w:val="18"/>
              </w:rPr>
              <w:footnoteReference w:id="69"/>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FISMA</w:t>
            </w:r>
          </w:p>
        </w:tc>
        <w:tc>
          <w:tcPr>
            <w:tcW w:w="1440" w:type="dxa"/>
            <w:vAlign w:val="center"/>
          </w:tcPr>
          <w:p>
            <w:pPr>
              <w:spacing w:before="20" w:after="20"/>
              <w:rPr>
                <w:noProof/>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restart"/>
            <w:vAlign w:val="center"/>
          </w:tcPr>
          <w:p>
            <w:pPr>
              <w:jc w:val="center"/>
              <w:rPr>
                <w:noProof/>
              </w:rPr>
            </w:pPr>
            <w:r>
              <w:rPr>
                <w:b/>
                <w:noProof/>
              </w:rPr>
              <w:t>TOTAL tal-approprjazzjonijiet</w:t>
            </w:r>
            <w:r>
              <w:rPr>
                <w:noProof/>
                <w:sz w:val="22"/>
              </w:rPr>
              <w:br/>
            </w:r>
            <w:r>
              <w:rPr>
                <w:b/>
                <w:noProof/>
                <w:sz w:val="22"/>
              </w:rPr>
              <w:t>għall-FISMA</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27"/>
        <w:gridCol w:w="909"/>
        <w:gridCol w:w="868"/>
        <w:gridCol w:w="868"/>
        <w:gridCol w:w="868"/>
        <w:gridCol w:w="868"/>
        <w:gridCol w:w="868"/>
        <w:gridCol w:w="1777"/>
      </w:tblGrid>
      <w:tr>
        <w:tc>
          <w:tcPr>
            <w:tcW w:w="3960" w:type="dxa"/>
            <w:vAlign w:val="center"/>
          </w:tcPr>
          <w:p>
            <w:pPr>
              <w:jc w:val="center"/>
              <w:rPr>
                <w:noProof/>
              </w:rPr>
            </w:pPr>
            <w:r>
              <w:rPr>
                <w:noProof/>
                <w:sz w:val="22"/>
              </w:rPr>
              <w:t>ABE</w:t>
            </w:r>
          </w:p>
        </w:tc>
        <w:tc>
          <w:tcPr>
            <w:tcW w:w="1560" w:type="dxa"/>
            <w:gridSpan w:val="2"/>
          </w:tcPr>
          <w:p>
            <w:pPr>
              <w:rPr>
                <w:noProof/>
                <w:sz w:val="20"/>
              </w:rPr>
            </w:pPr>
          </w:p>
        </w:tc>
        <w:tc>
          <w:tcPr>
            <w:tcW w:w="534" w:type="dxa"/>
          </w:tcPr>
          <w:p>
            <w:pPr>
              <w:jc w:val="center"/>
              <w:rPr>
                <w:noProof/>
                <w:sz w:val="20"/>
              </w:rPr>
            </w:pPr>
          </w:p>
        </w:tc>
        <w:tc>
          <w:tcPr>
            <w:tcW w:w="827" w:type="dxa"/>
            <w:vAlign w:val="center"/>
          </w:tcPr>
          <w:p>
            <w:pPr>
              <w:jc w:val="center"/>
              <w:rPr>
                <w:noProof/>
                <w:sz w:val="20"/>
              </w:rPr>
            </w:pPr>
            <w:r>
              <w:rPr>
                <w:noProof/>
                <w:sz w:val="20"/>
              </w:rPr>
              <w:t>Sena</w:t>
            </w:r>
            <w:r>
              <w:rPr>
                <w:noProof/>
                <w:sz w:val="22"/>
              </w:rPr>
              <w:br/>
            </w:r>
            <w:r>
              <w:rPr>
                <w:b/>
                <w:noProof/>
                <w:sz w:val="20"/>
              </w:rPr>
              <w:t>2020</w:t>
            </w:r>
          </w:p>
        </w:tc>
        <w:tc>
          <w:tcPr>
            <w:tcW w:w="909"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p>
        </w:tc>
        <w:tc>
          <w:tcPr>
            <w:tcW w:w="1777" w:type="dxa"/>
            <w:vAlign w:val="center"/>
          </w:tcPr>
          <w:p>
            <w:pPr>
              <w:jc w:val="center"/>
              <w:rPr>
                <w:b/>
                <w:noProof/>
                <w:sz w:val="20"/>
              </w:rPr>
            </w:pPr>
            <w:r>
              <w:rPr>
                <w:b/>
                <w:noProof/>
              </w:rPr>
              <w:t>TOTAL</w:t>
            </w:r>
            <w:r>
              <w:rPr>
                <w:noProof/>
              </w:rPr>
              <w:t xml:space="preserve"> (minħabba arranġament ta’ kofinanzjament 60/40, 40 % biss huwa msemmi hawnhekk)</w:t>
            </w:r>
          </w:p>
        </w:tc>
      </w:tr>
      <w:tr>
        <w:trPr>
          <w:trHeight w:val="277"/>
        </w:trPr>
        <w:tc>
          <w:tcPr>
            <w:tcW w:w="3960" w:type="dxa"/>
            <w:vMerge w:val="restart"/>
            <w:vAlign w:val="center"/>
          </w:tcPr>
          <w:p>
            <w:pPr>
              <w:rPr>
                <w:noProof/>
              </w:rPr>
            </w:pPr>
            <w:r>
              <w:rPr>
                <w:noProof/>
                <w:sz w:val="20"/>
              </w:rPr>
              <w:t xml:space="preserve">Titolu 1: Nefqa għall-persunal </w:t>
            </w:r>
          </w:p>
        </w:tc>
        <w:tc>
          <w:tcPr>
            <w:tcW w:w="1440" w:type="dxa"/>
            <w:vAlign w:val="center"/>
          </w:tcPr>
          <w:p>
            <w:pPr>
              <w:spacing w:before="20" w:after="20"/>
              <w:rPr>
                <w:noProof/>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27" w:type="dxa"/>
            <w:vAlign w:val="center"/>
          </w:tcPr>
          <w:p>
            <w:pPr>
              <w:spacing w:before="20" w:after="20"/>
              <w:jc w:val="center"/>
              <w:rPr>
                <w:noProof/>
                <w:sz w:val="20"/>
              </w:rPr>
            </w:pPr>
            <w:r>
              <w:rPr>
                <w:noProof/>
                <w:sz w:val="20"/>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27" w:type="dxa"/>
            <w:vAlign w:val="center"/>
          </w:tcPr>
          <w:p>
            <w:pPr>
              <w:spacing w:before="20" w:after="20"/>
              <w:jc w:val="center"/>
              <w:rPr>
                <w:noProof/>
                <w:sz w:val="20"/>
              </w:rPr>
            </w:pPr>
            <w:r>
              <w:rPr>
                <w:rFonts w:ascii="Calibri" w:hAnsi="Calibri"/>
                <w:noProof/>
                <w:color w:val="000000"/>
                <w:sz w:val="22"/>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restart"/>
            <w:vAlign w:val="center"/>
          </w:tcPr>
          <w:p>
            <w:pPr>
              <w:rPr>
                <w:noProof/>
              </w:rPr>
            </w:pPr>
            <w:r>
              <w:rPr>
                <w:noProof/>
                <w:sz w:val="20"/>
              </w:rPr>
              <w:t>Titolu 2: Nefqa operazzjonali u infrastrutturali</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Titolu 3: Nefqa operazzjonali </w:t>
            </w:r>
          </w:p>
        </w:tc>
        <w:tc>
          <w:tcPr>
            <w:tcW w:w="1440" w:type="dxa"/>
            <w:vAlign w:val="center"/>
          </w:tcPr>
          <w:p>
            <w:pPr>
              <w:spacing w:before="40" w:after="40"/>
              <w:rPr>
                <w:noProof/>
                <w:sz w:val="18"/>
              </w:rPr>
            </w:pPr>
            <w:r>
              <w:rPr>
                <w:noProof/>
                <w:sz w:val="18"/>
              </w:rPr>
              <w:t>Impenji</w:t>
            </w:r>
          </w:p>
        </w:tc>
        <w:tc>
          <w:tcPr>
            <w:tcW w:w="654" w:type="dxa"/>
            <w:gridSpan w:val="2"/>
            <w:vAlign w:val="center"/>
          </w:tcPr>
          <w:p>
            <w:pPr>
              <w:spacing w:before="40" w:after="40"/>
              <w:jc w:val="center"/>
              <w:rPr>
                <w:noProof/>
                <w:sz w:val="14"/>
              </w:rPr>
            </w:pPr>
            <w:r>
              <w:rPr>
                <w:noProof/>
                <w:sz w:val="14"/>
              </w:rPr>
              <w:t>(3 a)</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Pagamenti</w:t>
            </w:r>
          </w:p>
        </w:tc>
        <w:tc>
          <w:tcPr>
            <w:tcW w:w="654" w:type="dxa"/>
            <w:gridSpan w:val="2"/>
            <w:vAlign w:val="center"/>
          </w:tcPr>
          <w:p>
            <w:pPr>
              <w:spacing w:before="40" w:after="40"/>
              <w:jc w:val="center"/>
              <w:rPr>
                <w:noProof/>
                <w:sz w:val="14"/>
              </w:rPr>
            </w:pPr>
            <w:r>
              <w:rPr>
                <w:noProof/>
                <w:sz w:val="14"/>
              </w:rPr>
              <w:t>(3b)</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TOTAL tal-approprjazzjonijiet</w:t>
            </w:r>
            <w:r>
              <w:rPr>
                <w:noProof/>
                <w:sz w:val="22"/>
              </w:rPr>
              <w:br/>
            </w:r>
            <w:r>
              <w:rPr>
                <w:b/>
                <w:noProof/>
                <w:sz w:val="22"/>
              </w:rPr>
              <w:t>għall-ABE</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+3a</w:t>
            </w:r>
          </w:p>
        </w:tc>
        <w:tc>
          <w:tcPr>
            <w:tcW w:w="827"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27"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EIOPA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p>
        </w:tc>
        <w:tc>
          <w:tcPr>
            <w:tcW w:w="1777" w:type="dxa"/>
            <w:vAlign w:val="center"/>
          </w:tcPr>
          <w:p>
            <w:pPr>
              <w:jc w:val="center"/>
              <w:rPr>
                <w:b/>
                <w:noProof/>
                <w:sz w:val="20"/>
              </w:rPr>
            </w:pPr>
            <w:r>
              <w:rPr>
                <w:b/>
                <w:noProof/>
              </w:rPr>
              <w:t>TOTAL</w:t>
            </w:r>
            <w:r>
              <w:rPr>
                <w:noProof/>
              </w:rPr>
              <w:t xml:space="preserve"> (minħabba arranġament ta’ kofinanzjament 60/40, 40 % biss huwa msemmi hawnhekk)</w:t>
            </w:r>
          </w:p>
        </w:tc>
      </w:tr>
      <w:tr>
        <w:trPr>
          <w:trHeight w:val="277"/>
        </w:trPr>
        <w:tc>
          <w:tcPr>
            <w:tcW w:w="3960" w:type="dxa"/>
            <w:vMerge w:val="restart"/>
            <w:vAlign w:val="center"/>
          </w:tcPr>
          <w:p>
            <w:pPr>
              <w:rPr>
                <w:noProof/>
              </w:rPr>
            </w:pPr>
            <w:r>
              <w:rPr>
                <w:noProof/>
                <w:sz w:val="20"/>
              </w:rPr>
              <w:t xml:space="preserve">Titolu 1: Nefqa għall-persunal </w:t>
            </w:r>
          </w:p>
        </w:tc>
        <w:tc>
          <w:tcPr>
            <w:tcW w:w="1440" w:type="dxa"/>
            <w:vAlign w:val="center"/>
          </w:tcPr>
          <w:p>
            <w:pPr>
              <w:spacing w:before="20" w:after="20"/>
              <w:rPr>
                <w:noProof/>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restart"/>
            <w:vAlign w:val="center"/>
          </w:tcPr>
          <w:p>
            <w:pPr>
              <w:rPr>
                <w:noProof/>
              </w:rPr>
            </w:pPr>
            <w:r>
              <w:rPr>
                <w:noProof/>
                <w:sz w:val="20"/>
              </w:rPr>
              <w:t>Titolu 2: Nefqa operazzjonali u infrastrutturali</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Titolu 3: Nefqa operazzjonali </w:t>
            </w:r>
          </w:p>
        </w:tc>
        <w:tc>
          <w:tcPr>
            <w:tcW w:w="1440" w:type="dxa"/>
            <w:vAlign w:val="center"/>
          </w:tcPr>
          <w:p>
            <w:pPr>
              <w:spacing w:before="40" w:after="40"/>
              <w:rPr>
                <w:noProof/>
                <w:sz w:val="18"/>
              </w:rPr>
            </w:pPr>
            <w:r>
              <w:rPr>
                <w:noProof/>
                <w:sz w:val="18"/>
              </w:rPr>
              <w:t>Impenji</w:t>
            </w:r>
          </w:p>
        </w:tc>
        <w:tc>
          <w:tcPr>
            <w:tcW w:w="654" w:type="dxa"/>
            <w:gridSpan w:val="2"/>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Pagamenti</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TOTAL tal-approprjazzjonijiet</w:t>
            </w:r>
            <w:r>
              <w:rPr>
                <w:noProof/>
                <w:sz w:val="22"/>
              </w:rPr>
              <w:br/>
            </w:r>
            <w:r>
              <w:rPr>
                <w:b/>
                <w:noProof/>
                <w:sz w:val="22"/>
              </w:rPr>
              <w:t>għall-EIOPA</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+3a</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ESMA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p>
        </w:tc>
        <w:tc>
          <w:tcPr>
            <w:tcW w:w="1777" w:type="dxa"/>
            <w:vAlign w:val="center"/>
          </w:tcPr>
          <w:p>
            <w:pPr>
              <w:jc w:val="center"/>
              <w:rPr>
                <w:b/>
                <w:noProof/>
                <w:sz w:val="20"/>
              </w:rPr>
            </w:pPr>
            <w:r>
              <w:rPr>
                <w:b/>
                <w:noProof/>
              </w:rPr>
              <w:t>TOTAL</w:t>
            </w:r>
            <w:r>
              <w:rPr>
                <w:noProof/>
              </w:rPr>
              <w:t xml:space="preserve"> (minħabba arranġament ta’ kofinanzjament 60/40, 40 % biss huwa msemmi hawnhekk)</w:t>
            </w:r>
          </w:p>
        </w:tc>
      </w:tr>
      <w:tr>
        <w:trPr>
          <w:trHeight w:val="277"/>
        </w:trPr>
        <w:tc>
          <w:tcPr>
            <w:tcW w:w="3960" w:type="dxa"/>
            <w:vMerge w:val="restart"/>
            <w:vAlign w:val="center"/>
          </w:tcPr>
          <w:p>
            <w:pPr>
              <w:rPr>
                <w:noProof/>
              </w:rPr>
            </w:pPr>
            <w:r>
              <w:rPr>
                <w:noProof/>
                <w:sz w:val="20"/>
              </w:rPr>
              <w:t xml:space="preserve">Titolu 1: Nefqa għall-persunal </w:t>
            </w:r>
          </w:p>
        </w:tc>
        <w:tc>
          <w:tcPr>
            <w:tcW w:w="1440" w:type="dxa"/>
            <w:vAlign w:val="center"/>
          </w:tcPr>
          <w:p>
            <w:pPr>
              <w:spacing w:before="20" w:after="20"/>
              <w:rPr>
                <w:noProof/>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rPr>
          <w:trHeight w:val="547"/>
        </w:trPr>
        <w:tc>
          <w:tcPr>
            <w:tcW w:w="3960" w:type="dxa"/>
            <w:vMerge w:val="restart"/>
            <w:vAlign w:val="center"/>
          </w:tcPr>
          <w:p>
            <w:pPr>
              <w:rPr>
                <w:noProof/>
              </w:rPr>
            </w:pPr>
            <w:r>
              <w:rPr>
                <w:noProof/>
                <w:sz w:val="20"/>
              </w:rPr>
              <w:t>Titolu 2: Nefqa operazzjonali u infrastrutturali</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Titolu 3: Nefqa operazzjonali </w:t>
            </w:r>
          </w:p>
        </w:tc>
        <w:tc>
          <w:tcPr>
            <w:tcW w:w="1440" w:type="dxa"/>
            <w:vAlign w:val="center"/>
          </w:tcPr>
          <w:p>
            <w:pPr>
              <w:spacing w:before="40" w:after="40"/>
              <w:rPr>
                <w:noProof/>
                <w:sz w:val="18"/>
              </w:rPr>
            </w:pPr>
            <w:r>
              <w:rPr>
                <w:noProof/>
                <w:sz w:val="18"/>
              </w:rPr>
              <w:t>Impenji</w:t>
            </w:r>
          </w:p>
        </w:tc>
        <w:tc>
          <w:tcPr>
            <w:tcW w:w="654" w:type="dxa"/>
            <w:gridSpan w:val="2"/>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Pagamenti</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TOTAL tal-approprjazzjonijiet</w:t>
            </w:r>
            <w:r>
              <w:rPr>
                <w:noProof/>
                <w:sz w:val="22"/>
              </w:rPr>
              <w:br/>
            </w:r>
            <w:r>
              <w:rPr>
                <w:b/>
                <w:noProof/>
                <w:sz w:val="22"/>
              </w:rPr>
              <w:t>għall-ESMA</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TOTAL tal-approprjazzjonijiet</w:t>
            </w:r>
            <w:r>
              <w:rPr>
                <w:noProof/>
                <w:sz w:val="22"/>
              </w:rPr>
              <w:br/>
            </w:r>
            <w:r>
              <w:rPr>
                <w:b/>
                <w:noProof/>
                <w:sz w:val="22"/>
              </w:rPr>
              <w:t>skont l-INTESTATURA 1</w:t>
            </w:r>
            <w:r>
              <w:rPr>
                <w:noProof/>
                <w:sz w:val="22"/>
              </w:rPr>
              <w:br/>
              <w:t>tal-qafas finanzjarju pluriennali</w:t>
            </w:r>
            <w:r>
              <w:rPr>
                <w:b/>
                <w:noProof/>
                <w:sz w:val="22"/>
              </w:rPr>
              <w:t xml:space="preserve"> </w:t>
            </w:r>
          </w:p>
        </w:tc>
        <w:tc>
          <w:tcPr>
            <w:tcW w:w="2094" w:type="dxa"/>
            <w:vAlign w:val="center"/>
          </w:tcPr>
          <w:p>
            <w:pPr>
              <w:spacing w:before="40" w:after="40"/>
              <w:rPr>
                <w:noProof/>
              </w:rPr>
            </w:pPr>
            <w:r>
              <w:rPr>
                <w:noProof/>
                <w:sz w:val="18"/>
              </w:rPr>
              <w:t>(Impenji totali = Pagamenti totali)</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jc w:val="right"/>
              <w:rPr>
                <w:rFonts w:asciiTheme="majorBidi" w:hAnsiTheme="majorBidi" w:cstheme="majorBidi"/>
                <w:b/>
                <w:bCs/>
                <w:noProof/>
                <w:color w:val="000000"/>
                <w:sz w:val="22"/>
              </w:rPr>
            </w:pPr>
          </w:p>
          <w:p>
            <w:pPr>
              <w:spacing w:before="20" w:after="20"/>
              <w:jc w:val="right"/>
              <w:rPr>
                <w:b/>
                <w:noProof/>
                <w:sz w:val="20"/>
              </w:rPr>
            </w:pPr>
            <w:r>
              <w:rPr>
                <w:b/>
                <w:noProof/>
              </w:rPr>
              <w:t>0,714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080"/>
        <w:gridCol w:w="7817"/>
      </w:tblGrid>
      <w:tr>
        <w:trPr>
          <w:jc w:val="center"/>
        </w:trPr>
        <w:tc>
          <w:tcPr>
            <w:tcW w:w="5107" w:type="dxa"/>
            <w:shd w:val="thinDiagStripe" w:color="C0C0C0" w:fill="auto"/>
            <w:vAlign w:val="center"/>
          </w:tcPr>
          <w:p>
            <w:pPr>
              <w:spacing w:before="60" w:after="60"/>
              <w:jc w:val="center"/>
              <w:rPr>
                <w:b/>
                <w:noProof/>
              </w:rPr>
            </w:pPr>
            <w:r>
              <w:rPr>
                <w:b/>
                <w:noProof/>
              </w:rPr>
              <w:t xml:space="preserve">Intestatura tal-qafas finanzjarju </w:t>
            </w:r>
            <w:r>
              <w:rPr>
                <w:noProof/>
                <w:sz w:val="22"/>
              </w:rPr>
              <w:br/>
            </w:r>
            <w:r>
              <w:rPr>
                <w:b/>
                <w:noProof/>
                <w:sz w:val="22"/>
              </w:rPr>
              <w:t xml:space="preserve">pluriennali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jc w:val="left"/>
              <w:rPr>
                <w:noProof/>
              </w:rPr>
            </w:pPr>
            <w:r>
              <w:rPr>
                <w:noProof/>
              </w:rPr>
              <w:t>Tkabbir sostenibbli: Riżorsi naturali</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DĠ ENV:</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jc w:val="left"/>
              <w:rPr>
                <w:noProof/>
              </w:rPr>
            </w:pPr>
            <w:r>
              <w:rPr>
                <w:noProof/>
                <w:color w:val="000000" w:themeColor="text1"/>
                <w:sz w:val="20"/>
              </w:rPr>
              <w:t>ENV (studji)</w:t>
            </w:r>
          </w:p>
        </w:tc>
        <w:tc>
          <w:tcPr>
            <w:tcW w:w="1440" w:type="dxa"/>
            <w:vAlign w:val="center"/>
          </w:tcPr>
          <w:p>
            <w:pPr>
              <w:spacing w:before="20" w:after="20"/>
              <w:rPr>
                <w:noProof/>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restart"/>
            <w:vAlign w:val="center"/>
          </w:tcPr>
          <w:p>
            <w:pPr>
              <w:jc w:val="center"/>
              <w:rPr>
                <w:noProof/>
              </w:rPr>
            </w:pPr>
            <w:r>
              <w:rPr>
                <w:b/>
                <w:noProof/>
              </w:rPr>
              <w:t>TOTAL tal-approprjazzjonijiet</w:t>
            </w:r>
            <w:r>
              <w:rPr>
                <w:noProof/>
                <w:sz w:val="22"/>
              </w:rPr>
              <w:br/>
            </w:r>
            <w:r>
              <w:rPr>
                <w:b/>
                <w:noProof/>
                <w:sz w:val="22"/>
              </w:rPr>
              <w:t>għad-DĠ ENV</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EEA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 xml:space="preserve">Titolu 1: Nefqa għall-persunal </w:t>
            </w:r>
          </w:p>
        </w:tc>
        <w:tc>
          <w:tcPr>
            <w:tcW w:w="1440" w:type="dxa"/>
            <w:vAlign w:val="center"/>
          </w:tcPr>
          <w:p>
            <w:pPr>
              <w:spacing w:before="20" w:after="20"/>
              <w:rPr>
                <w:noProof/>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rPr>
          <w:trHeight w:val="361"/>
        </w:trPr>
        <w:tc>
          <w:tcPr>
            <w:tcW w:w="3960" w:type="dxa"/>
            <w:vMerge w:val="restart"/>
            <w:vAlign w:val="center"/>
          </w:tcPr>
          <w:p>
            <w:pPr>
              <w:rPr>
                <w:noProof/>
              </w:rPr>
            </w:pPr>
            <w:r>
              <w:rPr>
                <w:noProof/>
                <w:sz w:val="20"/>
              </w:rPr>
              <w:t>Titolu 2: Nefqa operazzjonali u infrastrutturali</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Titolu 3: Nefqa operazzjonali </w:t>
            </w:r>
          </w:p>
        </w:tc>
        <w:tc>
          <w:tcPr>
            <w:tcW w:w="1440" w:type="dxa"/>
            <w:vAlign w:val="center"/>
          </w:tcPr>
          <w:p>
            <w:pPr>
              <w:spacing w:before="40" w:after="40"/>
              <w:rPr>
                <w:noProof/>
                <w:sz w:val="18"/>
              </w:rPr>
            </w:pPr>
            <w:r>
              <w:rPr>
                <w:noProof/>
                <w:sz w:val="18"/>
              </w:rPr>
              <w:t>Impenji</w:t>
            </w:r>
          </w:p>
        </w:tc>
        <w:tc>
          <w:tcPr>
            <w:tcW w:w="654" w:type="dxa"/>
            <w:gridSpan w:val="2"/>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Pagamenti</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TOTAL tal-approprjazzjonijiet</w:t>
            </w:r>
            <w:r>
              <w:rPr>
                <w:noProof/>
                <w:sz w:val="22"/>
              </w:rPr>
              <w:br/>
            </w:r>
            <w:r>
              <w:rPr>
                <w:b/>
                <w:noProof/>
                <w:sz w:val="22"/>
              </w:rPr>
              <w:t>għall-EEA</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+3a</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TOTAL tal-approprjazzjonijiet</w:t>
            </w:r>
            <w:r>
              <w:rPr>
                <w:noProof/>
                <w:sz w:val="22"/>
              </w:rPr>
              <w:br/>
            </w:r>
            <w:r>
              <w:rPr>
                <w:b/>
                <w:noProof/>
                <w:sz w:val="22"/>
              </w:rPr>
              <w:t>skont l-INTESTATURA 2</w:t>
            </w:r>
            <w:r>
              <w:rPr>
                <w:noProof/>
                <w:sz w:val="22"/>
              </w:rPr>
              <w:br/>
              <w:t>tal-qafas finanzjarju pluriennali</w:t>
            </w:r>
            <w:r>
              <w:rPr>
                <w:b/>
                <w:noProof/>
                <w:sz w:val="22"/>
              </w:rPr>
              <w:t xml:space="preserve"> </w:t>
            </w:r>
          </w:p>
        </w:tc>
        <w:tc>
          <w:tcPr>
            <w:tcW w:w="2094" w:type="dxa"/>
            <w:vAlign w:val="center"/>
          </w:tcPr>
          <w:p>
            <w:pPr>
              <w:spacing w:before="40" w:after="40"/>
              <w:rPr>
                <w:noProof/>
              </w:rPr>
            </w:pPr>
            <w:r>
              <w:rPr>
                <w:noProof/>
                <w:sz w:val="18"/>
              </w:rPr>
              <w:t>(Impenji totali = Pagamenti totali)</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b/>
                <w:noProof/>
                <w:sz w:val="22"/>
              </w:rPr>
            </w:pPr>
          </w:p>
        </w:tc>
        <w:tc>
          <w:tcPr>
            <w:tcW w:w="1777" w:type="dxa"/>
            <w:vAlign w:val="center"/>
          </w:tcPr>
          <w:p>
            <w:pPr>
              <w:spacing w:before="20" w:after="20"/>
              <w:jc w:val="right"/>
              <w:rPr>
                <w:rFonts w:asciiTheme="majorBidi" w:hAnsiTheme="majorBidi" w:cstheme="majorBidi"/>
                <w:b/>
                <w:noProof/>
                <w:sz w:val="22"/>
              </w:rPr>
            </w:pPr>
            <w:r>
              <w:rPr>
                <w:b/>
                <w:noProof/>
              </w:rPr>
              <w:t>3,164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Intestatura tal-qafas finanzjarju </w:t>
            </w:r>
            <w:r>
              <w:rPr>
                <w:noProof/>
                <w:sz w:val="22"/>
              </w:rPr>
              <w:br/>
            </w:r>
            <w:r>
              <w:rPr>
                <w:b/>
                <w:noProof/>
                <w:sz w:val="22"/>
              </w:rPr>
              <w:t xml:space="preserve">pluriennali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b/>
                <w:bCs/>
                <w:noProof/>
              </w:rPr>
            </w:pPr>
            <w:r>
              <w:rPr>
                <w:b/>
                <w:noProof/>
                <w:sz w:val="22"/>
              </w:rPr>
              <w:t>Nefqa amministrattiva</w:t>
            </w:r>
          </w:p>
        </w:tc>
      </w:tr>
    </w:tbl>
    <w:p>
      <w:pPr>
        <w:jc w:val="right"/>
        <w:rPr>
          <w:noProof/>
          <w:sz w:val="20"/>
        </w:rPr>
      </w:pPr>
      <w:r>
        <w:rPr>
          <w:noProof/>
          <w:sz w:val="20"/>
        </w:rPr>
        <w:t>f’miljuni ta’ EUR (sa tliet pożizzjonijiet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 xml:space="preserve">Niżżel is-snin kollha li hemm bżonn biex turi t-tul taż-żmien tal-impatt (ara l-punt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Il-Kummissjoni Ewropea</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Riżorsi Umani </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5,720</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Nefqa oħra amministrattiva (kostijiet għall-konferenzi u l-laqgħat)</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0,896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TOTAL tal-approprjazzjonijiet</w:t>
            </w:r>
            <w:r>
              <w:rPr>
                <w:noProof/>
                <w:sz w:val="22"/>
              </w:rPr>
              <w:br/>
            </w:r>
            <w:r>
              <w:rPr>
                <w:b/>
                <w:noProof/>
                <w:sz w:val="22"/>
              </w:rPr>
              <w:t xml:space="preserve">skont l-INTESTATURA 5 </w:t>
            </w:r>
            <w:r>
              <w:rPr>
                <w:noProof/>
                <w:sz w:val="22"/>
              </w:rPr>
              <w:br/>
              <w:t>tal-qafas finanzjarju pluriennali</w:t>
            </w:r>
            <w:r>
              <w:rPr>
                <w:b/>
                <w:noProof/>
                <w:sz w:val="22"/>
              </w:rPr>
              <w:t xml:space="preserve"> </w:t>
            </w:r>
          </w:p>
        </w:tc>
        <w:tc>
          <w:tcPr>
            <w:tcW w:w="2094" w:type="dxa"/>
            <w:vAlign w:val="center"/>
          </w:tcPr>
          <w:p>
            <w:pPr>
              <w:spacing w:before="40" w:after="40"/>
              <w:rPr>
                <w:noProof/>
              </w:rPr>
            </w:pPr>
            <w:r>
              <w:rPr>
                <w:noProof/>
                <w:sz w:val="18"/>
              </w:rPr>
              <w:t>(Impenji totali = Pagamenti totali)</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jc w:val="right"/>
              <w:rPr>
                <w:rFonts w:asciiTheme="majorBidi" w:hAnsiTheme="majorBidi" w:cstheme="majorBidi"/>
                <w:b/>
                <w:bCs/>
                <w:noProof/>
                <w:color w:val="000000"/>
                <w:sz w:val="22"/>
              </w:rPr>
            </w:pPr>
          </w:p>
          <w:p>
            <w:pPr>
              <w:jc w:val="right"/>
              <w:rPr>
                <w:rFonts w:asciiTheme="majorBidi" w:hAnsiTheme="majorBidi" w:cstheme="majorBidi"/>
                <w:b/>
                <w:bCs/>
                <w:noProof/>
                <w:color w:val="000000"/>
                <w:sz w:val="22"/>
              </w:rPr>
            </w:pPr>
            <w:r>
              <w:rPr>
                <w:rFonts w:asciiTheme="majorBidi" w:hAnsiTheme="majorBidi" w:cstheme="majorBidi"/>
                <w:b/>
                <w:noProof/>
                <w:color w:val="000000"/>
                <w:sz w:val="22"/>
              </w:rPr>
              <w:t>6,616</w:t>
            </w:r>
          </w:p>
          <w:p>
            <w:pPr>
              <w:spacing w:before="20" w:after="20"/>
              <w:jc w:val="right"/>
              <w:rPr>
                <w:b/>
                <w:noProof/>
                <w:sz w:val="20"/>
              </w:rPr>
            </w:pPr>
          </w:p>
        </w:tc>
      </w:tr>
    </w:tbl>
    <w:p>
      <w:pPr>
        <w:jc w:val="right"/>
        <w:rPr>
          <w:noProof/>
          <w:sz w:val="20"/>
        </w:rPr>
      </w:pPr>
      <w:r>
        <w:rPr>
          <w:noProof/>
          <w:sz w:val="20"/>
        </w:rPr>
        <w:t>f’miljuni ta’ EUR (sa tliet pożizzjonijiet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2020</w:t>
            </w:r>
          </w:p>
        </w:tc>
        <w:tc>
          <w:tcPr>
            <w:tcW w:w="868" w:type="dxa"/>
            <w:vAlign w:val="center"/>
          </w:tcPr>
          <w:p>
            <w:pPr>
              <w:jc w:val="center"/>
              <w:rPr>
                <w:noProof/>
                <w:sz w:val="20"/>
              </w:rPr>
            </w:pPr>
            <w:r>
              <w:rPr>
                <w:noProof/>
                <w:sz w:val="20"/>
              </w:rPr>
              <w:t>Sena</w:t>
            </w:r>
            <w:r>
              <w:rPr>
                <w:noProof/>
                <w:sz w:val="22"/>
              </w:rPr>
              <w:br/>
            </w:r>
            <w:r>
              <w:rPr>
                <w:b/>
                <w:noProof/>
                <w:sz w:val="20"/>
              </w:rPr>
              <w:t>2021</w:t>
            </w:r>
          </w:p>
        </w:tc>
        <w:tc>
          <w:tcPr>
            <w:tcW w:w="868" w:type="dxa"/>
            <w:vAlign w:val="center"/>
          </w:tcPr>
          <w:p>
            <w:pPr>
              <w:jc w:val="center"/>
              <w:rPr>
                <w:noProof/>
                <w:sz w:val="20"/>
              </w:rPr>
            </w:pPr>
            <w:r>
              <w:rPr>
                <w:noProof/>
                <w:sz w:val="20"/>
              </w:rPr>
              <w:t>Sena</w:t>
            </w:r>
            <w:r>
              <w:rPr>
                <w:noProof/>
                <w:sz w:val="22"/>
              </w:rPr>
              <w:br/>
            </w:r>
            <w:r>
              <w:rPr>
                <w:b/>
                <w:noProof/>
                <w:sz w:val="20"/>
              </w:rPr>
              <w:t>2022</w:t>
            </w:r>
          </w:p>
        </w:tc>
        <w:tc>
          <w:tcPr>
            <w:tcW w:w="868" w:type="dxa"/>
            <w:vAlign w:val="center"/>
          </w:tcPr>
          <w:p>
            <w:pPr>
              <w:jc w:val="center"/>
              <w:rPr>
                <w:noProof/>
                <w:sz w:val="20"/>
              </w:rPr>
            </w:pPr>
            <w:r>
              <w:rPr>
                <w:noProof/>
                <w:sz w:val="20"/>
              </w:rPr>
              <w:t>Sena</w:t>
            </w:r>
            <w:r>
              <w:rPr>
                <w:noProof/>
                <w:sz w:val="22"/>
              </w:rPr>
              <w:br/>
            </w:r>
            <w:r>
              <w:rPr>
                <w:b/>
                <w:noProof/>
                <w:sz w:val="20"/>
              </w:rPr>
              <w:t>2023</w:t>
            </w:r>
          </w:p>
        </w:tc>
        <w:tc>
          <w:tcPr>
            <w:tcW w:w="2604" w:type="dxa"/>
            <w:gridSpan w:val="3"/>
            <w:vAlign w:val="center"/>
          </w:tcPr>
          <w:p>
            <w:pPr>
              <w:jc w:val="center"/>
              <w:rPr>
                <w:b/>
                <w:noProof/>
                <w:sz w:val="18"/>
              </w:rPr>
            </w:pPr>
            <w:r>
              <w:rPr>
                <w:noProof/>
                <w:sz w:val="18"/>
              </w:rPr>
              <w:t>Niżżel is-snin kollha li hemm bżonn biex turi t-tul taż-żmien tal-impatt (ara l-punt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rPr>
              <w:t>TOTAL tal-appropjazzjonijiet</w:t>
            </w:r>
            <w:r>
              <w:rPr>
                <w:noProof/>
                <w:sz w:val="22"/>
              </w:rPr>
              <w:br/>
            </w:r>
            <w:r>
              <w:rPr>
                <w:b/>
                <w:noProof/>
                <w:sz w:val="22"/>
              </w:rPr>
              <w:t>skont l-INTESTATURI 1 sa 5</w:t>
            </w:r>
            <w:r>
              <w:rPr>
                <w:noProof/>
                <w:sz w:val="22"/>
              </w:rPr>
              <w:br/>
              <w:t>tal-qafas finanzjarju pluriennali</w:t>
            </w:r>
            <w:r>
              <w:rPr>
                <w:b/>
                <w:noProof/>
                <w:sz w:val="22"/>
              </w:rPr>
              <w:t xml:space="preserve"> </w:t>
            </w:r>
          </w:p>
        </w:tc>
        <w:tc>
          <w:tcPr>
            <w:tcW w:w="2094" w:type="dxa"/>
            <w:gridSpan w:val="2"/>
            <w:vAlign w:val="center"/>
          </w:tcPr>
          <w:p>
            <w:pPr>
              <w:rPr>
                <w:noProof/>
                <w:sz w:val="14"/>
              </w:rPr>
            </w:pPr>
            <w:r>
              <w:rPr>
                <w:noProof/>
                <w:sz w:val="18"/>
              </w:rPr>
              <w:t>Impenji</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r>
        <w:tc>
          <w:tcPr>
            <w:tcW w:w="3960" w:type="dxa"/>
            <w:vMerge/>
            <w:vAlign w:val="center"/>
          </w:tcPr>
          <w:p>
            <w:pPr>
              <w:rPr>
                <w:b/>
                <w:noProof/>
              </w:rPr>
            </w:pPr>
          </w:p>
        </w:tc>
        <w:tc>
          <w:tcPr>
            <w:tcW w:w="2094" w:type="dxa"/>
            <w:gridSpan w:val="2"/>
            <w:vAlign w:val="center"/>
          </w:tcPr>
          <w:p>
            <w:pPr>
              <w:rPr>
                <w:noProof/>
                <w:sz w:val="14"/>
              </w:rPr>
            </w:pPr>
            <w:r>
              <w:rPr>
                <w:noProof/>
                <w:sz w:val="18"/>
              </w:rPr>
              <w:t>Pagamenti</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bl>
    <w:p>
      <w:pPr>
        <w:rPr>
          <w:noProof/>
        </w:rPr>
        <w:sectPr>
          <w:headerReference w:type="default" r:id="rId28"/>
          <w:footerReference w:type="default" r:id="rId29"/>
          <w:headerReference w:type="first" r:id="rId30"/>
          <w:footerReference w:type="first" r:id="rId31"/>
          <w:pgSz w:w="16839" w:h="11907" w:orient="landscape" w:code="9"/>
          <w:pgMar w:top="1134" w:right="1077" w:bottom="902" w:left="1247" w:header="709" w:footer="510" w:gutter="0"/>
          <w:cols w:space="720"/>
          <w:docGrid w:linePitch="326"/>
        </w:sectPr>
      </w:pPr>
    </w:p>
    <w:p>
      <w:pPr>
        <w:pStyle w:val="ManualHeading3"/>
        <w:rPr>
          <w:bCs/>
          <w:noProof/>
          <w:szCs w:val="24"/>
        </w:rPr>
      </w:pPr>
      <w:r>
        <w:t>3.2.2.</w:t>
      </w:r>
      <w:r>
        <w:tab/>
      </w:r>
      <w:r>
        <w:rPr>
          <w:noProof/>
        </w:rPr>
        <w:t xml:space="preserve">Impatt stmat fuq l-approprjazzjonijiet operazzjonali </w:t>
      </w:r>
    </w:p>
    <w:p>
      <w:pPr>
        <w:pStyle w:val="ListDash1"/>
        <w:rPr>
          <w:noProof/>
        </w:rPr>
      </w:pPr>
      <w:r>
        <w:rPr>
          <w:noProof/>
        </w:rPr>
        <w:sym w:font="Wingdings" w:char="F0A8"/>
      </w:r>
      <w:r>
        <w:rPr>
          <w:noProof/>
        </w:rPr>
        <w:tab/>
        <w:t xml:space="preserve">Il-proposta / inizjattiva ma tirrikjedix l-użu ta’ approprjazzjonijiet operazzjonali </w:t>
      </w:r>
    </w:p>
    <w:p>
      <w:pPr>
        <w:pStyle w:val="ListDash1"/>
        <w:rPr>
          <w:noProof/>
        </w:rPr>
      </w:pPr>
      <w:r>
        <w:rPr>
          <w:noProof/>
        </w:rPr>
        <w:sym w:font="Wingdings" w:char="F0FE"/>
      </w:r>
      <w:r>
        <w:rPr>
          <w:noProof/>
        </w:rPr>
        <w:tab/>
        <w:t>Il-proposta / inizjattiva tirrikjedi l-użu ta’ approprjazzjonijiet operazzjonali, kif spjegat hawn taħt:</w:t>
      </w:r>
    </w:p>
    <w:p>
      <w:pPr>
        <w:jc w:val="right"/>
        <w:rPr>
          <w:noProof/>
          <w:sz w:val="20"/>
        </w:rPr>
      </w:pPr>
      <w:r>
        <w:rPr>
          <w:noProof/>
          <w:sz w:val="20"/>
        </w:rPr>
        <w:t>Approprjazzjonijiet ta’ impenn f’miljuni ta’ EUR (sa tliet pożizzjonijiet deċimali)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031"/>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496" w:type="dxa"/>
          <w:jc w:val="center"/>
        </w:trPr>
        <w:tc>
          <w:tcPr>
            <w:tcW w:w="1423" w:type="dxa"/>
            <w:vAlign w:val="center"/>
          </w:tcPr>
          <w:p>
            <w:pPr>
              <w:ind w:right="-29"/>
              <w:jc w:val="center"/>
              <w:rPr>
                <w:b/>
                <w:noProof/>
                <w:sz w:val="18"/>
              </w:rPr>
            </w:pPr>
            <w:r>
              <w:rPr>
                <w:b/>
                <w:noProof/>
                <w:sz w:val="22"/>
              </w:rPr>
              <w:t>ABE</w:t>
            </w:r>
          </w:p>
        </w:tc>
      </w:tr>
      <w:tr>
        <w:trPr>
          <w:jc w:val="center"/>
        </w:trPr>
        <w:tc>
          <w:tcPr>
            <w:tcW w:w="1423" w:type="dxa"/>
            <w:vMerge w:val="restart"/>
            <w:vAlign w:val="center"/>
          </w:tcPr>
          <w:p>
            <w:pPr>
              <w:ind w:right="-29"/>
              <w:jc w:val="center"/>
              <w:rPr>
                <w:b/>
                <w:noProof/>
                <w:sz w:val="18"/>
              </w:rPr>
            </w:pPr>
            <w:r>
              <w:rPr>
                <w:b/>
                <w:noProof/>
                <w:sz w:val="18"/>
              </w:rPr>
              <w:t xml:space="preserve">Indika l-għanijiet u l-outputs </w:t>
            </w:r>
          </w:p>
          <w:p>
            <w:pPr>
              <w:ind w:right="-29"/>
              <w:jc w:val="center"/>
              <w:rPr>
                <w:b/>
                <w:noProof/>
                <w:sz w:val="18"/>
              </w:rPr>
            </w:pPr>
          </w:p>
          <w:p>
            <w:pPr>
              <w:ind w:right="-29"/>
              <w:jc w:val="center"/>
              <w:rPr>
                <w:noProof/>
                <w:sz w:val="18"/>
              </w:rPr>
            </w:pPr>
            <w:r>
              <w:rPr>
                <w:noProof/>
                <w:sz w:val="18"/>
              </w:rPr>
              <w:sym w:font="Wingdings" w:char="F0F2"/>
            </w:r>
          </w:p>
        </w:tc>
        <w:tc>
          <w:tcPr>
            <w:tcW w:w="1031"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Sena</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Sena</w:t>
            </w:r>
            <w:r>
              <w:rPr>
                <w:noProof/>
                <w:sz w:val="22"/>
              </w:rPr>
              <w:br/>
            </w:r>
            <w:r>
              <w:rPr>
                <w:b/>
                <w:noProof/>
                <w:sz w:val="18"/>
              </w:rPr>
              <w:t>2021</w:t>
            </w:r>
            <w:r>
              <w:rPr>
                <w:rStyle w:val="FootnoteReference"/>
                <w:b/>
                <w:noProof/>
                <w:sz w:val="18"/>
              </w:rPr>
              <w:footnoteReference w:id="70"/>
            </w:r>
          </w:p>
        </w:tc>
        <w:tc>
          <w:tcPr>
            <w:tcW w:w="1440" w:type="dxa"/>
            <w:gridSpan w:val="2"/>
            <w:vAlign w:val="center"/>
          </w:tcPr>
          <w:p>
            <w:pPr>
              <w:ind w:right="-29"/>
              <w:jc w:val="center"/>
              <w:rPr>
                <w:noProof/>
                <w:sz w:val="18"/>
              </w:rPr>
            </w:pPr>
            <w:r>
              <w:rPr>
                <w:noProof/>
                <w:sz w:val="18"/>
              </w:rPr>
              <w:t>Sena</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Sena</w:t>
            </w:r>
            <w:r>
              <w:rPr>
                <w:noProof/>
                <w:sz w:val="22"/>
              </w:rPr>
              <w:br/>
            </w:r>
            <w:r>
              <w:rPr>
                <w:b/>
                <w:noProof/>
                <w:sz w:val="18"/>
              </w:rPr>
              <w:t>2023</w:t>
            </w:r>
          </w:p>
        </w:tc>
        <w:tc>
          <w:tcPr>
            <w:tcW w:w="3600" w:type="dxa"/>
            <w:gridSpan w:val="6"/>
            <w:vAlign w:val="center"/>
          </w:tcPr>
          <w:p>
            <w:pPr>
              <w:jc w:val="center"/>
              <w:rPr>
                <w:b/>
                <w:noProof/>
                <w:sz w:val="18"/>
              </w:rPr>
            </w:pPr>
            <w:r>
              <w:rPr>
                <w:noProof/>
                <w:sz w:val="18"/>
              </w:rPr>
              <w:t>Niżżel is-snin kollha li hemm bżonn biex turi t-tul taż-żmien tal-impatt (ara l-punt 1.6)</w:t>
            </w:r>
            <w:r>
              <w:rPr>
                <w:rStyle w:val="FootnoteReference"/>
                <w:noProof/>
                <w:sz w:val="18"/>
              </w:rPr>
              <w:footnoteReference w:id="71"/>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496"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1031" w:type="dxa"/>
            <w:vAlign w:val="center"/>
          </w:tcPr>
          <w:p>
            <w:pPr>
              <w:jc w:val="center"/>
              <w:rPr>
                <w:noProof/>
                <w:sz w:val="18"/>
              </w:rPr>
            </w:pPr>
            <w:r>
              <w:rPr>
                <w:noProof/>
                <w:sz w:val="18"/>
              </w:rPr>
              <w:t>Tip</w:t>
            </w:r>
            <w:r>
              <w:rPr>
                <w:rStyle w:val="FootnoteReference"/>
                <w:noProof/>
                <w:sz w:val="18"/>
              </w:rPr>
              <w:footnoteReference w:id="72"/>
            </w:r>
          </w:p>
        </w:tc>
        <w:tc>
          <w:tcPr>
            <w:tcW w:w="701" w:type="dxa"/>
            <w:vAlign w:val="center"/>
          </w:tcPr>
          <w:p>
            <w:pPr>
              <w:jc w:val="center"/>
              <w:rPr>
                <w:noProof/>
              </w:rPr>
            </w:pPr>
            <w:r>
              <w:rPr>
                <w:noProof/>
                <w:sz w:val="18"/>
              </w:rPr>
              <w:t>Kost medju</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648" w:type="dxa"/>
            <w:tcBorders>
              <w:left w:val="dashSmallGap" w:sz="4" w:space="0" w:color="auto"/>
            </w:tcBorders>
            <w:shd w:val="pct10" w:color="auto" w:fill="auto"/>
            <w:vAlign w:val="center"/>
          </w:tcPr>
          <w:p>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vAlign w:val="center"/>
          </w:tcPr>
          <w:p>
            <w:pPr>
              <w:jc w:val="center"/>
              <w:rPr>
                <w:noProof/>
                <w:sz w:val="18"/>
              </w:rPr>
            </w:pPr>
            <w:r>
              <w:rPr>
                <w:noProof/>
                <w:sz w:val="18"/>
              </w:rPr>
              <w:t>Għadd totali</w:t>
            </w:r>
          </w:p>
        </w:tc>
        <w:tc>
          <w:tcPr>
            <w:tcW w:w="900" w:type="dxa"/>
            <w:tcBorders>
              <w:left w:val="dashSmallGap" w:sz="4" w:space="0" w:color="auto"/>
            </w:tcBorders>
            <w:shd w:val="pct10" w:color="auto" w:fill="auto"/>
            <w:vAlign w:val="center"/>
          </w:tcPr>
          <w:p>
            <w:pPr>
              <w:jc w:val="center"/>
              <w:rPr>
                <w:noProof/>
              </w:rPr>
            </w:pPr>
            <w:r>
              <w:rPr>
                <w:noProof/>
                <w:sz w:val="18"/>
              </w:rPr>
              <w:t>Kost totali</w:t>
            </w:r>
          </w:p>
        </w:tc>
      </w:tr>
      <w:tr>
        <w:trPr>
          <w:jc w:val="center"/>
        </w:trPr>
        <w:tc>
          <w:tcPr>
            <w:tcW w:w="3155" w:type="dxa"/>
            <w:gridSpan w:val="3"/>
            <w:vAlign w:val="center"/>
          </w:tcPr>
          <w:p>
            <w:pPr>
              <w:spacing w:before="60" w:after="60"/>
              <w:ind w:right="-29"/>
              <w:jc w:val="center"/>
              <w:rPr>
                <w:noProof/>
                <w:sz w:val="18"/>
              </w:rPr>
            </w:pPr>
            <w:r>
              <w:rPr>
                <w:noProof/>
                <w:sz w:val="18"/>
              </w:rPr>
              <w:t xml:space="preserve">GĦAN SPEĊIFIKU Nru 1 </w:t>
            </w:r>
            <w:r>
              <w:rPr>
                <w:rStyle w:val="FootnoteReference"/>
                <w:noProof/>
                <w:sz w:val="18"/>
              </w:rPr>
              <w:footnoteReference w:id="73"/>
            </w:r>
            <w:r>
              <w:rPr>
                <w:noProof/>
                <w:sz w:val="18"/>
              </w:rPr>
              <w:t xml:space="preserve"> Appoġġ lill-Pjattaforma fil-ħidma tagħha dwar it-tassonomija, jingħata input lill-Osservatorju tal-Finanzi Sostenibbli u jitwettqu azzjonijiet tal-Pjan ta’ Azzjoni tal-FS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47"/>
          <w:jc w:val="center"/>
        </w:trPr>
        <w:tc>
          <w:tcPr>
            <w:tcW w:w="1423" w:type="dxa"/>
          </w:tcPr>
          <w:p>
            <w:pPr>
              <w:ind w:right="-29"/>
              <w:jc w:val="center"/>
              <w:rPr>
                <w:noProof/>
                <w:sz w:val="18"/>
              </w:rPr>
            </w:pPr>
            <w:r>
              <w:rPr>
                <w:noProof/>
                <w:sz w:val="18"/>
              </w:rPr>
              <w:t xml:space="preserve">Il-forniment ta’ analiżi, gwida, rapporti, </w:t>
            </w:r>
            <w:r>
              <w:rPr>
                <w:i/>
                <w:noProof/>
                <w:sz w:val="18"/>
              </w:rPr>
              <w:t>data</w:t>
            </w:r>
            <w:r>
              <w:rPr>
                <w:noProof/>
                <w:sz w:val="18"/>
              </w:rPr>
              <w:t xml:space="preserve"> u konsulenza</w:t>
            </w:r>
          </w:p>
        </w:tc>
        <w:tc>
          <w:tcPr>
            <w:tcW w:w="1031" w:type="dxa"/>
          </w:tcPr>
          <w:p>
            <w:pPr>
              <w:ind w:right="-29"/>
              <w:jc w:val="center"/>
              <w:rPr>
                <w:noProof/>
                <w:sz w:val="18"/>
              </w:rPr>
            </w:pPr>
            <w:r>
              <w:rPr>
                <w:noProof/>
                <w:sz w:val="18"/>
              </w:rPr>
              <w:t xml:space="preserve">Analiżi, gwida, rapporti, </w:t>
            </w:r>
            <w:r>
              <w:rPr>
                <w:i/>
                <w:noProof/>
                <w:sz w:val="18"/>
              </w:rPr>
              <w:t>data</w:t>
            </w:r>
            <w:r>
              <w:rPr>
                <w:noProof/>
                <w:sz w:val="18"/>
              </w:rPr>
              <w:t xml:space="preserve"> u konsulenza</w:t>
            </w:r>
          </w:p>
          <w:p>
            <w:pPr>
              <w:ind w:right="-29"/>
              <w:jc w:val="center"/>
              <w:rPr>
                <w:noProof/>
                <w:sz w:val="18"/>
              </w:rPr>
            </w:pPr>
          </w:p>
        </w:tc>
        <w:tc>
          <w:tcPr>
            <w:tcW w:w="701" w:type="dxa"/>
            <w:vAlign w:val="center"/>
          </w:tcPr>
          <w:p>
            <w:pPr>
              <w:ind w:right="-29"/>
              <w:jc w:val="center"/>
              <w:rPr>
                <w:noProof/>
                <w:sz w:val="18"/>
                <w:szCs w:val="18"/>
              </w:rPr>
            </w:pPr>
            <w:r>
              <w:rPr>
                <w:noProof/>
                <w:sz w:val="18"/>
              </w:rPr>
              <w:t>0,034 (FTE)</w:t>
            </w:r>
          </w:p>
        </w:tc>
        <w:tc>
          <w:tcPr>
            <w:tcW w:w="504" w:type="dxa"/>
            <w:tcBorders>
              <w:right w:val="dashSmallGap" w:sz="4" w:space="0" w:color="auto"/>
            </w:tcBorders>
            <w:vAlign w:val="center"/>
          </w:tcPr>
          <w:p>
            <w:pPr>
              <w:ind w:right="-29"/>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72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90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p>
          <w:p>
            <w:pPr>
              <w:jc w:val="center"/>
              <w:rPr>
                <w:rFonts w:ascii="Calibri" w:hAnsi="Calibri"/>
                <w:b/>
                <w:bCs/>
                <w:noProof/>
                <w:color w:val="000000"/>
                <w:sz w:val="22"/>
              </w:rPr>
            </w:pPr>
            <w:r>
              <w:rPr>
                <w:rFonts w:ascii="Calibri" w:hAnsi="Calibri"/>
                <w:b/>
                <w:noProof/>
                <w:color w:val="000000"/>
                <w:sz w:val="22"/>
              </w:rPr>
              <w:t>0,136</w:t>
            </w:r>
          </w:p>
          <w:p>
            <w:pPr>
              <w:ind w:right="-29"/>
              <w:jc w:val="center"/>
              <w:rPr>
                <w:b/>
                <w:bCs/>
                <w:noProof/>
                <w:sz w:val="18"/>
              </w:rPr>
            </w:pPr>
          </w:p>
        </w:tc>
      </w:tr>
      <w:tr>
        <w:trPr>
          <w:jc w:val="center"/>
        </w:trPr>
        <w:tc>
          <w:tcPr>
            <w:tcW w:w="3155" w:type="dxa"/>
            <w:gridSpan w:val="3"/>
            <w:tcBorders>
              <w:bottom w:val="single" w:sz="12" w:space="0" w:color="auto"/>
            </w:tcBorders>
            <w:vAlign w:val="center"/>
          </w:tcPr>
          <w:p>
            <w:pPr>
              <w:ind w:right="-29"/>
              <w:jc w:val="center"/>
              <w:rPr>
                <w:noProof/>
                <w:sz w:val="18"/>
              </w:rPr>
            </w:pPr>
            <w:r>
              <w:rPr>
                <w:noProof/>
                <w:sz w:val="18"/>
              </w:rPr>
              <w:t>Subtotal tal-għan speċifiku Nru 1</w:t>
            </w:r>
          </w:p>
        </w:tc>
        <w:tc>
          <w:tcPr>
            <w:tcW w:w="504" w:type="dxa"/>
            <w:tcBorders>
              <w:bottom w:val="single" w:sz="12" w:space="0" w:color="auto"/>
            </w:tcBorders>
            <w:vAlign w:val="center"/>
          </w:tcPr>
          <w:p>
            <w:pPr>
              <w:ind w:right="-29"/>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72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90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0,136</w:t>
            </w:r>
          </w:p>
          <w:p>
            <w:pPr>
              <w:ind w:right="-29"/>
              <w:jc w:val="center"/>
              <w:rPr>
                <w:noProof/>
                <w:sz w:val="18"/>
              </w:rPr>
            </w:pPr>
          </w:p>
        </w:tc>
      </w:tr>
      <w:tr>
        <w:trPr>
          <w:jc w:val="center"/>
        </w:trPr>
        <w:tc>
          <w:tcPr>
            <w:tcW w:w="315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 TOTALI</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72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90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vAlign w:val="center"/>
          </w:tcPr>
          <w:p>
            <w:pPr>
              <w:jc w:val="right"/>
              <w:rPr>
                <w:rFonts w:ascii="Calibri" w:hAnsi="Calibri"/>
                <w:b/>
                <w:bCs/>
                <w:noProof/>
                <w:color w:val="000000"/>
                <w:sz w:val="22"/>
              </w:rPr>
            </w:pPr>
            <w:r>
              <w:rPr>
                <w:rFonts w:ascii="Calibri" w:hAnsi="Calibri"/>
                <w:b/>
                <w:noProof/>
                <w:color w:val="000000"/>
                <w:sz w:val="22"/>
              </w:rPr>
              <w:t>0,136</w:t>
            </w:r>
          </w:p>
          <w:p>
            <w:pPr>
              <w:spacing w:before="180" w:after="180"/>
              <w:ind w:right="-29"/>
              <w:jc w:val="right"/>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EIOPA</w:t>
            </w:r>
          </w:p>
        </w:tc>
      </w:tr>
      <w:tr>
        <w:trPr>
          <w:jc w:val="center"/>
        </w:trPr>
        <w:tc>
          <w:tcPr>
            <w:tcW w:w="1423" w:type="dxa"/>
            <w:vMerge w:val="restart"/>
            <w:vAlign w:val="center"/>
          </w:tcPr>
          <w:p>
            <w:pPr>
              <w:ind w:right="-29"/>
              <w:jc w:val="center"/>
              <w:rPr>
                <w:b/>
                <w:noProof/>
                <w:sz w:val="18"/>
              </w:rPr>
            </w:pPr>
            <w:r>
              <w:rPr>
                <w:b/>
                <w:noProof/>
                <w:sz w:val="18"/>
              </w:rPr>
              <w:t xml:space="preserve">Indika l-għanijiet u l-outputs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Sena</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Sena</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Sena</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Sena</w:t>
            </w:r>
            <w:r>
              <w:rPr>
                <w:noProof/>
                <w:sz w:val="22"/>
              </w:rPr>
              <w:br/>
            </w:r>
            <w:r>
              <w:rPr>
                <w:b/>
                <w:noProof/>
                <w:sz w:val="18"/>
              </w:rPr>
              <w:t>2023</w:t>
            </w:r>
          </w:p>
        </w:tc>
        <w:tc>
          <w:tcPr>
            <w:tcW w:w="3600" w:type="dxa"/>
            <w:gridSpan w:val="6"/>
            <w:vAlign w:val="center"/>
          </w:tcPr>
          <w:p>
            <w:pPr>
              <w:jc w:val="center"/>
              <w:rPr>
                <w:b/>
                <w:noProof/>
                <w:sz w:val="18"/>
              </w:rPr>
            </w:pPr>
            <w:r>
              <w:rPr>
                <w:noProof/>
                <w:sz w:val="18"/>
              </w:rPr>
              <w:t>Niżżel is-snin kollha li hemm bżonn biex turi t-tul taż-żmien tal-impatt (ara l-punt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w:t>
            </w:r>
            <w:r>
              <w:rPr>
                <w:rStyle w:val="FootnoteReference"/>
                <w:noProof/>
                <w:sz w:val="18"/>
              </w:rPr>
              <w:footnoteReference w:id="74"/>
            </w:r>
          </w:p>
        </w:tc>
        <w:tc>
          <w:tcPr>
            <w:tcW w:w="878" w:type="dxa"/>
            <w:gridSpan w:val="2"/>
            <w:vAlign w:val="center"/>
          </w:tcPr>
          <w:p>
            <w:pPr>
              <w:jc w:val="center"/>
              <w:rPr>
                <w:noProof/>
              </w:rPr>
            </w:pPr>
            <w:r>
              <w:rPr>
                <w:noProof/>
                <w:sz w:val="18"/>
              </w:rPr>
              <w:t>Kost medju</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648" w:type="dxa"/>
            <w:tcBorders>
              <w:left w:val="dashSmallGap" w:sz="4" w:space="0" w:color="auto"/>
            </w:tcBorders>
            <w:shd w:val="pct10" w:color="auto" w:fill="auto"/>
            <w:vAlign w:val="center"/>
          </w:tcPr>
          <w:p>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vAlign w:val="center"/>
          </w:tcPr>
          <w:p>
            <w:pPr>
              <w:jc w:val="center"/>
              <w:rPr>
                <w:noProof/>
                <w:sz w:val="18"/>
              </w:rPr>
            </w:pPr>
            <w:r>
              <w:rPr>
                <w:noProof/>
                <w:sz w:val="18"/>
              </w:rPr>
              <w:t>Għadd totali</w:t>
            </w:r>
          </w:p>
        </w:tc>
        <w:tc>
          <w:tcPr>
            <w:tcW w:w="900" w:type="dxa"/>
            <w:tcBorders>
              <w:left w:val="dashSmallGap" w:sz="4" w:space="0" w:color="auto"/>
            </w:tcBorders>
            <w:shd w:val="pct10" w:color="auto" w:fill="auto"/>
            <w:vAlign w:val="center"/>
          </w:tcPr>
          <w:p>
            <w:pPr>
              <w:jc w:val="center"/>
              <w:rPr>
                <w:noProof/>
              </w:rPr>
            </w:pPr>
            <w:r>
              <w:rPr>
                <w:noProof/>
                <w:sz w:val="18"/>
              </w:rPr>
              <w:t>Kost totali</w:t>
            </w:r>
          </w:p>
        </w:tc>
      </w:tr>
      <w:tr>
        <w:trPr>
          <w:jc w:val="center"/>
        </w:trPr>
        <w:tc>
          <w:tcPr>
            <w:tcW w:w="3021" w:type="dxa"/>
            <w:gridSpan w:val="4"/>
            <w:vAlign w:val="center"/>
          </w:tcPr>
          <w:p>
            <w:pPr>
              <w:spacing w:before="60" w:after="60"/>
              <w:ind w:right="-29"/>
              <w:jc w:val="center"/>
              <w:rPr>
                <w:noProof/>
                <w:sz w:val="18"/>
              </w:rPr>
            </w:pPr>
            <w:r>
              <w:rPr>
                <w:noProof/>
                <w:sz w:val="18"/>
              </w:rPr>
              <w:t xml:space="preserve">GĦAN SPEĊIFIKU Nru 1 </w:t>
            </w:r>
            <w:r>
              <w:rPr>
                <w:rStyle w:val="FootnoteReference"/>
                <w:noProof/>
                <w:sz w:val="18"/>
              </w:rPr>
              <w:footnoteReference w:id="75"/>
            </w:r>
            <w:r>
              <w:rPr>
                <w:noProof/>
                <w:sz w:val="18"/>
              </w:rPr>
              <w:t xml:space="preserve"> Appoġġ lill-Pjattaforma fil-ħidma tagħha dwar it-tassonomija, jingħata input lill-Osservatorju tal-Finanzi Sostenibbli u jitwettqu azzjonijiet tal-Pjan ta’ Azzjoni tal-FS</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221"/>
          <w:jc w:val="center"/>
        </w:trPr>
        <w:tc>
          <w:tcPr>
            <w:tcW w:w="1423" w:type="dxa"/>
          </w:tcPr>
          <w:p>
            <w:pPr>
              <w:ind w:right="-29"/>
              <w:jc w:val="center"/>
              <w:rPr>
                <w:noProof/>
                <w:sz w:val="18"/>
              </w:rPr>
            </w:pPr>
            <w:r>
              <w:rPr>
                <w:noProof/>
                <w:sz w:val="18"/>
              </w:rPr>
              <w:t xml:space="preserve">Il-forniment ta’ analiżi, gwida, rapporti, </w:t>
            </w:r>
            <w:r>
              <w:rPr>
                <w:i/>
                <w:noProof/>
                <w:sz w:val="18"/>
              </w:rPr>
              <w:t>data</w:t>
            </w:r>
            <w:r>
              <w:rPr>
                <w:noProof/>
                <w:sz w:val="18"/>
              </w:rPr>
              <w:t xml:space="preserve"> u konsulenza</w:t>
            </w:r>
          </w:p>
        </w:tc>
        <w:tc>
          <w:tcPr>
            <w:tcW w:w="890" w:type="dxa"/>
            <w:gridSpan w:val="2"/>
          </w:tcPr>
          <w:p>
            <w:pPr>
              <w:ind w:right="-29"/>
              <w:jc w:val="center"/>
              <w:rPr>
                <w:noProof/>
                <w:sz w:val="18"/>
              </w:rPr>
            </w:pPr>
            <w:r>
              <w:rPr>
                <w:noProof/>
                <w:sz w:val="18"/>
              </w:rPr>
              <w:t xml:space="preserve">Analiżi, gwida, rapporti, </w:t>
            </w:r>
            <w:r>
              <w:rPr>
                <w:i/>
                <w:noProof/>
                <w:sz w:val="18"/>
              </w:rPr>
              <w:t>data</w:t>
            </w:r>
            <w:r>
              <w:rPr>
                <w:noProof/>
                <w:sz w:val="18"/>
              </w:rPr>
              <w:t xml:space="preserve"> u konsulenza</w:t>
            </w:r>
          </w:p>
          <w:p>
            <w:pPr>
              <w:ind w:right="-29"/>
              <w:jc w:val="center"/>
              <w:rPr>
                <w:noProof/>
                <w:sz w:val="18"/>
              </w:rPr>
            </w:pPr>
          </w:p>
        </w:tc>
        <w:tc>
          <w:tcPr>
            <w:tcW w:w="708" w:type="dxa"/>
            <w:vAlign w:val="center"/>
          </w:tcPr>
          <w:p>
            <w:pPr>
              <w:ind w:right="-29"/>
              <w:jc w:val="center"/>
              <w:rPr>
                <w:noProof/>
                <w:sz w:val="18"/>
                <w:szCs w:val="18"/>
              </w:rPr>
            </w:pPr>
            <w:r>
              <w:rPr>
                <w:noProof/>
                <w:sz w:val="18"/>
              </w:rPr>
              <w:t>0,029</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Subtotal tal-għan speċifiku Nru 1</w:t>
            </w:r>
          </w:p>
        </w:tc>
        <w:tc>
          <w:tcPr>
            <w:tcW w:w="327" w:type="dxa"/>
            <w:tcBorders>
              <w:bottom w:val="single" w:sz="12" w:space="0" w:color="auto"/>
            </w:tcBorders>
          </w:tcPr>
          <w:p>
            <w:pPr>
              <w:ind w:right="-29"/>
              <w:jc w:val="center"/>
              <w:rPr>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72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90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 TOTALI</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72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90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spacing w:before="180" w:after="180"/>
              <w:ind w:right="-29"/>
              <w:jc w:val="center"/>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ESMA</w:t>
            </w:r>
          </w:p>
        </w:tc>
      </w:tr>
      <w:tr>
        <w:trPr>
          <w:jc w:val="center"/>
        </w:trPr>
        <w:tc>
          <w:tcPr>
            <w:tcW w:w="1423" w:type="dxa"/>
            <w:vMerge w:val="restart"/>
            <w:vAlign w:val="center"/>
          </w:tcPr>
          <w:p>
            <w:pPr>
              <w:ind w:right="-29"/>
              <w:jc w:val="center"/>
              <w:rPr>
                <w:b/>
                <w:noProof/>
                <w:sz w:val="18"/>
              </w:rPr>
            </w:pPr>
            <w:r>
              <w:rPr>
                <w:b/>
                <w:noProof/>
                <w:sz w:val="18"/>
              </w:rPr>
              <w:t xml:space="preserve">Indika l-għanijiet u l-outputs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Sena</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Sena</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Sena</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Sena</w:t>
            </w:r>
            <w:r>
              <w:rPr>
                <w:noProof/>
                <w:sz w:val="22"/>
              </w:rPr>
              <w:br/>
            </w:r>
            <w:r>
              <w:rPr>
                <w:b/>
                <w:noProof/>
                <w:sz w:val="18"/>
              </w:rPr>
              <w:t>2023</w:t>
            </w:r>
          </w:p>
        </w:tc>
        <w:tc>
          <w:tcPr>
            <w:tcW w:w="3600" w:type="dxa"/>
            <w:gridSpan w:val="6"/>
            <w:vAlign w:val="center"/>
          </w:tcPr>
          <w:p>
            <w:pPr>
              <w:jc w:val="center"/>
              <w:rPr>
                <w:b/>
                <w:noProof/>
                <w:sz w:val="18"/>
              </w:rPr>
            </w:pPr>
            <w:r>
              <w:rPr>
                <w:noProof/>
                <w:sz w:val="18"/>
              </w:rPr>
              <w:t>Niżżel is-snin kollha li hemm bżonn biex turi t-tul taż-żmien tal-impatt (ara l-punt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w:t>
            </w:r>
            <w:r>
              <w:rPr>
                <w:rStyle w:val="FootnoteReference"/>
                <w:noProof/>
                <w:sz w:val="18"/>
              </w:rPr>
              <w:footnoteReference w:id="76"/>
            </w:r>
          </w:p>
        </w:tc>
        <w:tc>
          <w:tcPr>
            <w:tcW w:w="878" w:type="dxa"/>
            <w:gridSpan w:val="2"/>
            <w:vAlign w:val="center"/>
          </w:tcPr>
          <w:p>
            <w:pPr>
              <w:jc w:val="center"/>
              <w:rPr>
                <w:noProof/>
              </w:rPr>
            </w:pPr>
            <w:r>
              <w:rPr>
                <w:noProof/>
                <w:sz w:val="18"/>
              </w:rPr>
              <w:t>Kost medju</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648" w:type="dxa"/>
            <w:tcBorders>
              <w:left w:val="dashSmallGap" w:sz="4" w:space="0" w:color="auto"/>
            </w:tcBorders>
            <w:shd w:val="pct10" w:color="auto" w:fill="auto"/>
            <w:vAlign w:val="center"/>
          </w:tcPr>
          <w:p>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vAlign w:val="center"/>
          </w:tcPr>
          <w:p>
            <w:pPr>
              <w:jc w:val="center"/>
              <w:rPr>
                <w:noProof/>
                <w:sz w:val="18"/>
              </w:rPr>
            </w:pPr>
            <w:r>
              <w:rPr>
                <w:noProof/>
                <w:sz w:val="18"/>
              </w:rPr>
              <w:t>Għadd totali</w:t>
            </w:r>
          </w:p>
        </w:tc>
        <w:tc>
          <w:tcPr>
            <w:tcW w:w="900" w:type="dxa"/>
            <w:tcBorders>
              <w:left w:val="dashSmallGap" w:sz="4" w:space="0" w:color="auto"/>
            </w:tcBorders>
            <w:shd w:val="pct10" w:color="auto" w:fill="auto"/>
            <w:vAlign w:val="center"/>
          </w:tcPr>
          <w:p>
            <w:pPr>
              <w:jc w:val="center"/>
              <w:rPr>
                <w:noProof/>
              </w:rPr>
            </w:pPr>
            <w:r>
              <w:rPr>
                <w:noProof/>
                <w:sz w:val="18"/>
              </w:rPr>
              <w:t>Kost totali</w:t>
            </w:r>
          </w:p>
        </w:tc>
      </w:tr>
      <w:tr>
        <w:trPr>
          <w:jc w:val="center"/>
        </w:trPr>
        <w:tc>
          <w:tcPr>
            <w:tcW w:w="3021" w:type="dxa"/>
            <w:gridSpan w:val="4"/>
            <w:vAlign w:val="center"/>
          </w:tcPr>
          <w:p>
            <w:pPr>
              <w:spacing w:before="60" w:after="60"/>
              <w:ind w:right="-29"/>
              <w:jc w:val="center"/>
              <w:rPr>
                <w:noProof/>
                <w:sz w:val="18"/>
              </w:rPr>
            </w:pPr>
            <w:r>
              <w:rPr>
                <w:noProof/>
                <w:sz w:val="18"/>
              </w:rPr>
              <w:t xml:space="preserve">GĦAN SPEĊIFIKU Nru 1 </w:t>
            </w:r>
            <w:r>
              <w:rPr>
                <w:rStyle w:val="FootnoteReference"/>
                <w:noProof/>
                <w:sz w:val="18"/>
              </w:rPr>
              <w:footnoteReference w:id="77"/>
            </w:r>
            <w:r>
              <w:rPr>
                <w:noProof/>
                <w:sz w:val="18"/>
              </w:rPr>
              <w:t xml:space="preserve"> Appoġġ lill-Pjattaforma fil-ħidma tagħha dwar it-tassonomija, jingħata input lill-Osservatorju tal-Finanzi Sostenibbli u jitwettqu azzjonijiet tal-Pjan ta’ Azzjoni tal-FS</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408"/>
          <w:jc w:val="center"/>
        </w:trPr>
        <w:tc>
          <w:tcPr>
            <w:tcW w:w="1423" w:type="dxa"/>
          </w:tcPr>
          <w:p>
            <w:pPr>
              <w:ind w:right="-29"/>
              <w:jc w:val="center"/>
              <w:rPr>
                <w:noProof/>
                <w:sz w:val="18"/>
              </w:rPr>
            </w:pPr>
            <w:r>
              <w:rPr>
                <w:noProof/>
                <w:sz w:val="18"/>
              </w:rPr>
              <w:t xml:space="preserve">Il-forniment ta’ analiżi, gwida, rapporti, </w:t>
            </w:r>
            <w:r>
              <w:rPr>
                <w:i/>
                <w:noProof/>
                <w:sz w:val="18"/>
              </w:rPr>
              <w:t>data</w:t>
            </w:r>
            <w:r>
              <w:rPr>
                <w:noProof/>
                <w:sz w:val="18"/>
              </w:rPr>
              <w:t xml:space="preserve"> u konsulenza</w:t>
            </w:r>
          </w:p>
        </w:tc>
        <w:tc>
          <w:tcPr>
            <w:tcW w:w="890" w:type="dxa"/>
            <w:gridSpan w:val="2"/>
          </w:tcPr>
          <w:p>
            <w:pPr>
              <w:ind w:right="-29"/>
              <w:jc w:val="center"/>
              <w:rPr>
                <w:noProof/>
                <w:sz w:val="18"/>
              </w:rPr>
            </w:pPr>
            <w:r>
              <w:rPr>
                <w:noProof/>
                <w:sz w:val="18"/>
              </w:rPr>
              <w:t xml:space="preserve">Analiżi, gwida, rapporti, </w:t>
            </w:r>
            <w:r>
              <w:rPr>
                <w:i/>
                <w:noProof/>
                <w:sz w:val="18"/>
              </w:rPr>
              <w:t>data</w:t>
            </w:r>
            <w:r>
              <w:rPr>
                <w:noProof/>
                <w:sz w:val="18"/>
              </w:rPr>
              <w:t xml:space="preserve"> u konsulenza</w:t>
            </w:r>
          </w:p>
          <w:p>
            <w:pPr>
              <w:ind w:right="-29"/>
              <w:jc w:val="center"/>
              <w:rPr>
                <w:noProof/>
                <w:sz w:val="18"/>
              </w:rPr>
            </w:pPr>
          </w:p>
        </w:tc>
        <w:tc>
          <w:tcPr>
            <w:tcW w:w="708" w:type="dxa"/>
            <w:vAlign w:val="center"/>
          </w:tcPr>
          <w:p>
            <w:pPr>
              <w:ind w:right="-29"/>
              <w:jc w:val="center"/>
              <w:rPr>
                <w:noProof/>
                <w:sz w:val="18"/>
                <w:szCs w:val="18"/>
              </w:rPr>
            </w:pPr>
            <w:r>
              <w:rPr>
                <w:noProof/>
                <w:sz w:val="18"/>
              </w:rPr>
              <w:t>0,066 (FTE)</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r>
              <w:rPr>
                <w:b/>
                <w:noProof/>
                <w:sz w:val="18"/>
              </w:rPr>
              <w:t>0,263</w:t>
            </w: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Subtotal tal-għan speċifiku Nru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bCs/>
                <w:noProof/>
                <w:sz w:val="18"/>
              </w:rPr>
            </w:pPr>
            <w:r>
              <w:rPr>
                <w:b/>
                <w:noProof/>
                <w:sz w:val="18"/>
              </w:rPr>
              <w:t>0,263</w:t>
            </w: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 TOTALI</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72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90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ind w:right="-29"/>
              <w:jc w:val="center"/>
              <w:rPr>
                <w:b/>
                <w:bCs/>
                <w:noProof/>
                <w:sz w:val="18"/>
              </w:rPr>
            </w:pPr>
            <w:r>
              <w:rPr>
                <w:b/>
                <w:noProof/>
                <w:sz w:val="18"/>
              </w:rPr>
              <w:t>0,263</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89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EEA</w:t>
            </w:r>
          </w:p>
        </w:tc>
      </w:tr>
      <w:tr>
        <w:trPr>
          <w:jc w:val="center"/>
        </w:trPr>
        <w:tc>
          <w:tcPr>
            <w:tcW w:w="1423" w:type="dxa"/>
            <w:vMerge w:val="restart"/>
            <w:vAlign w:val="center"/>
          </w:tcPr>
          <w:p>
            <w:pPr>
              <w:ind w:right="-29"/>
              <w:jc w:val="center"/>
              <w:rPr>
                <w:b/>
                <w:noProof/>
                <w:sz w:val="18"/>
              </w:rPr>
            </w:pPr>
            <w:r>
              <w:rPr>
                <w:b/>
                <w:noProof/>
                <w:sz w:val="18"/>
              </w:rPr>
              <w:t xml:space="preserve">Indika l-għanijiet u l-outputs </w:t>
            </w:r>
          </w:p>
          <w:p>
            <w:pPr>
              <w:ind w:right="-29"/>
              <w:jc w:val="center"/>
              <w:rPr>
                <w:b/>
                <w:noProof/>
                <w:sz w:val="18"/>
              </w:rPr>
            </w:pPr>
          </w:p>
          <w:p>
            <w:pPr>
              <w:ind w:right="-29"/>
              <w:jc w:val="center"/>
              <w:rPr>
                <w:noProof/>
                <w:sz w:val="18"/>
              </w:rPr>
            </w:pPr>
            <w:r>
              <w:rPr>
                <w:noProof/>
                <w:sz w:val="18"/>
              </w:rPr>
              <w:sym w:font="Wingdings" w:char="F0F2"/>
            </w:r>
          </w:p>
        </w:tc>
        <w:tc>
          <w:tcPr>
            <w:tcW w:w="890" w:type="dxa"/>
            <w:vAlign w:val="center"/>
          </w:tcPr>
          <w:p>
            <w:pPr>
              <w:ind w:right="-29"/>
              <w:jc w:val="center"/>
              <w:rPr>
                <w:noProof/>
                <w:sz w:val="18"/>
              </w:rPr>
            </w:pPr>
          </w:p>
        </w:tc>
        <w:tc>
          <w:tcPr>
            <w:tcW w:w="708" w:type="dxa"/>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Sena</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Sena</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Sena</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Sena</w:t>
            </w:r>
            <w:r>
              <w:rPr>
                <w:noProof/>
                <w:sz w:val="22"/>
              </w:rPr>
              <w:br/>
            </w:r>
            <w:r>
              <w:rPr>
                <w:b/>
                <w:noProof/>
                <w:sz w:val="18"/>
              </w:rPr>
              <w:t>2023</w:t>
            </w:r>
          </w:p>
        </w:tc>
        <w:tc>
          <w:tcPr>
            <w:tcW w:w="3600" w:type="dxa"/>
            <w:gridSpan w:val="6"/>
            <w:vAlign w:val="center"/>
          </w:tcPr>
          <w:p>
            <w:pPr>
              <w:jc w:val="center"/>
              <w:rPr>
                <w:b/>
                <w:noProof/>
                <w:sz w:val="18"/>
              </w:rPr>
            </w:pPr>
            <w:r>
              <w:rPr>
                <w:noProof/>
                <w:sz w:val="18"/>
              </w:rPr>
              <w:t>Niżżel is-snin kollha li hemm bżonn biex turi t-tul taż-żmien tal-impatt (ara l-punt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890" w:type="dxa"/>
            <w:vAlign w:val="center"/>
          </w:tcPr>
          <w:p>
            <w:pPr>
              <w:jc w:val="center"/>
              <w:rPr>
                <w:noProof/>
                <w:sz w:val="18"/>
              </w:rPr>
            </w:pPr>
            <w:r>
              <w:rPr>
                <w:noProof/>
                <w:sz w:val="18"/>
              </w:rPr>
              <w:t>Tip</w:t>
            </w:r>
            <w:r>
              <w:rPr>
                <w:rStyle w:val="FootnoteReference"/>
                <w:noProof/>
                <w:sz w:val="18"/>
              </w:rPr>
              <w:footnoteReference w:id="78"/>
            </w:r>
          </w:p>
        </w:tc>
        <w:tc>
          <w:tcPr>
            <w:tcW w:w="708" w:type="dxa"/>
            <w:vAlign w:val="center"/>
          </w:tcPr>
          <w:p>
            <w:pPr>
              <w:jc w:val="center"/>
              <w:rPr>
                <w:noProof/>
              </w:rPr>
            </w:pPr>
            <w:r>
              <w:rPr>
                <w:noProof/>
                <w:sz w:val="18"/>
              </w:rPr>
              <w:t>Kost medju</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648" w:type="dxa"/>
            <w:tcBorders>
              <w:left w:val="dashSmallGap" w:sz="4" w:space="0" w:color="auto"/>
            </w:tcBorders>
            <w:shd w:val="pct10" w:color="auto" w:fill="auto"/>
            <w:vAlign w:val="center"/>
          </w:tcPr>
          <w:p>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vAlign w:val="center"/>
          </w:tcPr>
          <w:p>
            <w:pPr>
              <w:jc w:val="center"/>
              <w:rPr>
                <w:noProof/>
                <w:sz w:val="18"/>
              </w:rPr>
            </w:pPr>
            <w:r>
              <w:rPr>
                <w:noProof/>
                <w:sz w:val="18"/>
              </w:rPr>
              <w:t>Għadd totali</w:t>
            </w:r>
          </w:p>
        </w:tc>
        <w:tc>
          <w:tcPr>
            <w:tcW w:w="900" w:type="dxa"/>
            <w:tcBorders>
              <w:left w:val="dashSmallGap" w:sz="4" w:space="0" w:color="auto"/>
            </w:tcBorders>
            <w:shd w:val="pct10" w:color="auto" w:fill="auto"/>
            <w:vAlign w:val="center"/>
          </w:tcPr>
          <w:p>
            <w:pPr>
              <w:jc w:val="center"/>
              <w:rPr>
                <w:noProof/>
              </w:rPr>
            </w:pPr>
            <w:r>
              <w:rPr>
                <w:noProof/>
                <w:sz w:val="18"/>
              </w:rPr>
              <w:t>Kost totali</w:t>
            </w:r>
          </w:p>
        </w:tc>
      </w:tr>
      <w:tr>
        <w:trPr>
          <w:jc w:val="center"/>
        </w:trPr>
        <w:tc>
          <w:tcPr>
            <w:tcW w:w="3021" w:type="dxa"/>
            <w:gridSpan w:val="3"/>
            <w:vAlign w:val="center"/>
          </w:tcPr>
          <w:p>
            <w:pPr>
              <w:spacing w:before="60" w:after="60"/>
              <w:ind w:right="-29"/>
              <w:jc w:val="center"/>
              <w:rPr>
                <w:noProof/>
                <w:sz w:val="18"/>
              </w:rPr>
            </w:pPr>
            <w:r>
              <w:rPr>
                <w:noProof/>
                <w:sz w:val="18"/>
              </w:rPr>
              <w:t xml:space="preserve">Għan SPEĊIFIKU Nru 1 </w:t>
            </w:r>
            <w:r>
              <w:rPr>
                <w:rStyle w:val="FootnoteReference"/>
                <w:noProof/>
                <w:sz w:val="18"/>
              </w:rPr>
              <w:footnoteReference w:id="79"/>
            </w:r>
            <w:r>
              <w:rPr>
                <w:noProof/>
                <w:sz w:val="18"/>
              </w:rPr>
              <w:t xml:space="preserve"> Appoġġ lill-Pjattaforma fil-ħidma tagħha dwar it-tassonomija, standards u tabelli, kif ukoll jingħata input lill-Osservatorju tal-Finanzi Sostenibbli u konsulenza lill-Istati Membri dwar kif jiviluppaw strateġiji ta’ investiment sostenibbli u b’livell baxx ta’ karbonju</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71"/>
          <w:jc w:val="center"/>
        </w:trPr>
        <w:tc>
          <w:tcPr>
            <w:tcW w:w="1423" w:type="dxa"/>
          </w:tcPr>
          <w:p>
            <w:pPr>
              <w:ind w:right="-29"/>
              <w:jc w:val="center"/>
              <w:rPr>
                <w:noProof/>
                <w:sz w:val="18"/>
              </w:rPr>
            </w:pPr>
            <w:r>
              <w:rPr>
                <w:noProof/>
                <w:sz w:val="18"/>
              </w:rPr>
              <w:t xml:space="preserve">Il-forniment ta’ analiżi, gwida, rapporti, </w:t>
            </w:r>
            <w:r>
              <w:rPr>
                <w:i/>
                <w:noProof/>
                <w:sz w:val="18"/>
              </w:rPr>
              <w:t>data</w:t>
            </w:r>
            <w:r>
              <w:rPr>
                <w:noProof/>
                <w:sz w:val="18"/>
              </w:rPr>
              <w:t xml:space="preserve"> u konsulenza</w:t>
            </w:r>
          </w:p>
        </w:tc>
        <w:tc>
          <w:tcPr>
            <w:tcW w:w="890" w:type="dxa"/>
          </w:tcPr>
          <w:p>
            <w:pPr>
              <w:ind w:right="-29"/>
              <w:jc w:val="center"/>
              <w:rPr>
                <w:noProof/>
                <w:sz w:val="18"/>
              </w:rPr>
            </w:pPr>
            <w:r>
              <w:rPr>
                <w:noProof/>
                <w:sz w:val="18"/>
              </w:rPr>
              <w:t xml:space="preserve">Analiżi, gwida, rapporti, </w:t>
            </w:r>
            <w:r>
              <w:rPr>
                <w:i/>
                <w:noProof/>
                <w:sz w:val="18"/>
              </w:rPr>
              <w:t>data</w:t>
            </w:r>
            <w:r>
              <w:rPr>
                <w:noProof/>
                <w:sz w:val="18"/>
              </w:rPr>
              <w:t xml:space="preserve"> u konsulenza</w:t>
            </w:r>
          </w:p>
          <w:p>
            <w:pPr>
              <w:ind w:right="-29"/>
              <w:jc w:val="center"/>
              <w:rPr>
                <w:noProof/>
                <w:sz w:val="18"/>
              </w:rPr>
            </w:pPr>
          </w:p>
        </w:tc>
        <w:tc>
          <w:tcPr>
            <w:tcW w:w="708" w:type="dxa"/>
            <w:vAlign w:val="center"/>
          </w:tcPr>
          <w:p>
            <w:pPr>
              <w:ind w:right="-29"/>
              <w:jc w:val="center"/>
              <w:rPr>
                <w:noProof/>
                <w:sz w:val="18"/>
                <w:szCs w:val="18"/>
              </w:rPr>
            </w:pPr>
            <w:r>
              <w:rPr>
                <w:noProof/>
                <w:sz w:val="18"/>
              </w:rPr>
              <w:t>0,145</w:t>
            </w:r>
          </w:p>
        </w:tc>
        <w:tc>
          <w:tcPr>
            <w:tcW w:w="327"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2</w:t>
            </w:r>
          </w:p>
        </w:tc>
        <w:tc>
          <w:tcPr>
            <w:tcW w:w="900" w:type="dxa"/>
            <w:vAlign w:val="center"/>
          </w:tcPr>
          <w:p>
            <w:pPr>
              <w:ind w:right="-29"/>
              <w:jc w:val="center"/>
              <w:rPr>
                <w:b/>
                <w:bCs/>
                <w:noProof/>
                <w:sz w:val="18"/>
              </w:rPr>
            </w:pPr>
            <w:r>
              <w:rPr>
                <w:b/>
                <w:noProof/>
                <w:sz w:val="18"/>
              </w:rPr>
              <w:t>1,164</w:t>
            </w:r>
          </w:p>
        </w:tc>
      </w:tr>
      <w:tr>
        <w:trPr>
          <w:jc w:val="center"/>
        </w:trPr>
        <w:tc>
          <w:tcPr>
            <w:tcW w:w="3021" w:type="dxa"/>
            <w:gridSpan w:val="3"/>
            <w:tcBorders>
              <w:bottom w:val="single" w:sz="12" w:space="0" w:color="auto"/>
            </w:tcBorders>
            <w:vAlign w:val="center"/>
          </w:tcPr>
          <w:p>
            <w:pPr>
              <w:ind w:right="-29"/>
              <w:jc w:val="center"/>
              <w:rPr>
                <w:noProof/>
                <w:sz w:val="18"/>
              </w:rPr>
            </w:pPr>
            <w:r>
              <w:rPr>
                <w:noProof/>
                <w:sz w:val="18"/>
              </w:rPr>
              <w:t>Subtotal tal-għan speċifiku Nru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ind w:right="-29"/>
              <w:jc w:val="center"/>
              <w:rPr>
                <w:noProof/>
                <w:sz w:val="18"/>
              </w:rPr>
            </w:pPr>
            <w:r>
              <w:rPr>
                <w:b/>
                <w:noProof/>
                <w:sz w:val="18"/>
              </w:rPr>
              <w:t>1,164</w:t>
            </w:r>
          </w:p>
        </w:tc>
      </w:tr>
      <w:tr>
        <w:trPr>
          <w:jc w:val="center"/>
        </w:trPr>
        <w:tc>
          <w:tcPr>
            <w:tcW w:w="302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 TOTALI</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72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90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1,164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22"/>
              </w:rPr>
            </w:pPr>
            <w:r>
              <w:rPr>
                <w:b/>
                <w:noProof/>
                <w:sz w:val="22"/>
              </w:rPr>
              <w:t xml:space="preserve">FISMA </w:t>
            </w:r>
          </w:p>
        </w:tc>
      </w:tr>
      <w:tr>
        <w:trPr>
          <w:jc w:val="center"/>
        </w:trPr>
        <w:tc>
          <w:tcPr>
            <w:tcW w:w="1423" w:type="dxa"/>
            <w:vMerge w:val="restart"/>
            <w:vAlign w:val="center"/>
          </w:tcPr>
          <w:p>
            <w:pPr>
              <w:ind w:right="-29"/>
              <w:jc w:val="center"/>
              <w:rPr>
                <w:b/>
                <w:noProof/>
                <w:sz w:val="18"/>
              </w:rPr>
            </w:pPr>
            <w:r>
              <w:rPr>
                <w:b/>
                <w:noProof/>
                <w:sz w:val="18"/>
              </w:rPr>
              <w:t xml:space="preserve">Indika l-għanijiet u l-outputs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Sena</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Sena</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Sena</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Sena</w:t>
            </w:r>
            <w:r>
              <w:rPr>
                <w:noProof/>
                <w:sz w:val="22"/>
              </w:rPr>
              <w:br/>
            </w:r>
            <w:r>
              <w:rPr>
                <w:b/>
                <w:noProof/>
                <w:sz w:val="18"/>
              </w:rPr>
              <w:t>2023</w:t>
            </w:r>
          </w:p>
        </w:tc>
        <w:tc>
          <w:tcPr>
            <w:tcW w:w="3600" w:type="dxa"/>
            <w:gridSpan w:val="6"/>
            <w:vAlign w:val="center"/>
          </w:tcPr>
          <w:p>
            <w:pPr>
              <w:jc w:val="center"/>
              <w:rPr>
                <w:b/>
                <w:noProof/>
                <w:sz w:val="18"/>
              </w:rPr>
            </w:pPr>
            <w:r>
              <w:rPr>
                <w:noProof/>
                <w:sz w:val="18"/>
              </w:rPr>
              <w:t>Niżżel is-snin kollha li hemm bżonn biex turi t-tul taż-żmien tal-impatt (ara l-punt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w:t>
            </w:r>
            <w:r>
              <w:rPr>
                <w:rStyle w:val="FootnoteReference"/>
                <w:noProof/>
                <w:sz w:val="18"/>
              </w:rPr>
              <w:footnoteReference w:id="80"/>
            </w:r>
          </w:p>
        </w:tc>
        <w:tc>
          <w:tcPr>
            <w:tcW w:w="701" w:type="dxa"/>
            <w:vAlign w:val="center"/>
          </w:tcPr>
          <w:p>
            <w:pPr>
              <w:jc w:val="center"/>
              <w:rPr>
                <w:noProof/>
              </w:rPr>
            </w:pPr>
            <w:r>
              <w:rPr>
                <w:noProof/>
                <w:sz w:val="18"/>
              </w:rPr>
              <w:t>Kost medju</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648" w:type="dxa"/>
            <w:tcBorders>
              <w:left w:val="dashSmallGap" w:sz="4" w:space="0" w:color="auto"/>
            </w:tcBorders>
            <w:shd w:val="pct10" w:color="auto" w:fill="auto"/>
            <w:vAlign w:val="center"/>
          </w:tcPr>
          <w:p>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vAlign w:val="center"/>
          </w:tcPr>
          <w:p>
            <w:pPr>
              <w:jc w:val="center"/>
              <w:rPr>
                <w:noProof/>
                <w:sz w:val="18"/>
              </w:rPr>
            </w:pPr>
            <w:r>
              <w:rPr>
                <w:noProof/>
                <w:sz w:val="18"/>
              </w:rPr>
              <w:t>Għadd totali</w:t>
            </w:r>
          </w:p>
        </w:tc>
        <w:tc>
          <w:tcPr>
            <w:tcW w:w="900" w:type="dxa"/>
            <w:tcBorders>
              <w:left w:val="dashSmallGap" w:sz="4" w:space="0" w:color="auto"/>
            </w:tcBorders>
            <w:shd w:val="pct10" w:color="auto" w:fill="auto"/>
            <w:vAlign w:val="center"/>
          </w:tcPr>
          <w:p>
            <w:pPr>
              <w:jc w:val="center"/>
              <w:rPr>
                <w:noProof/>
              </w:rPr>
            </w:pPr>
            <w:r>
              <w:rPr>
                <w:noProof/>
                <w:sz w:val="18"/>
              </w:rPr>
              <w:t>Kost totali</w:t>
            </w:r>
          </w:p>
        </w:tc>
      </w:tr>
      <w:tr>
        <w:trPr>
          <w:jc w:val="center"/>
        </w:trPr>
        <w:tc>
          <w:tcPr>
            <w:tcW w:w="2844" w:type="dxa"/>
            <w:gridSpan w:val="3"/>
            <w:vAlign w:val="center"/>
          </w:tcPr>
          <w:p>
            <w:pPr>
              <w:spacing w:before="60" w:after="60"/>
              <w:ind w:right="-29"/>
              <w:jc w:val="center"/>
              <w:rPr>
                <w:noProof/>
                <w:sz w:val="18"/>
              </w:rPr>
            </w:pPr>
            <w:r>
              <w:rPr>
                <w:noProof/>
                <w:sz w:val="18"/>
              </w:rPr>
              <w:t>GĦAN SPEĊIFIKU Nru 1</w:t>
            </w:r>
            <w:r>
              <w:rPr>
                <w:rStyle w:val="FootnoteReference"/>
                <w:noProof/>
                <w:sz w:val="18"/>
              </w:rPr>
              <w:footnoteReference w:id="81"/>
            </w:r>
            <w:r>
              <w:rPr>
                <w:noProof/>
                <w:sz w:val="18"/>
              </w:rPr>
              <w:t xml:space="preserve"> Użu ta’ sistema tal-IT għall-komunikazzjoni mill-membri / osservaturi tal-Pjattaforma</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102"/>
          <w:jc w:val="center"/>
        </w:trPr>
        <w:tc>
          <w:tcPr>
            <w:tcW w:w="1423" w:type="dxa"/>
          </w:tcPr>
          <w:p>
            <w:pPr>
              <w:ind w:right="-29"/>
              <w:jc w:val="center"/>
              <w:rPr>
                <w:noProof/>
                <w:sz w:val="18"/>
              </w:rPr>
            </w:pPr>
            <w:r>
              <w:rPr>
                <w:noProof/>
                <w:sz w:val="18"/>
              </w:rPr>
              <w:t xml:space="preserve">— Add-ins għall-pjattaforma kollaborattiva ta’ Konfluwenza </w:t>
            </w:r>
          </w:p>
        </w:tc>
        <w:tc>
          <w:tcPr>
            <w:tcW w:w="720" w:type="dxa"/>
          </w:tcPr>
          <w:p>
            <w:pPr>
              <w:ind w:right="-29"/>
              <w:jc w:val="center"/>
              <w:rPr>
                <w:noProof/>
                <w:sz w:val="18"/>
                <w:szCs w:val="18"/>
              </w:rPr>
            </w:pPr>
          </w:p>
          <w:p>
            <w:pPr>
              <w:ind w:right="-29"/>
              <w:jc w:val="center"/>
              <w:rPr>
                <w:noProof/>
                <w:sz w:val="18"/>
              </w:rPr>
            </w:pPr>
            <w:r>
              <w:rPr>
                <w:noProof/>
                <w:sz w:val="18"/>
              </w:rPr>
              <w:t>Add-Ins</w:t>
            </w:r>
          </w:p>
        </w:tc>
        <w:tc>
          <w:tcPr>
            <w:tcW w:w="701" w:type="dxa"/>
            <w:vAlign w:val="center"/>
          </w:tcPr>
          <w:p>
            <w:pPr>
              <w:ind w:right="-29"/>
              <w:jc w:val="center"/>
              <w:rPr>
                <w:noProof/>
                <w:sz w:val="18"/>
                <w:szCs w:val="18"/>
              </w:rPr>
            </w:pPr>
            <w:r>
              <w:rPr>
                <w:noProof/>
                <w:sz w:val="18"/>
              </w:rPr>
              <w:t>0,025</w:t>
            </w:r>
          </w:p>
        </w:tc>
        <w:tc>
          <w:tcPr>
            <w:tcW w:w="504"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0,200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 TOTALI</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0,200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DĠ ENV:</w:t>
            </w:r>
          </w:p>
        </w:tc>
      </w:tr>
      <w:tr>
        <w:trPr>
          <w:jc w:val="center"/>
        </w:trPr>
        <w:tc>
          <w:tcPr>
            <w:tcW w:w="1423" w:type="dxa"/>
            <w:vMerge w:val="restart"/>
            <w:vAlign w:val="center"/>
          </w:tcPr>
          <w:p>
            <w:pPr>
              <w:ind w:right="-29"/>
              <w:jc w:val="center"/>
              <w:rPr>
                <w:b/>
                <w:noProof/>
                <w:sz w:val="18"/>
              </w:rPr>
            </w:pPr>
            <w:r>
              <w:rPr>
                <w:b/>
                <w:noProof/>
                <w:sz w:val="18"/>
              </w:rPr>
              <w:t xml:space="preserve">Indika l-għanijiet u l-outputs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Sena</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Sena</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Sena</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Sena</w:t>
            </w:r>
            <w:r>
              <w:rPr>
                <w:noProof/>
                <w:sz w:val="22"/>
              </w:rPr>
              <w:br/>
            </w:r>
            <w:r>
              <w:rPr>
                <w:b/>
                <w:noProof/>
                <w:sz w:val="18"/>
              </w:rPr>
              <w:t>2023</w:t>
            </w:r>
          </w:p>
        </w:tc>
        <w:tc>
          <w:tcPr>
            <w:tcW w:w="3600" w:type="dxa"/>
            <w:gridSpan w:val="6"/>
            <w:vAlign w:val="center"/>
          </w:tcPr>
          <w:p>
            <w:pPr>
              <w:jc w:val="center"/>
              <w:rPr>
                <w:b/>
                <w:noProof/>
                <w:sz w:val="18"/>
              </w:rPr>
            </w:pPr>
            <w:r>
              <w:rPr>
                <w:noProof/>
                <w:sz w:val="18"/>
              </w:rPr>
              <w:t>Niżżel is-snin kollha li hemm bżonn biex turi t-tul taż-żmien tal-impatt (ara l-punt 1.6)</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w:t>
            </w:r>
            <w:r>
              <w:rPr>
                <w:rStyle w:val="FootnoteReference"/>
                <w:noProof/>
                <w:sz w:val="18"/>
              </w:rPr>
              <w:footnoteReference w:id="82"/>
            </w:r>
          </w:p>
        </w:tc>
        <w:tc>
          <w:tcPr>
            <w:tcW w:w="701" w:type="dxa"/>
            <w:vAlign w:val="center"/>
          </w:tcPr>
          <w:p>
            <w:pPr>
              <w:jc w:val="center"/>
              <w:rPr>
                <w:noProof/>
              </w:rPr>
            </w:pPr>
            <w:r>
              <w:rPr>
                <w:noProof/>
                <w:sz w:val="18"/>
              </w:rPr>
              <w:t>Kost medju</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648" w:type="dxa"/>
            <w:tcBorders>
              <w:left w:val="dashSmallGap" w:sz="4" w:space="0" w:color="auto"/>
            </w:tcBorders>
            <w:shd w:val="pct10" w:color="auto" w:fill="auto"/>
            <w:vAlign w:val="center"/>
          </w:tcPr>
          <w:p>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Nru</w:t>
            </w:r>
          </w:p>
        </w:tc>
        <w:tc>
          <w:tcPr>
            <w:tcW w:w="720" w:type="dxa"/>
            <w:tcBorders>
              <w:left w:val="dashSmallGap" w:sz="4" w:space="0" w:color="auto"/>
            </w:tcBorders>
            <w:shd w:val="pct10" w:color="auto" w:fill="auto"/>
            <w:vAlign w:val="center"/>
          </w:tcPr>
          <w:p>
            <w:pPr>
              <w:jc w:val="center"/>
              <w:rPr>
                <w:noProof/>
                <w:sz w:val="18"/>
              </w:rPr>
            </w:pPr>
            <w:r>
              <w:rPr>
                <w:noProof/>
                <w:sz w:val="18"/>
              </w:rPr>
              <w:t>Kost</w:t>
            </w:r>
          </w:p>
        </w:tc>
        <w:tc>
          <w:tcPr>
            <w:tcW w:w="720" w:type="dxa"/>
            <w:tcBorders>
              <w:right w:val="dashSmallGap" w:sz="4" w:space="0" w:color="auto"/>
            </w:tcBorders>
            <w:shd w:val="pct10" w:color="auto" w:fill="auto"/>
            <w:vAlign w:val="center"/>
          </w:tcPr>
          <w:p>
            <w:pPr>
              <w:jc w:val="center"/>
              <w:rPr>
                <w:noProof/>
                <w:sz w:val="18"/>
              </w:rPr>
            </w:pPr>
            <w:r>
              <w:rPr>
                <w:noProof/>
                <w:sz w:val="18"/>
              </w:rPr>
              <w:t>Għadd totali</w:t>
            </w:r>
          </w:p>
        </w:tc>
        <w:tc>
          <w:tcPr>
            <w:tcW w:w="900" w:type="dxa"/>
            <w:tcBorders>
              <w:left w:val="dashSmallGap" w:sz="4" w:space="0" w:color="auto"/>
            </w:tcBorders>
            <w:shd w:val="pct10" w:color="auto" w:fill="auto"/>
            <w:vAlign w:val="center"/>
          </w:tcPr>
          <w:p>
            <w:pPr>
              <w:jc w:val="center"/>
              <w:rPr>
                <w:noProof/>
              </w:rPr>
            </w:pPr>
            <w:r>
              <w:rPr>
                <w:noProof/>
                <w:sz w:val="18"/>
              </w:rPr>
              <w:t>Kost totali</w:t>
            </w:r>
          </w:p>
        </w:tc>
      </w:tr>
      <w:tr>
        <w:trPr>
          <w:jc w:val="center"/>
        </w:trPr>
        <w:tc>
          <w:tcPr>
            <w:tcW w:w="2844" w:type="dxa"/>
            <w:gridSpan w:val="3"/>
            <w:vAlign w:val="center"/>
          </w:tcPr>
          <w:p>
            <w:pPr>
              <w:spacing w:before="60" w:after="60"/>
              <w:ind w:right="-29"/>
              <w:jc w:val="center"/>
              <w:rPr>
                <w:noProof/>
                <w:sz w:val="18"/>
              </w:rPr>
            </w:pPr>
            <w:r>
              <w:rPr>
                <w:noProof/>
                <w:sz w:val="18"/>
              </w:rPr>
              <w:t>GĦAN SPEĊIFIKU Nru 1 L-użu ta’ riċerka / stħarriġ / studju bħala appoġġ għall-ħidma tal-Pjattaforma</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050"/>
          <w:jc w:val="center"/>
        </w:trPr>
        <w:tc>
          <w:tcPr>
            <w:tcW w:w="1423" w:type="dxa"/>
          </w:tcPr>
          <w:p>
            <w:pPr>
              <w:ind w:right="-29"/>
              <w:jc w:val="center"/>
              <w:rPr>
                <w:noProof/>
                <w:sz w:val="18"/>
              </w:rPr>
            </w:pPr>
            <w:r>
              <w:rPr>
                <w:noProof/>
                <w:sz w:val="18"/>
              </w:rPr>
              <w:t>- Twettiq ta’ riċerka / stħarriġ / studji</w:t>
            </w:r>
          </w:p>
        </w:tc>
        <w:tc>
          <w:tcPr>
            <w:tcW w:w="720" w:type="dxa"/>
          </w:tcPr>
          <w:p>
            <w:pPr>
              <w:ind w:right="-29"/>
              <w:jc w:val="center"/>
              <w:rPr>
                <w:noProof/>
                <w:sz w:val="18"/>
              </w:rPr>
            </w:pPr>
            <w:r>
              <w:rPr>
                <w:noProof/>
                <w:sz w:val="18"/>
              </w:rPr>
              <w:t>Riċerka / stħarriġ / studji</w:t>
            </w:r>
          </w:p>
        </w:tc>
        <w:tc>
          <w:tcPr>
            <w:tcW w:w="701" w:type="dxa"/>
            <w:vAlign w:val="center"/>
          </w:tcPr>
          <w:p>
            <w:pPr>
              <w:ind w:right="-29"/>
              <w:jc w:val="center"/>
              <w:rPr>
                <w:noProof/>
                <w:sz w:val="18"/>
              </w:rPr>
            </w:pPr>
            <w:r>
              <w:rPr>
                <w:noProof/>
                <w:sz w:val="18"/>
              </w:rPr>
              <w:t>0,250</w:t>
            </w:r>
          </w:p>
        </w:tc>
        <w:tc>
          <w:tcPr>
            <w:tcW w:w="504"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72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90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2,000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KOST TOTALI</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2,000</w:t>
            </w:r>
          </w:p>
        </w:tc>
      </w:tr>
    </w:tbl>
    <w:p>
      <w:pPr>
        <w:rPr>
          <w:noProof/>
        </w:rPr>
        <w:sectPr>
          <w:headerReference w:type="default" r:id="rId32"/>
          <w:footerReference w:type="default" r:id="rId33"/>
          <w:headerReference w:type="first" r:id="rId34"/>
          <w:footerReference w:type="first" r:id="rId35"/>
          <w:pgSz w:w="16839" w:h="11907" w:orient="landscape" w:code="9"/>
          <w:pgMar w:top="1418" w:right="902" w:bottom="902" w:left="567" w:header="709" w:footer="709" w:gutter="0"/>
          <w:cols w:space="720"/>
          <w:docGrid w:linePitch="326"/>
        </w:sectPr>
      </w:pPr>
    </w:p>
    <w:p>
      <w:pPr>
        <w:pStyle w:val="ManualHeading3"/>
        <w:rPr>
          <w:bCs/>
          <w:noProof/>
          <w:szCs w:val="24"/>
        </w:rPr>
      </w:pPr>
      <w:r>
        <w:t>3.2.3.</w:t>
      </w:r>
      <w:r>
        <w:tab/>
      </w:r>
      <w:r>
        <w:rPr>
          <w:noProof/>
        </w:rPr>
        <w:t xml:space="preserve">L-impatt stmat fuq ir-riżorsi umani </w:t>
      </w:r>
    </w:p>
    <w:p>
      <w:pPr>
        <w:pStyle w:val="ManualHeading4"/>
        <w:rPr>
          <w:bCs/>
          <w:noProof/>
          <w:szCs w:val="24"/>
        </w:rPr>
      </w:pPr>
      <w:r>
        <w:t>3.2.3.1.</w:t>
      </w:r>
      <w:r>
        <w:tab/>
      </w:r>
      <w:r>
        <w:rPr>
          <w:noProof/>
        </w:rPr>
        <w:t xml:space="preserve">Sommarju </w:t>
      </w:r>
    </w:p>
    <w:p>
      <w:pPr>
        <w:pStyle w:val="ListDash1"/>
        <w:rPr>
          <w:noProof/>
        </w:rPr>
      </w:pPr>
      <w:r>
        <w:rPr>
          <w:noProof/>
        </w:rPr>
        <w:sym w:font="Wingdings" w:char="F0A8"/>
      </w:r>
      <w:r>
        <w:rPr>
          <w:noProof/>
        </w:rPr>
        <w:tab/>
        <w:t xml:space="preserve">Il-proposta / inizjattiva ma tirrikjedix l-użu ta’ approprjazzjonijiet ta’ natura amministrattiva </w:t>
      </w:r>
    </w:p>
    <w:p>
      <w:pPr>
        <w:pStyle w:val="ListDash1"/>
        <w:rPr>
          <w:noProof/>
        </w:rPr>
      </w:pPr>
      <w:r>
        <w:rPr>
          <w:noProof/>
        </w:rPr>
        <w:sym w:font="Wingdings" w:char="F0FE"/>
      </w:r>
      <w:r>
        <w:rPr>
          <w:noProof/>
        </w:rPr>
        <w:tab/>
        <w:t>Il-proposta / inizjattiva tirrikjedi l-użu ta’ approprjazzjonijiet ta’ natura amministrattiva, kif spjegat hawn taħt:</w:t>
      </w:r>
    </w:p>
    <w:p>
      <w:pPr>
        <w:rPr>
          <w:noProof/>
          <w:sz w:val="20"/>
        </w:rPr>
      </w:pPr>
      <w:r>
        <w:rPr>
          <w:noProof/>
          <w:sz w:val="20"/>
        </w:rPr>
        <w:t>f’miljuni ta’ EUR (sa tliet pożizzjonijiet deċimali)</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EBA (1 Aġenti kuntrattwali )</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2020</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2021</w:t>
            </w:r>
            <w:r>
              <w:rPr>
                <w:rStyle w:val="FootnoteReference"/>
                <w:b/>
                <w:noProof/>
                <w:sz w:val="20"/>
              </w:rPr>
              <w:footnoteReference w:id="83"/>
            </w:r>
          </w:p>
        </w:tc>
        <w:tc>
          <w:tcPr>
            <w:tcW w:w="1080" w:type="dxa"/>
            <w:vAlign w:val="center"/>
          </w:tcPr>
          <w:p>
            <w:pPr>
              <w:spacing w:before="60" w:after="60"/>
              <w:jc w:val="center"/>
              <w:rPr>
                <w:noProof/>
                <w:sz w:val="20"/>
              </w:rPr>
            </w:pPr>
            <w:r>
              <w:rPr>
                <w:noProof/>
                <w:sz w:val="20"/>
              </w:rPr>
              <w:t>Sena</w:t>
            </w:r>
            <w:r>
              <w:rPr>
                <w:noProof/>
                <w:sz w:val="22"/>
              </w:rPr>
              <w:br/>
            </w:r>
            <w:r>
              <w:rPr>
                <w:b/>
                <w:noProof/>
                <w:sz w:val="20"/>
              </w:rPr>
              <w:t>2022</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2023</w:t>
            </w:r>
          </w:p>
        </w:tc>
        <w:tc>
          <w:tcPr>
            <w:tcW w:w="3240" w:type="dxa"/>
            <w:gridSpan w:val="3"/>
            <w:vAlign w:val="center"/>
          </w:tcPr>
          <w:p>
            <w:pPr>
              <w:jc w:val="center"/>
              <w:rPr>
                <w:b/>
                <w:noProof/>
                <w:sz w:val="20"/>
              </w:rPr>
            </w:pPr>
            <w:r>
              <w:rPr>
                <w:noProof/>
                <w:sz w:val="20"/>
              </w:rPr>
              <w:t>Niżżel is-snin kollha li hemm bżonn biex turi t-tul taż-żmien tal-impatt (ara l-punt 1.6)</w:t>
            </w:r>
            <w:r>
              <w:rPr>
                <w:rStyle w:val="FootnoteReference"/>
                <w:noProof/>
                <w:sz w:val="20"/>
              </w:rPr>
              <w:footnoteReference w:id="84"/>
            </w:r>
          </w:p>
        </w:tc>
        <w:tc>
          <w:tcPr>
            <w:tcW w:w="1080"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Uffiċjali (Gradi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Uffiċjali (Gradi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Aġenti kuntrattwali</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spacing w:before="60" w:after="60"/>
              <w:jc w:val="center"/>
              <w:rPr>
                <w:b/>
                <w:noProof/>
                <w:sz w:val="20"/>
              </w:rPr>
            </w:pPr>
            <w:r>
              <w:rPr>
                <w:rFonts w:ascii="Calibri" w:hAnsi="Calibri"/>
                <w:b/>
                <w:noProof/>
                <w:color w:val="000000"/>
                <w:sz w:val="22"/>
              </w:rPr>
              <w:t>0,136</w:t>
            </w:r>
          </w:p>
        </w:tc>
      </w:tr>
      <w:tr>
        <w:trPr>
          <w:trHeight w:val="585"/>
        </w:trPr>
        <w:tc>
          <w:tcPr>
            <w:tcW w:w="1980" w:type="dxa"/>
            <w:shd w:val="clear" w:color="auto" w:fill="CCCCCC"/>
            <w:vAlign w:val="center"/>
          </w:tcPr>
          <w:p>
            <w:pPr>
              <w:spacing w:before="60" w:after="60"/>
              <w:jc w:val="center"/>
              <w:rPr>
                <w:noProof/>
              </w:rPr>
            </w:pPr>
            <w:r>
              <w:rPr>
                <w:noProof/>
                <w:sz w:val="18"/>
              </w:rPr>
              <w:t xml:space="preserve">Persunal temporanju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Nazzjonali Sekondati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0,136</w:t>
            </w:r>
          </w:p>
        </w:tc>
      </w:tr>
    </w:tbl>
    <w:p>
      <w:pPr>
        <w:rPr>
          <w:b/>
          <w:bCs/>
          <w:noProof/>
        </w:rPr>
      </w:pPr>
      <w:r>
        <w:rPr>
          <w:b/>
          <w:noProof/>
        </w:rPr>
        <w:t>Huwa preżunt li d-data ppjanata tar-reklutaġġ hija l-1 ta’ Jannar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EIOPA (1 Aġenti Kuntrattwali)</w:t>
            </w:r>
          </w:p>
        </w:tc>
        <w:tc>
          <w:tcPr>
            <w:tcW w:w="1080" w:type="dxa"/>
            <w:vAlign w:val="center"/>
          </w:tcPr>
          <w:p>
            <w:pPr>
              <w:spacing w:before="60" w:after="60"/>
              <w:jc w:val="center"/>
              <w:rPr>
                <w:noProof/>
                <w:sz w:val="20"/>
              </w:rPr>
            </w:pPr>
            <w:r>
              <w:rPr>
                <w:noProof/>
                <w:sz w:val="20"/>
              </w:rPr>
              <w:t>Sena</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2021</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2022</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2023</w:t>
            </w:r>
          </w:p>
        </w:tc>
        <w:tc>
          <w:tcPr>
            <w:tcW w:w="3240" w:type="dxa"/>
            <w:gridSpan w:val="3"/>
            <w:vAlign w:val="center"/>
          </w:tcPr>
          <w:p>
            <w:pPr>
              <w:jc w:val="center"/>
              <w:rPr>
                <w:b/>
                <w:noProof/>
                <w:sz w:val="20"/>
              </w:rPr>
            </w:pPr>
            <w:r>
              <w:rPr>
                <w:noProof/>
                <w:sz w:val="20"/>
              </w:rPr>
              <w:t>Niżżel is-snin kollha li hemm bżonn biex turi t-tul taż-żmien tal-impatt (ara l-punt 1.6)</w:t>
            </w:r>
          </w:p>
        </w:tc>
        <w:tc>
          <w:tcPr>
            <w:tcW w:w="1080"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Uffiċjali (Gradi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Uffiċjali (Gradi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Aġenti kuntrattwali</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Persunal temporanju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Nazzjonali Sekondati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bCs/>
                <w:noProof/>
                <w:sz w:val="20"/>
              </w:rPr>
            </w:pPr>
          </w:p>
        </w:tc>
      </w:tr>
    </w:tbl>
    <w:p>
      <w:pPr>
        <w:rPr>
          <w:b/>
          <w:bCs/>
          <w:noProof/>
        </w:rPr>
      </w:pPr>
      <w:r>
        <w:rPr>
          <w:b/>
          <w:noProof/>
        </w:rPr>
        <w:t>Huwa preżunt li d-data ppjanata tar-reklutaġġ hija l-1 ta’ Jannar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ESMA (1 Persunal temporanju)</w:t>
            </w:r>
          </w:p>
        </w:tc>
        <w:tc>
          <w:tcPr>
            <w:tcW w:w="1080" w:type="dxa"/>
            <w:vAlign w:val="center"/>
          </w:tcPr>
          <w:p>
            <w:pPr>
              <w:spacing w:before="60" w:after="60"/>
              <w:jc w:val="center"/>
              <w:rPr>
                <w:noProof/>
                <w:sz w:val="20"/>
              </w:rPr>
            </w:pPr>
            <w:r>
              <w:rPr>
                <w:noProof/>
                <w:sz w:val="20"/>
              </w:rPr>
              <w:t>Sena</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2021</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2022</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2023</w:t>
            </w:r>
          </w:p>
        </w:tc>
        <w:tc>
          <w:tcPr>
            <w:tcW w:w="3240" w:type="dxa"/>
            <w:gridSpan w:val="3"/>
            <w:vAlign w:val="center"/>
          </w:tcPr>
          <w:p>
            <w:pPr>
              <w:jc w:val="center"/>
              <w:rPr>
                <w:b/>
                <w:noProof/>
                <w:sz w:val="20"/>
              </w:rPr>
            </w:pPr>
            <w:r>
              <w:rPr>
                <w:noProof/>
                <w:sz w:val="20"/>
              </w:rPr>
              <w:t>Niżżel is-snin kollha li hemm bżonn biex turi t-tul taż-żmien tal-impatt (ara l-punt 1.6)</w:t>
            </w:r>
          </w:p>
        </w:tc>
        <w:tc>
          <w:tcPr>
            <w:tcW w:w="1080"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Uffiċjali (Gradi AD)</w:t>
            </w: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Uffiċjali (Gradi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Aġenti kuntrattwali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Persunal temporanju </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rFonts w:ascii="Calibri" w:hAnsi="Calibri"/>
                <w:b/>
                <w:noProof/>
                <w:color w:val="000000"/>
                <w:sz w:val="22"/>
              </w:rPr>
              <w:t>0,264</w:t>
            </w:r>
          </w:p>
        </w:tc>
      </w:tr>
      <w:tr>
        <w:trPr>
          <w:trHeight w:val="585"/>
        </w:trPr>
        <w:tc>
          <w:tcPr>
            <w:tcW w:w="1980" w:type="dxa"/>
            <w:shd w:val="clear" w:color="auto" w:fill="CCCCCC"/>
            <w:vAlign w:val="center"/>
          </w:tcPr>
          <w:p>
            <w:pPr>
              <w:spacing w:before="60" w:after="60"/>
              <w:jc w:val="center"/>
              <w:rPr>
                <w:noProof/>
              </w:rPr>
            </w:pPr>
            <w:r>
              <w:rPr>
                <w:noProof/>
                <w:sz w:val="18"/>
              </w:rPr>
              <w:t>Esperti Nazzjonali Sekondati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0,264</w:t>
            </w:r>
          </w:p>
        </w:tc>
      </w:tr>
    </w:tbl>
    <w:p>
      <w:pPr>
        <w:rPr>
          <w:noProof/>
        </w:rPr>
      </w:pPr>
      <w:r>
        <w:rPr>
          <w:b/>
          <w:noProof/>
        </w:rPr>
        <w:t>Huwa preżunt li</w:t>
      </w:r>
      <w:r>
        <w:rPr>
          <w:noProof/>
        </w:rPr>
        <w:t xml:space="preserve"> d-data ppjanata tar-reklutaġġ hija l-1 ta’ Jannar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EEA (1 Persunal temporanju u 1 Aġent kuntrattwali)</w:t>
            </w:r>
          </w:p>
        </w:tc>
        <w:tc>
          <w:tcPr>
            <w:tcW w:w="1080" w:type="dxa"/>
            <w:vAlign w:val="center"/>
          </w:tcPr>
          <w:p>
            <w:pPr>
              <w:spacing w:before="60" w:after="60"/>
              <w:jc w:val="center"/>
              <w:rPr>
                <w:noProof/>
                <w:sz w:val="20"/>
              </w:rPr>
            </w:pPr>
            <w:r>
              <w:rPr>
                <w:noProof/>
                <w:sz w:val="20"/>
              </w:rPr>
              <w:t>Sena</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2021</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2022</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2023</w:t>
            </w:r>
          </w:p>
        </w:tc>
        <w:tc>
          <w:tcPr>
            <w:tcW w:w="3240" w:type="dxa"/>
            <w:gridSpan w:val="3"/>
            <w:vAlign w:val="center"/>
          </w:tcPr>
          <w:p>
            <w:pPr>
              <w:jc w:val="center"/>
              <w:rPr>
                <w:b/>
                <w:noProof/>
                <w:sz w:val="20"/>
              </w:rPr>
            </w:pPr>
            <w:r>
              <w:rPr>
                <w:noProof/>
                <w:sz w:val="20"/>
              </w:rPr>
              <w:t>Niżżel is-snin kollha li hemm bżonn biex turi t-tul taż-żmien tal-impatt (ara l-punt 1.6)</w:t>
            </w:r>
          </w:p>
        </w:tc>
        <w:tc>
          <w:tcPr>
            <w:tcW w:w="1080"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Uffiċjali (Gradi AD)</w:t>
            </w: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Uffiċjali (Gradi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Aġenti kuntrattwali</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r>
              <w:rPr>
                <w:b/>
                <w:noProof/>
                <w:sz w:val="20"/>
              </w:rPr>
              <w:t>0,396</w:t>
            </w:r>
          </w:p>
        </w:tc>
      </w:tr>
      <w:tr>
        <w:trPr>
          <w:trHeight w:val="585"/>
        </w:trPr>
        <w:tc>
          <w:tcPr>
            <w:tcW w:w="1980" w:type="dxa"/>
            <w:shd w:val="clear" w:color="auto" w:fill="CCCCCC"/>
            <w:vAlign w:val="center"/>
          </w:tcPr>
          <w:p>
            <w:pPr>
              <w:spacing w:before="60" w:after="60"/>
              <w:jc w:val="center"/>
              <w:rPr>
                <w:noProof/>
              </w:rPr>
            </w:pPr>
            <w:r>
              <w:rPr>
                <w:noProof/>
                <w:sz w:val="18"/>
              </w:rPr>
              <w:t xml:space="preserve">Persunal temporanju </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center"/>
              <w:rPr>
                <w:rFonts w:ascii="Calibri" w:hAnsi="Calibri"/>
                <w:b/>
                <w:bCs/>
                <w:noProof/>
                <w:color w:val="000000"/>
                <w:sz w:val="22"/>
              </w:rPr>
            </w:pPr>
          </w:p>
          <w:p>
            <w:pPr>
              <w:jc w:val="center"/>
              <w:rPr>
                <w:rFonts w:ascii="Calibri" w:hAnsi="Calibri"/>
                <w:b/>
                <w:bCs/>
                <w:noProof/>
                <w:color w:val="000000"/>
                <w:sz w:val="22"/>
              </w:rPr>
            </w:pPr>
            <w:r>
              <w:rPr>
                <w:rFonts w:ascii="Calibri" w:hAnsi="Calibri"/>
                <w:b/>
                <w:noProof/>
                <w:color w:val="000000"/>
                <w:sz w:val="22"/>
              </w:rPr>
              <w:t>0,764</w:t>
            </w:r>
          </w:p>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Nazzjonali Sekondati</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bCs/>
                <w:noProof/>
                <w:sz w:val="20"/>
              </w:rPr>
            </w:pPr>
            <w:r>
              <w:rPr>
                <w:rFonts w:ascii="Calibri" w:hAnsi="Calibri"/>
                <w:b/>
                <w:noProof/>
                <w:color w:val="000000"/>
                <w:sz w:val="22"/>
              </w:rPr>
              <w:t>1,164</w:t>
            </w:r>
          </w:p>
        </w:tc>
      </w:tr>
    </w:tbl>
    <w:p>
      <w:pPr>
        <w:rPr>
          <w:noProof/>
        </w:rPr>
      </w:pPr>
      <w:r>
        <w:rPr>
          <w:b/>
          <w:noProof/>
        </w:rPr>
        <w:t>Huwa preżunt li</w:t>
      </w:r>
      <w:r>
        <w:rPr>
          <w:noProof/>
        </w:rPr>
        <w:t xml:space="preserve"> d-data ppjanata tar-reklutaġġ hija l-1 ta’ Jannar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Il-Kummissjoni Ewropea (10 Uffiċjali)</w:t>
            </w:r>
            <w:r>
              <w:rPr>
                <w:rStyle w:val="FootnoteReference"/>
                <w:b/>
                <w:noProof/>
                <w:sz w:val="20"/>
              </w:rPr>
              <w:footnoteReference w:id="85"/>
            </w:r>
            <w:r>
              <w:rPr>
                <w:b/>
                <w:noProof/>
                <w:sz w:val="20"/>
              </w:rPr>
              <w:t xml:space="preserve"> </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2020</w:t>
            </w:r>
            <w:r>
              <w:rPr>
                <w:rStyle w:val="FootnoteReference"/>
                <w:b/>
                <w:noProof/>
                <w:sz w:val="20"/>
              </w:rPr>
              <w:footnoteReference w:id="86"/>
            </w:r>
          </w:p>
        </w:tc>
        <w:tc>
          <w:tcPr>
            <w:tcW w:w="1080" w:type="dxa"/>
            <w:vAlign w:val="center"/>
          </w:tcPr>
          <w:p>
            <w:pPr>
              <w:spacing w:before="60" w:after="60"/>
              <w:jc w:val="center"/>
              <w:rPr>
                <w:noProof/>
                <w:sz w:val="20"/>
              </w:rPr>
            </w:pPr>
            <w:r>
              <w:rPr>
                <w:noProof/>
                <w:sz w:val="20"/>
              </w:rPr>
              <w:t>Sena</w:t>
            </w:r>
            <w:r>
              <w:rPr>
                <w:noProof/>
                <w:sz w:val="22"/>
              </w:rPr>
              <w:br/>
            </w:r>
            <w:r>
              <w:rPr>
                <w:b/>
                <w:noProof/>
                <w:sz w:val="20"/>
              </w:rPr>
              <w:t>2021</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2022</w:t>
            </w:r>
          </w:p>
        </w:tc>
        <w:tc>
          <w:tcPr>
            <w:tcW w:w="1080" w:type="dxa"/>
            <w:vAlign w:val="center"/>
          </w:tcPr>
          <w:p>
            <w:pPr>
              <w:spacing w:before="60" w:after="60"/>
              <w:jc w:val="center"/>
              <w:rPr>
                <w:noProof/>
                <w:sz w:val="20"/>
              </w:rPr>
            </w:pPr>
            <w:r>
              <w:rPr>
                <w:noProof/>
                <w:sz w:val="20"/>
              </w:rPr>
              <w:t>Sena</w:t>
            </w:r>
            <w:r>
              <w:rPr>
                <w:noProof/>
                <w:sz w:val="22"/>
              </w:rPr>
              <w:br/>
            </w:r>
            <w:r>
              <w:rPr>
                <w:b/>
                <w:noProof/>
                <w:sz w:val="20"/>
              </w:rPr>
              <w:t>2023</w:t>
            </w:r>
          </w:p>
        </w:tc>
        <w:tc>
          <w:tcPr>
            <w:tcW w:w="3240" w:type="dxa"/>
            <w:gridSpan w:val="3"/>
            <w:vAlign w:val="center"/>
          </w:tcPr>
          <w:p>
            <w:pPr>
              <w:jc w:val="center"/>
              <w:rPr>
                <w:b/>
                <w:noProof/>
                <w:sz w:val="20"/>
              </w:rPr>
            </w:pPr>
            <w:r>
              <w:rPr>
                <w:noProof/>
                <w:sz w:val="20"/>
              </w:rPr>
              <w:t>Niżżel is-snin kollha li hemm bżonn biex turi t-tul taż-żmien tal-impatt (ara l-punt 1.6)</w:t>
            </w:r>
          </w:p>
        </w:tc>
        <w:tc>
          <w:tcPr>
            <w:tcW w:w="1080"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Uffiċjali (Gradi AD)</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color w:val="000000"/>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r>
              <w:rPr>
                <w:rFonts w:asciiTheme="minorHAnsi" w:hAnsiTheme="minorHAnsi"/>
                <w:b/>
                <w:noProof/>
                <w:color w:val="000000"/>
                <w:sz w:val="22"/>
              </w:rPr>
              <w:t>4,576</w:t>
            </w:r>
          </w:p>
        </w:tc>
      </w:tr>
      <w:tr>
        <w:trPr>
          <w:trHeight w:val="585"/>
        </w:trPr>
        <w:tc>
          <w:tcPr>
            <w:tcW w:w="1980" w:type="dxa"/>
            <w:vAlign w:val="center"/>
          </w:tcPr>
          <w:p>
            <w:pPr>
              <w:spacing w:before="60" w:after="60"/>
              <w:ind w:left="72"/>
              <w:rPr>
                <w:noProof/>
                <w:sz w:val="18"/>
                <w:szCs w:val="18"/>
              </w:rPr>
            </w:pPr>
            <w:r>
              <w:rPr>
                <w:noProof/>
                <w:sz w:val="18"/>
              </w:rPr>
              <w:t>Uffiċjali (Gradi AST)</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1,144</w:t>
            </w:r>
          </w:p>
        </w:tc>
      </w:tr>
      <w:tr>
        <w:trPr>
          <w:trHeight w:val="585"/>
        </w:trPr>
        <w:tc>
          <w:tcPr>
            <w:tcW w:w="1980" w:type="dxa"/>
            <w:vAlign w:val="center"/>
          </w:tcPr>
          <w:p>
            <w:pPr>
              <w:spacing w:before="60" w:after="60"/>
              <w:ind w:left="72"/>
              <w:rPr>
                <w:noProof/>
              </w:rPr>
            </w:pPr>
            <w:r>
              <w:rPr>
                <w:noProof/>
                <w:sz w:val="20"/>
              </w:rPr>
              <w:t>Aġenti kuntrattwali</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 xml:space="preserve">Persunal temporanju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Esperti Nazzjonali Sekondati</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5,720</w:t>
            </w:r>
          </w:p>
          <w:p>
            <w:pPr>
              <w:spacing w:before="60" w:after="60"/>
              <w:jc w:val="center"/>
              <w:rPr>
                <w:rFonts w:asciiTheme="minorHAnsi" w:hAnsiTheme="minorHAnsi"/>
                <w:b/>
                <w:noProof/>
                <w:sz w:val="22"/>
              </w:rPr>
            </w:pPr>
          </w:p>
        </w:tc>
      </w:tr>
    </w:tbl>
    <w:p>
      <w:pPr>
        <w:rPr>
          <w:noProof/>
        </w:rPr>
      </w:pPr>
    </w:p>
    <w:p>
      <w:pPr>
        <w:rPr>
          <w:noProof/>
        </w:rPr>
        <w:sectPr>
          <w:headerReference w:type="default" r:id="rId36"/>
          <w:footerReference w:type="default" r:id="rId37"/>
          <w:headerReference w:type="first" r:id="rId38"/>
          <w:footerReference w:type="first" r:id="rId3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 xml:space="preserve">Rekwiżiti stmati ta’ riżorsi umani għad-DĠ prinċipali u d-DĠs / Servizzi assoċjati </w:t>
      </w:r>
    </w:p>
    <w:p>
      <w:pPr>
        <w:pStyle w:val="ListDash1"/>
        <w:rPr>
          <w:noProof/>
        </w:rPr>
      </w:pPr>
      <w:r>
        <w:rPr>
          <w:noProof/>
        </w:rPr>
        <w:sym w:font="Wingdings" w:char="F0A8"/>
      </w:r>
      <w:r>
        <w:rPr>
          <w:noProof/>
        </w:rPr>
        <w:tab/>
        <w:t xml:space="preserve">Il-proposta / inizjattiva ma tirrikjedix l-użu ta’ riżorsi umani. </w:t>
      </w:r>
    </w:p>
    <w:p>
      <w:pPr>
        <w:pStyle w:val="ListDash1"/>
        <w:rPr>
          <w:noProof/>
        </w:rPr>
      </w:pPr>
      <w:r>
        <w:rPr>
          <w:noProof/>
        </w:rPr>
        <w:sym w:font="Wingdings" w:char="F0FE"/>
      </w:r>
      <w:r>
        <w:rPr>
          <w:noProof/>
        </w:rPr>
        <w:tab/>
        <w:t>Il-proposta / inizjattiva tirrikjedi l-użu ta’ riżorsi umani, kif spjegat hawn taħt:</w:t>
      </w:r>
    </w:p>
    <w:p>
      <w:pPr>
        <w:spacing w:after="60"/>
        <w:jc w:val="right"/>
        <w:rPr>
          <w:i/>
          <w:noProof/>
          <w:sz w:val="20"/>
        </w:rPr>
      </w:pPr>
      <w:r>
        <w:rPr>
          <w:i/>
          <w:noProof/>
          <w:sz w:val="20"/>
        </w:rPr>
        <w:t>L-istima trid tiġi espressa f’ammonti sħaħ (jew sa massimu ta’ pożizzjoni deċimali waħda)</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Sena</w:t>
            </w:r>
            <w:r>
              <w:rPr>
                <w:noProof/>
                <w:sz w:val="20"/>
              </w:rPr>
              <w:br/>
            </w:r>
            <w:r>
              <w:rPr>
                <w:b/>
                <w:noProof/>
                <w:sz w:val="20"/>
              </w:rPr>
              <w:t>2020</w:t>
            </w:r>
          </w:p>
        </w:tc>
        <w:tc>
          <w:tcPr>
            <w:tcW w:w="377" w:type="pct"/>
            <w:shd w:val="clear" w:color="auto" w:fill="auto"/>
            <w:vAlign w:val="center"/>
          </w:tcPr>
          <w:p>
            <w:pPr>
              <w:spacing w:before="20" w:after="20"/>
              <w:jc w:val="center"/>
              <w:rPr>
                <w:noProof/>
                <w:sz w:val="20"/>
              </w:rPr>
            </w:pPr>
            <w:r>
              <w:rPr>
                <w:noProof/>
                <w:sz w:val="20"/>
              </w:rPr>
              <w:t>Sena</w:t>
            </w:r>
            <w:r>
              <w:rPr>
                <w:noProof/>
                <w:sz w:val="20"/>
              </w:rPr>
              <w:br/>
            </w:r>
            <w:r>
              <w:rPr>
                <w:b/>
                <w:noProof/>
                <w:sz w:val="20"/>
              </w:rPr>
              <w:t>2021</w:t>
            </w:r>
            <w:r>
              <w:rPr>
                <w:rStyle w:val="FootnoteReference"/>
                <w:b/>
                <w:noProof/>
                <w:sz w:val="20"/>
              </w:rPr>
              <w:footnoteReference w:id="87"/>
            </w:r>
          </w:p>
        </w:tc>
        <w:tc>
          <w:tcPr>
            <w:tcW w:w="406" w:type="pct"/>
            <w:shd w:val="clear" w:color="auto" w:fill="auto"/>
            <w:vAlign w:val="center"/>
          </w:tcPr>
          <w:p>
            <w:pPr>
              <w:spacing w:before="20" w:after="20"/>
              <w:jc w:val="center"/>
              <w:rPr>
                <w:noProof/>
                <w:sz w:val="20"/>
              </w:rPr>
            </w:pPr>
            <w:r>
              <w:rPr>
                <w:noProof/>
                <w:sz w:val="20"/>
              </w:rPr>
              <w:t xml:space="preserve">Sena </w:t>
            </w:r>
            <w:r>
              <w:rPr>
                <w:b/>
                <w:noProof/>
                <w:sz w:val="20"/>
              </w:rPr>
              <w:t>2022</w:t>
            </w:r>
          </w:p>
        </w:tc>
        <w:tc>
          <w:tcPr>
            <w:tcW w:w="497" w:type="pct"/>
            <w:shd w:val="clear" w:color="auto" w:fill="auto"/>
            <w:vAlign w:val="center"/>
          </w:tcPr>
          <w:p>
            <w:pPr>
              <w:spacing w:before="20" w:after="20"/>
              <w:jc w:val="center"/>
              <w:rPr>
                <w:noProof/>
                <w:sz w:val="20"/>
              </w:rPr>
            </w:pPr>
            <w:r>
              <w:rPr>
                <w:noProof/>
                <w:sz w:val="20"/>
              </w:rPr>
              <w:t xml:space="preserve">Sena </w:t>
            </w:r>
            <w:r>
              <w:rPr>
                <w:b/>
                <w:noProof/>
                <w:sz w:val="20"/>
              </w:rPr>
              <w:t>2023</w:t>
            </w:r>
          </w:p>
        </w:tc>
        <w:tc>
          <w:tcPr>
            <w:tcW w:w="1294" w:type="pct"/>
            <w:gridSpan w:val="3"/>
            <w:shd w:val="clear" w:color="auto" w:fill="auto"/>
            <w:vAlign w:val="center"/>
          </w:tcPr>
          <w:p>
            <w:pPr>
              <w:tabs>
                <w:tab w:val="left" w:pos="685"/>
              </w:tabs>
              <w:jc w:val="center"/>
              <w:rPr>
                <w:b/>
                <w:noProof/>
                <w:sz w:val="20"/>
              </w:rPr>
            </w:pPr>
            <w:r>
              <w:rPr>
                <w:noProof/>
                <w:sz w:val="20"/>
              </w:rPr>
              <w:t>Niżżel is-snin kollha li hemm bżonn biex turi t-tul taż-żmien tal-impatt (ara l-punt 1.6)</w:t>
            </w:r>
            <w:r>
              <w:rPr>
                <w:rStyle w:val="FootnoteReference"/>
                <w:noProof/>
                <w:sz w:val="20"/>
              </w:rPr>
              <w:footnoteReference w:id="88"/>
            </w:r>
          </w:p>
        </w:tc>
      </w:tr>
      <w:tr>
        <w:trPr>
          <w:trHeight w:val="289"/>
          <w:jc w:val="center"/>
        </w:trPr>
        <w:tc>
          <w:tcPr>
            <w:tcW w:w="2044"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Pożizzjonijiet fil-pjan ta’ stabbiliment (uffiċjali u persunal temporanju)</w:t>
            </w:r>
            <w:r>
              <w:rPr>
                <w:rStyle w:val="FootnoteReference"/>
                <w:b/>
                <w:noProof/>
                <w:sz w:val="20"/>
              </w:rPr>
              <w:footnoteReference w:id="8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12 01 01 01 FISMA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07 01 01 01 ENV</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34 01 01 01 CLIMA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29 01 01 01 EUROSTAT</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(Delegazzjonijiet)</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(Riċerka indiretta)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(Riċerka 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rPr>
              <w:t xml:space="preserve"> Persunal estern (f’unità Ekwivalenti għall-Full Time:</w:t>
            </w:r>
            <w:r>
              <w:rPr>
                <w:b/>
                <w:noProof/>
                <w:sz w:val="20"/>
              </w:rPr>
              <w:t xml:space="preserve"> FTE)</w:t>
            </w:r>
            <w:r>
              <w:rPr>
                <w:rStyle w:val="FootnoteReference"/>
                <w:b/>
                <w:noProof/>
                <w:sz w:val="20"/>
              </w:rPr>
              <w:footnoteReference w:id="90"/>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mill-“pakkett globali”)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u JPD fid-Delegazzjonijiet))</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9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fil-Kwartieri Ġenerali</w:t>
            </w:r>
            <w:r>
              <w:rPr>
                <w:rStyle w:val="FootnoteReference"/>
                <w:noProof/>
                <w:sz w:val="20"/>
              </w:rPr>
              <w:footnoteReference w:id="92"/>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fid-Delegazzjonijiet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(AC, ENS, INT – Riċerka indiretta)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Riċerka 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Linji baġitarji oħra (speċifika)</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b/>
          <w:noProof/>
        </w:rPr>
      </w:pPr>
    </w:p>
    <w:p>
      <w:pPr>
        <w:pStyle w:val="Text1"/>
        <w:spacing w:before="60" w:after="60"/>
        <w:ind w:left="851"/>
        <w:rPr>
          <w:noProof/>
        </w:rPr>
      </w:pPr>
      <w:r>
        <w:rPr>
          <w:b/>
          <w:noProof/>
        </w:rPr>
        <w:t>XX</w:t>
      </w:r>
      <w:r>
        <w:rPr>
          <w:noProof/>
        </w:rPr>
        <w:t xml:space="preserve"> hu l-qasam ta’ politika jew it-titolu baġitarju kkonċernat.</w:t>
      </w:r>
    </w:p>
    <w:p>
      <w:pPr>
        <w:rPr>
          <w:noProof/>
          <w:sz w:val="20"/>
        </w:rPr>
      </w:pPr>
      <w:r>
        <w:rPr>
          <w:noProof/>
          <w:sz w:val="20"/>
        </w:rPr>
        <w:t>Deskrizzjoni tal-kompiti li jridu jitwettqu:</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Uffiċjali u persunal temporanju</w:t>
            </w:r>
          </w:p>
        </w:tc>
        <w:tc>
          <w:tcPr>
            <w:tcW w:w="7200" w:type="dxa"/>
          </w:tcPr>
          <w:p>
            <w:pPr>
              <w:jc w:val="left"/>
              <w:rPr>
                <w:noProof/>
                <w:sz w:val="20"/>
              </w:rPr>
            </w:pPr>
            <w:r>
              <w:rPr>
                <w:noProof/>
                <w:sz w:val="20"/>
              </w:rPr>
              <w:t>Il-Kummissjoni se tkun involuta fl-azzjonijiet fil-mira kollha msemmija fil-punt 1.4.2, u b’mod partikolari l-ġestjoni ta’ pjattaforma pubblika / privata msemmija hawn fuq (pereż. torganizza laqgħat għall-Pjattaforma u xi sottogruppi, tirrapporta dwar l-eżitu, tagħmel konsultazzjonijiet mal-partijiet ikkonċernati, tħejji proposti leġiżlattivi, tappoġġa l-osservatorju / il-konsulenza, tagħmel kuntatt mal-l-ASEs u l-EEA, tagħmel il-manutenzjoni tal-għodda kollaborattiva tal-IT, tirrimborża l-ispejjeż tal-esperti u twettaq kompiti segretarjali oħra, eċċ.).).</w:t>
            </w:r>
          </w:p>
        </w:tc>
      </w:tr>
      <w:tr>
        <w:trPr>
          <w:trHeight w:val="716"/>
        </w:trPr>
        <w:tc>
          <w:tcPr>
            <w:tcW w:w="3240" w:type="dxa"/>
          </w:tcPr>
          <w:p>
            <w:pPr>
              <w:spacing w:before="60" w:after="60"/>
              <w:rPr>
                <w:noProof/>
                <w:sz w:val="20"/>
              </w:rPr>
            </w:pPr>
            <w:r>
              <w:rPr>
                <w:noProof/>
                <w:sz w:val="20"/>
              </w:rPr>
              <w:t>Persunal estern</w:t>
            </w:r>
          </w:p>
        </w:tc>
        <w:tc>
          <w:tcPr>
            <w:tcW w:w="7200" w:type="dxa"/>
          </w:tcPr>
          <w:p>
            <w:pPr>
              <w:rPr>
                <w:noProof/>
                <w:sz w:val="20"/>
              </w:rPr>
            </w:pPr>
          </w:p>
        </w:tc>
      </w:tr>
    </w:tbl>
    <w:p>
      <w:pPr>
        <w:rPr>
          <w:noProof/>
        </w:rPr>
      </w:pPr>
    </w:p>
    <w:p>
      <w:pPr>
        <w:rPr>
          <w:noProof/>
        </w:rPr>
      </w:pPr>
      <w:r>
        <w:rPr>
          <w:noProof/>
        </w:rPr>
        <w:t xml:space="preserve">Id-deskrizzjoni tal-kalkolu tal-kost għall-unitajiet FTE jenħtieġ li titniżżel fit-Taqsima 3 tal-Anness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 xml:space="preserve">Kompatibbiltà mal-qafas finanzjarju pluriennali attwali </w:t>
      </w:r>
    </w:p>
    <w:p>
      <w:pPr>
        <w:pStyle w:val="ListDash1"/>
        <w:rPr>
          <w:noProof/>
        </w:rPr>
      </w:pPr>
      <w:r>
        <w:rPr>
          <w:noProof/>
        </w:rPr>
        <w:sym w:font="Wingdings" w:char="F0FE"/>
      </w:r>
      <w:r>
        <w:rPr>
          <w:noProof/>
        </w:rPr>
        <w:tab/>
        <w:t xml:space="preserve">Il-proposta / inizjattiva hija kompatibbli mal-qafas finanzjarju pluriennali attwali u l-proposta tal-QFP ta’ wara l-2020. </w:t>
      </w:r>
    </w:p>
    <w:p>
      <w:pPr>
        <w:pStyle w:val="ListDash1"/>
        <w:rPr>
          <w:noProof/>
        </w:rPr>
      </w:pPr>
      <w:r>
        <w:rPr>
          <w:noProof/>
        </w:rPr>
        <w:sym w:font="Wingdings" w:char="F0A8"/>
      </w:r>
      <w:r>
        <w:rPr>
          <w:noProof/>
        </w:rPr>
        <w:tab/>
        <w:t>Il-proposta / inizjattiva se tkun tinvolvi riprogrammazzjoni tal-intestatura rilevanti fil-qafas finanzjarju pluriennali.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Spjega xi programmazzjoni mill-ġdid hija rikjesta, billi tispeċifika l-linji baġitarji kkonċernati u l-ammonti korrispondenti.</w:t>
      </w:r>
    </w:p>
    <w:p>
      <w:pPr>
        <w:pStyle w:val="ListDash1"/>
        <w:rPr>
          <w:noProof/>
        </w:rPr>
      </w:pPr>
      <w:r>
        <w:rPr>
          <w:noProof/>
        </w:rPr>
        <w:sym w:font="Wingdings" w:char="F0A8"/>
      </w:r>
      <w:r>
        <w:rPr>
          <w:noProof/>
        </w:rPr>
        <w:tab/>
        <w:t>Il-proposta / inizjattiva tirrikjedi l-applikazzjoni tal-istrument ta’ flessibbiltà jew ir-reviżjoni tal-qafas finanzjarju pluriennali</w:t>
      </w:r>
      <w:r>
        <w:rPr>
          <w:rStyle w:val="FootnoteReference"/>
          <w:noProof/>
        </w:rPr>
        <w:footnoteReference w:id="93"/>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sz w:val="20"/>
        </w:rPr>
        <w:t>Spjega x’inhu rikjest, billi tispeċifika l-intestaturi u l-linji baġitarji kkonċernati u l-ammonti korrispondenti.</w:t>
      </w:r>
    </w:p>
    <w:p>
      <w:pPr>
        <w:pStyle w:val="ManualHeading3"/>
        <w:rPr>
          <w:bCs/>
          <w:noProof/>
          <w:szCs w:val="24"/>
        </w:rPr>
      </w:pPr>
      <w:r>
        <w:t>3.2.5.</w:t>
      </w:r>
      <w:r>
        <w:tab/>
      </w:r>
      <w:r>
        <w:rPr>
          <w:noProof/>
        </w:rPr>
        <w:t xml:space="preserve">Kontribuzzjonijiet ta’ partijiet terzi </w:t>
      </w:r>
    </w:p>
    <w:p>
      <w:pPr>
        <w:pStyle w:val="ListDash1"/>
        <w:rPr>
          <w:noProof/>
        </w:rPr>
      </w:pPr>
      <w:r>
        <w:rPr>
          <w:noProof/>
        </w:rPr>
        <w:sym w:font="Wingdings" w:char="F0A8"/>
      </w:r>
      <w:r>
        <w:rPr>
          <w:noProof/>
        </w:rPr>
        <w:t xml:space="preserve"> Il-proposta / inizjattiva ma tipprevedix il-kofinanzjament ta’ partijiet terzi. </w:t>
      </w:r>
    </w:p>
    <w:p>
      <w:pPr>
        <w:pStyle w:val="ListDash1"/>
        <w:rPr>
          <w:noProof/>
        </w:rPr>
      </w:pPr>
      <w:r>
        <w:rPr>
          <w:noProof/>
        </w:rPr>
        <w:sym w:font="Wingdings" w:char="F0FE"/>
      </w:r>
      <w:r>
        <w:rPr>
          <w:noProof/>
        </w:rPr>
        <w:t xml:space="preserve"> Il-proposta / inizjattiva tipprevedi l-kofinanzjament stmat hawn taħt:</w:t>
      </w:r>
    </w:p>
    <w:p>
      <w:pPr>
        <w:jc w:val="right"/>
        <w:rPr>
          <w:noProof/>
          <w:sz w:val="20"/>
        </w:rPr>
      </w:pPr>
      <w:r>
        <w:rPr>
          <w:noProof/>
          <w:sz w:val="20"/>
        </w:rPr>
        <w:t>f’miljuni ta’ EUR (sa tliet pożizzjonijiet deċimali)</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vAlign w:val="center"/>
          </w:tcPr>
          <w:p>
            <w:pPr>
              <w:spacing w:before="60" w:after="60"/>
              <w:jc w:val="center"/>
              <w:rPr>
                <w:noProof/>
                <w:sz w:val="20"/>
              </w:rPr>
            </w:pPr>
            <w:r>
              <w:rPr>
                <w:noProof/>
                <w:sz w:val="20"/>
              </w:rPr>
              <w:t>NCAs</w:t>
            </w:r>
            <w:r>
              <w:rPr>
                <w:rStyle w:val="FootnoteReference"/>
                <w:noProof/>
                <w:sz w:val="20"/>
              </w:rPr>
              <w:footnoteReference w:id="94"/>
            </w:r>
          </w:p>
        </w:tc>
        <w:tc>
          <w:tcPr>
            <w:tcW w:w="964" w:type="dxa"/>
            <w:vAlign w:val="center"/>
          </w:tcPr>
          <w:p>
            <w:pPr>
              <w:jc w:val="center"/>
              <w:rPr>
                <w:noProof/>
                <w:sz w:val="20"/>
              </w:rPr>
            </w:pPr>
            <w:r>
              <w:rPr>
                <w:noProof/>
                <w:sz w:val="20"/>
              </w:rPr>
              <w:t>Sena</w:t>
            </w:r>
            <w:r>
              <w:rPr>
                <w:noProof/>
                <w:sz w:val="22"/>
              </w:rPr>
              <w:br/>
            </w:r>
            <w:r>
              <w:rPr>
                <w:b/>
                <w:noProof/>
                <w:sz w:val="20"/>
              </w:rPr>
              <w:t>2020</w:t>
            </w:r>
          </w:p>
        </w:tc>
        <w:tc>
          <w:tcPr>
            <w:tcW w:w="964" w:type="dxa"/>
            <w:vAlign w:val="center"/>
          </w:tcPr>
          <w:p>
            <w:pPr>
              <w:jc w:val="center"/>
              <w:rPr>
                <w:noProof/>
                <w:sz w:val="20"/>
              </w:rPr>
            </w:pPr>
            <w:r>
              <w:rPr>
                <w:noProof/>
                <w:sz w:val="20"/>
              </w:rPr>
              <w:t>Sena</w:t>
            </w:r>
            <w:r>
              <w:rPr>
                <w:noProof/>
                <w:sz w:val="22"/>
              </w:rPr>
              <w:br/>
            </w:r>
            <w:r>
              <w:rPr>
                <w:b/>
                <w:noProof/>
                <w:sz w:val="20"/>
              </w:rPr>
              <w:t>2021</w:t>
            </w:r>
            <w:r>
              <w:rPr>
                <w:rStyle w:val="FootnoteReference"/>
                <w:b/>
                <w:noProof/>
                <w:sz w:val="20"/>
              </w:rPr>
              <w:footnoteReference w:id="95"/>
            </w:r>
          </w:p>
        </w:tc>
        <w:tc>
          <w:tcPr>
            <w:tcW w:w="964" w:type="dxa"/>
            <w:vAlign w:val="center"/>
          </w:tcPr>
          <w:p>
            <w:pPr>
              <w:jc w:val="center"/>
              <w:rPr>
                <w:noProof/>
                <w:sz w:val="20"/>
              </w:rPr>
            </w:pPr>
            <w:r>
              <w:rPr>
                <w:noProof/>
                <w:sz w:val="20"/>
              </w:rPr>
              <w:t>Sena</w:t>
            </w:r>
            <w:r>
              <w:rPr>
                <w:noProof/>
                <w:sz w:val="22"/>
              </w:rPr>
              <w:br/>
            </w:r>
            <w:r>
              <w:rPr>
                <w:b/>
                <w:noProof/>
                <w:sz w:val="20"/>
              </w:rPr>
              <w:t>2022</w:t>
            </w:r>
          </w:p>
        </w:tc>
        <w:tc>
          <w:tcPr>
            <w:tcW w:w="964" w:type="dxa"/>
            <w:vAlign w:val="center"/>
          </w:tcPr>
          <w:p>
            <w:pPr>
              <w:jc w:val="center"/>
              <w:rPr>
                <w:noProof/>
                <w:sz w:val="20"/>
              </w:rPr>
            </w:pPr>
            <w:r>
              <w:rPr>
                <w:noProof/>
                <w:sz w:val="20"/>
              </w:rPr>
              <w:t>Sena</w:t>
            </w:r>
            <w:r>
              <w:rPr>
                <w:noProof/>
                <w:sz w:val="22"/>
              </w:rPr>
              <w:br/>
            </w:r>
            <w:r>
              <w:rPr>
                <w:b/>
                <w:noProof/>
                <w:sz w:val="20"/>
              </w:rPr>
              <w:t>2023</w:t>
            </w:r>
          </w:p>
        </w:tc>
        <w:tc>
          <w:tcPr>
            <w:tcW w:w="2892" w:type="dxa"/>
            <w:gridSpan w:val="3"/>
            <w:vAlign w:val="center"/>
          </w:tcPr>
          <w:p>
            <w:pPr>
              <w:jc w:val="center"/>
              <w:rPr>
                <w:b/>
                <w:noProof/>
                <w:sz w:val="20"/>
              </w:rPr>
            </w:pPr>
            <w:r>
              <w:rPr>
                <w:noProof/>
                <w:sz w:val="20"/>
              </w:rPr>
              <w:t>Niżżel is-snin kollha li hemm bżonn biex turi t-tul taż-żmien tal-impatt (ara l-punt 1.6)</w:t>
            </w:r>
            <w:r>
              <w:rPr>
                <w:rStyle w:val="FootnoteReference"/>
                <w:noProof/>
                <w:sz w:val="20"/>
              </w:rPr>
              <w:footnoteReference w:id="96"/>
            </w:r>
          </w:p>
        </w:tc>
        <w:tc>
          <w:tcPr>
            <w:tcW w:w="1158" w:type="dxa"/>
            <w:vAlign w:val="center"/>
          </w:tcPr>
          <w:p>
            <w:pPr>
              <w:spacing w:before="60" w:after="60"/>
              <w:jc w:val="center"/>
              <w:rPr>
                <w:noProof/>
                <w:sz w:val="20"/>
              </w:rPr>
            </w:pPr>
            <w:r>
              <w:rPr>
                <w:b/>
                <w:noProof/>
              </w:rPr>
              <w:t>Total</w:t>
            </w:r>
            <w:r>
              <w:rPr>
                <w:noProof/>
              </w:rPr>
              <w:t xml:space="preserve"> (minħabba arrangrement ta’ kofinanzjament 60/40, 60 % biss huwa msemmi hawnhekk)</w:t>
            </w:r>
          </w:p>
        </w:tc>
      </w:tr>
      <w:tr>
        <w:trPr>
          <w:cantSplit/>
        </w:trPr>
        <w:tc>
          <w:tcPr>
            <w:tcW w:w="2340" w:type="dxa"/>
          </w:tcPr>
          <w:p>
            <w:pPr>
              <w:spacing w:before="60" w:after="60"/>
              <w:rPr>
                <w:noProof/>
                <w:sz w:val="20"/>
              </w:rPr>
            </w:pPr>
            <w:r>
              <w:rPr>
                <w:noProof/>
                <w:sz w:val="20"/>
              </w:rPr>
              <w:t>ABE</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0,204</w:t>
            </w:r>
          </w:p>
        </w:tc>
      </w:tr>
      <w:tr>
        <w:trPr>
          <w:cantSplit/>
        </w:trPr>
        <w:tc>
          <w:tcPr>
            <w:tcW w:w="2340" w:type="dxa"/>
          </w:tcPr>
          <w:p>
            <w:pPr>
              <w:spacing w:before="60" w:after="60"/>
              <w:rPr>
                <w:noProof/>
                <w:sz w:val="20"/>
              </w:rPr>
            </w:pPr>
            <w:r>
              <w:rPr>
                <w:noProof/>
                <w:sz w:val="20"/>
              </w:rPr>
              <w:t>EIOPA</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0,173</w:t>
            </w:r>
          </w:p>
        </w:tc>
      </w:tr>
      <w:tr>
        <w:trPr>
          <w:cantSplit/>
        </w:trPr>
        <w:tc>
          <w:tcPr>
            <w:tcW w:w="2340" w:type="dxa"/>
          </w:tcPr>
          <w:p>
            <w:pPr>
              <w:spacing w:before="60" w:after="60"/>
              <w:rPr>
                <w:noProof/>
                <w:sz w:val="20"/>
              </w:rPr>
            </w:pPr>
            <w:r>
              <w:rPr>
                <w:noProof/>
                <w:sz w:val="20"/>
              </w:rPr>
              <w:t>ESMA</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0,394</w:t>
            </w:r>
          </w:p>
        </w:tc>
      </w:tr>
      <w:tr>
        <w:trPr>
          <w:cantSplit/>
        </w:trPr>
        <w:tc>
          <w:tcPr>
            <w:tcW w:w="2340" w:type="dxa"/>
          </w:tcPr>
          <w:p>
            <w:pPr>
              <w:spacing w:before="60" w:after="60"/>
              <w:rPr>
                <w:b/>
                <w:bCs/>
                <w:noProof/>
                <w:sz w:val="20"/>
              </w:rPr>
            </w:pPr>
            <w:r>
              <w:rPr>
                <w:b/>
                <w:noProof/>
                <w:sz w:val="20"/>
              </w:rPr>
              <w:t xml:space="preserve">TOTAL tal-approprjazzjonijiet kofinanzjati </w:t>
            </w:r>
          </w:p>
        </w:tc>
        <w:tc>
          <w:tcPr>
            <w:tcW w:w="964" w:type="dxa"/>
            <w:vAlign w:val="center"/>
          </w:tcPr>
          <w:p>
            <w:pPr>
              <w:spacing w:before="60" w:after="60"/>
              <w:jc w:val="center"/>
              <w:rPr>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0,771</w:t>
            </w:r>
          </w:p>
        </w:tc>
      </w:tr>
    </w:tbl>
    <w:p>
      <w:pPr>
        <w:rPr>
          <w:noProof/>
        </w:rPr>
      </w:pPr>
      <w:r>
        <w:rPr>
          <w:noProof/>
        </w:rPr>
        <w:br/>
      </w:r>
    </w:p>
    <w:p>
      <w:pPr>
        <w:pStyle w:val="ManualHeading2"/>
        <w:rPr>
          <w:bCs/>
          <w:noProof/>
          <w:szCs w:val="24"/>
        </w:rPr>
      </w:pPr>
      <w:r>
        <w:rPr>
          <w:noProof/>
        </w:rPr>
        <w:br w:type="page"/>
      </w:r>
      <w:r>
        <w:t>3.3.</w:t>
      </w:r>
      <w:r>
        <w:tab/>
      </w:r>
      <w:r>
        <w:rPr>
          <w:noProof/>
        </w:rPr>
        <w:t xml:space="preserve">Impatt stmat fuq id-dħul </w:t>
      </w:r>
    </w:p>
    <w:p>
      <w:pPr>
        <w:pStyle w:val="ListDash1"/>
        <w:rPr>
          <w:noProof/>
        </w:rPr>
      </w:pPr>
      <w:r>
        <w:rPr>
          <w:noProof/>
        </w:rPr>
        <w:sym w:font="Wingdings" w:char="F0FE"/>
      </w:r>
      <w:r>
        <w:rPr>
          <w:noProof/>
        </w:rPr>
        <w:tab/>
        <w:t>Il-proposta / inizjattiva ma għandha l-ebda impatt finanzjarju fuq id-dħul.</w:t>
      </w:r>
    </w:p>
    <w:p>
      <w:pPr>
        <w:pStyle w:val="ListDash1"/>
        <w:rPr>
          <w:noProof/>
        </w:rPr>
      </w:pPr>
      <w:r>
        <w:rPr>
          <w:noProof/>
        </w:rPr>
        <w:sym w:font="Wingdings" w:char="F0A8"/>
      </w:r>
      <w:r>
        <w:rPr>
          <w:noProof/>
        </w:rPr>
        <w:tab/>
        <w:t>Il-proposta / inizjattiva għandha l-impatt finanzjarju li ġej:</w:t>
      </w:r>
    </w:p>
    <w:p>
      <w:pPr>
        <w:pStyle w:val="ListNumberLevel3"/>
        <w:rPr>
          <w:noProof/>
        </w:rPr>
      </w:pPr>
      <w:r>
        <w:rPr>
          <w:noProof/>
        </w:rPr>
        <w:sym w:font="Wingdings" w:char="F0A8"/>
      </w:r>
      <w:r>
        <w:rPr>
          <w:noProof/>
        </w:rPr>
        <w:tab/>
        <w:t xml:space="preserve">fuq ir-riżorsi proprji </w:t>
      </w:r>
    </w:p>
    <w:p>
      <w:pPr>
        <w:pStyle w:val="ListNumberLevel3"/>
        <w:rPr>
          <w:noProof/>
        </w:rPr>
      </w:pPr>
      <w:r>
        <w:rPr>
          <w:noProof/>
        </w:rPr>
        <w:sym w:font="Wingdings" w:char="F0A8"/>
      </w:r>
      <w:r>
        <w:rPr>
          <w:noProof/>
        </w:rPr>
        <w:tab/>
        <w:t xml:space="preserve">fuq id-dħul mixxellanju </w:t>
      </w:r>
    </w:p>
    <w:p>
      <w:pPr>
        <w:jc w:val="right"/>
        <w:rPr>
          <w:i/>
          <w:noProof/>
          <w:sz w:val="20"/>
        </w:rPr>
      </w:pPr>
      <w:r>
        <w:rPr>
          <w:noProof/>
          <w:sz w:val="20"/>
        </w:rPr>
        <w:t>f’miljuni ta’ EUR (sa tliet pożizzjonijiet deċimali)</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Linja baġitarja tad-dħul:</w:t>
            </w:r>
          </w:p>
        </w:tc>
        <w:tc>
          <w:tcPr>
            <w:tcW w:w="1276" w:type="dxa"/>
            <w:vMerge w:val="restart"/>
            <w:vAlign w:val="center"/>
          </w:tcPr>
          <w:p>
            <w:pPr>
              <w:jc w:val="center"/>
              <w:rPr>
                <w:noProof/>
                <w:sz w:val="18"/>
              </w:rPr>
            </w:pPr>
            <w:r>
              <w:rPr>
                <w:noProof/>
                <w:sz w:val="18"/>
              </w:rPr>
              <w:t>Approprjazzjonijiet disponibbli għas-sena finanzjarja kurrenti</w:t>
            </w:r>
          </w:p>
        </w:tc>
        <w:tc>
          <w:tcPr>
            <w:tcW w:w="7200" w:type="dxa"/>
            <w:gridSpan w:val="7"/>
            <w:vAlign w:val="center"/>
          </w:tcPr>
          <w:p>
            <w:pPr>
              <w:jc w:val="center"/>
              <w:rPr>
                <w:noProof/>
                <w:sz w:val="18"/>
              </w:rPr>
            </w:pPr>
            <w:r>
              <w:rPr>
                <w:noProof/>
                <w:sz w:val="18"/>
              </w:rPr>
              <w:t>Impatt tal-proposta / inizjattiva</w:t>
            </w:r>
            <w:r>
              <w:rPr>
                <w:rStyle w:val="FootnoteReference"/>
                <w:noProof/>
                <w:sz w:val="18"/>
              </w:rPr>
              <w:footnoteReference w:id="97"/>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Sena</w:t>
            </w:r>
            <w:r>
              <w:rPr>
                <w:noProof/>
                <w:sz w:val="22"/>
              </w:rPr>
              <w:br/>
            </w:r>
            <w:r>
              <w:rPr>
                <w:b/>
                <w:noProof/>
                <w:sz w:val="18"/>
              </w:rPr>
              <w:t>2020</w:t>
            </w:r>
          </w:p>
        </w:tc>
        <w:tc>
          <w:tcPr>
            <w:tcW w:w="900" w:type="dxa"/>
            <w:vAlign w:val="center"/>
          </w:tcPr>
          <w:p>
            <w:pPr>
              <w:jc w:val="center"/>
              <w:rPr>
                <w:noProof/>
                <w:sz w:val="18"/>
              </w:rPr>
            </w:pPr>
            <w:r>
              <w:rPr>
                <w:noProof/>
                <w:sz w:val="18"/>
              </w:rPr>
              <w:t>Sena</w:t>
            </w:r>
            <w:r>
              <w:rPr>
                <w:noProof/>
                <w:sz w:val="22"/>
              </w:rPr>
              <w:br/>
            </w:r>
            <w:r>
              <w:rPr>
                <w:b/>
                <w:noProof/>
                <w:sz w:val="18"/>
              </w:rPr>
              <w:t>2021</w:t>
            </w:r>
          </w:p>
        </w:tc>
        <w:tc>
          <w:tcPr>
            <w:tcW w:w="900" w:type="dxa"/>
            <w:vAlign w:val="center"/>
          </w:tcPr>
          <w:p>
            <w:pPr>
              <w:jc w:val="center"/>
              <w:rPr>
                <w:noProof/>
                <w:sz w:val="18"/>
              </w:rPr>
            </w:pPr>
            <w:r>
              <w:rPr>
                <w:noProof/>
                <w:sz w:val="18"/>
              </w:rPr>
              <w:t>Sena</w:t>
            </w:r>
            <w:r>
              <w:rPr>
                <w:noProof/>
                <w:sz w:val="22"/>
              </w:rPr>
              <w:br/>
            </w:r>
            <w:r>
              <w:rPr>
                <w:b/>
                <w:noProof/>
                <w:sz w:val="18"/>
              </w:rPr>
              <w:t>2022</w:t>
            </w:r>
          </w:p>
        </w:tc>
        <w:tc>
          <w:tcPr>
            <w:tcW w:w="1080" w:type="dxa"/>
            <w:vAlign w:val="center"/>
          </w:tcPr>
          <w:p>
            <w:pPr>
              <w:jc w:val="center"/>
              <w:rPr>
                <w:noProof/>
                <w:sz w:val="18"/>
              </w:rPr>
            </w:pPr>
            <w:r>
              <w:rPr>
                <w:noProof/>
                <w:sz w:val="18"/>
              </w:rPr>
              <w:t>Sena</w:t>
            </w:r>
            <w:r>
              <w:rPr>
                <w:noProof/>
                <w:sz w:val="22"/>
              </w:rPr>
              <w:br/>
            </w:r>
            <w:r>
              <w:rPr>
                <w:b/>
                <w:noProof/>
                <w:sz w:val="18"/>
              </w:rPr>
              <w:t>2023</w:t>
            </w:r>
          </w:p>
        </w:tc>
        <w:tc>
          <w:tcPr>
            <w:tcW w:w="3240" w:type="dxa"/>
            <w:gridSpan w:val="3"/>
            <w:vAlign w:val="center"/>
          </w:tcPr>
          <w:p>
            <w:pPr>
              <w:jc w:val="center"/>
              <w:rPr>
                <w:b/>
                <w:noProof/>
                <w:sz w:val="18"/>
              </w:rPr>
            </w:pPr>
            <w:r>
              <w:rPr>
                <w:noProof/>
                <w:sz w:val="18"/>
              </w:rPr>
              <w:t>Niżżel is-snin kollha li hemm bżonn biex turi t-tul taż-żmien tal-impatt (ara l-punt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Għad-dħul mixxellanju “assenjat”, speċifika l-linja/i baġitarja/i tan-nefqa affettwata/i.</w:t>
      </w:r>
    </w:p>
    <w:p>
      <w:pPr>
        <w:pStyle w:val="Text1"/>
        <w:rPr>
          <w:noProof/>
        </w:rPr>
      </w:pPr>
      <w:r>
        <w:rPr>
          <w:noProof/>
          <w:sz w:val="20"/>
        </w:rPr>
        <w:t>Speċifika l-metodu biex jiġi kkalkolat l-impatt fuq id-dħul.</w:t>
      </w:r>
      <w:r>
        <w:rPr>
          <w:rStyle w:val="CommentReference"/>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MT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MT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Is-17-il SDG jipprovdu għanijiet kwalitattivi u kwantitattivi għall-15-il sena li jmiss sabiex inħejju lilna nfusha għall-ġejjieni u naħdmu favur id-dinjità tal-bniedem, l-istabbiltà, pjaneta f’saħħitha, soċjetajiet ġusti u reżiljenti u ekonomiji prosperużi.</w:t>
      </w:r>
    </w:p>
  </w:footnote>
  <w:footnote w:id="2">
    <w:p>
      <w:pPr>
        <w:pStyle w:val="FootnoteText"/>
      </w:pPr>
      <w:r>
        <w:rPr>
          <w:rStyle w:val="FootnoteReference"/>
        </w:rPr>
        <w:footnoteRef/>
      </w:r>
      <w:r>
        <w:tab/>
        <w:t>Bidu ġdid għall-Ewropa: L-Aġenda Tiegħi għall-Impjiegi, it-Tkabbir, il-Ġustizzja u t-Tibdil Demokratiku, Linji Gwida Politiċi għall-Kummissjoni Ewropea li jmiss,  Strasburgu, il-15 ta’ Lulju 2014,disponibbli fuq:</w:t>
      </w:r>
    </w:p>
    <w:p>
      <w:pPr>
        <w:pStyle w:val="FootnoteText"/>
      </w:pPr>
      <w:hyperlink r:id="rId1">
        <w:r>
          <w:rPr>
            <w:rStyle w:val="Hyperlink"/>
          </w:rPr>
          <w:t>https://ec.europa.eu/commission/sites/beta-political/files/juncker-political-guidelines-speech_mt.pdf</w:t>
        </w:r>
      </w:hyperlink>
      <w:r>
        <w:t xml:space="preserve"> </w:t>
      </w:r>
    </w:p>
  </w:footnote>
  <w:footnote w:id="3">
    <w:p>
      <w:pPr>
        <w:pStyle w:val="FootnoteText"/>
        <w:rPr>
          <w:lang w:val="pt-PT"/>
        </w:rPr>
      </w:pPr>
      <w:r>
        <w:rPr>
          <w:rStyle w:val="FootnoteReference"/>
        </w:rPr>
        <w:footnoteRef/>
      </w:r>
      <w:r>
        <w:tab/>
        <w:t xml:space="preserve">COM(2014) 0903 final. </w:t>
      </w:r>
    </w:p>
  </w:footnote>
  <w:footnote w:id="4">
    <w:p>
      <w:pPr>
        <w:pStyle w:val="FootnoteText"/>
        <w:rPr>
          <w:lang w:val="pt-PT"/>
        </w:rPr>
      </w:pPr>
      <w:r>
        <w:rPr>
          <w:rStyle w:val="FootnoteReference"/>
        </w:rPr>
        <w:footnoteRef/>
      </w:r>
      <w:r>
        <w:tab/>
        <w:t>COM(2015) 614 final.</w:t>
      </w:r>
    </w:p>
  </w:footnote>
  <w:footnote w:id="5">
    <w:p>
      <w:pPr>
        <w:pStyle w:val="FootnoteText"/>
        <w:rPr>
          <w:lang w:val="pt-PT"/>
        </w:rPr>
      </w:pPr>
      <w:r>
        <w:rPr>
          <w:rStyle w:val="FootnoteReference"/>
        </w:rPr>
        <w:footnoteRef/>
      </w:r>
      <w:r>
        <w:tab/>
        <w:t>COM(2015) 80 final.</w:t>
      </w:r>
    </w:p>
  </w:footnote>
  <w:footnote w:id="6">
    <w:p>
      <w:pPr>
        <w:pStyle w:val="FootnoteText"/>
        <w:rPr>
          <w:lang w:val="pt-PT"/>
        </w:rPr>
      </w:pPr>
      <w:r>
        <w:rPr>
          <w:rStyle w:val="FootnoteReference"/>
        </w:rPr>
        <w:footnoteRef/>
      </w:r>
      <w:r>
        <w:tab/>
        <w:t>Id-Dokument ta’ Ħidma tal-Persunal tal-Kummissjoni dwar ir-rieżami tal-Istrateġija Ewropea dwar il-Bijoekonomija tal-2012 (SWD(2017) 374 final).</w:t>
      </w:r>
    </w:p>
  </w:footnote>
  <w:footnote w:id="7">
    <w:p>
      <w:pPr>
        <w:pStyle w:val="FootnoteText"/>
      </w:pPr>
      <w:r>
        <w:rPr>
          <w:rStyle w:val="FootnoteReference"/>
        </w:rPr>
        <w:footnoteRef/>
      </w:r>
      <w:r>
        <w:tab/>
        <w:t>COM(2015) 468 final.</w:t>
      </w:r>
    </w:p>
  </w:footnote>
  <w:footnote w:id="8">
    <w:p>
      <w:pPr>
        <w:pStyle w:val="FootnoteText"/>
      </w:pPr>
      <w:r>
        <w:rPr>
          <w:rStyle w:val="FootnoteReference"/>
        </w:rPr>
        <w:footnoteRef/>
      </w:r>
      <w:r>
        <w:tab/>
        <w:t xml:space="preserve">L-istima hija d-distakk tal-investiment medju annwali għall-perjodu 2021 sa 2030, ibbażat fuq projezzjonijiet tal-mudell PRIMES użati mill-Kummissjoni Ewropea fil-Valutazzjoni tal-Impatt tal-Proposta tad-Direttiva dwar l-Effiċjenza Enerġetika (2016), disponibbli fuq: </w:t>
      </w:r>
      <w:hyperlink r:id="rId2">
        <w:r>
          <w:rPr>
            <w:rStyle w:val="Hyperlink"/>
          </w:rPr>
          <w:t>http://eur-lex.europa.eu/legal-content/EN/TXT/?qid=1483696687107&amp;uri=CELEX:52016SC0405</w:t>
        </w:r>
      </w:hyperlink>
      <w:r>
        <w:t>.</w:t>
      </w:r>
    </w:p>
  </w:footnote>
  <w:footnote w:id="9">
    <w:p>
      <w:pPr>
        <w:pStyle w:val="FootnoteText"/>
      </w:pPr>
      <w:r>
        <w:rPr>
          <w:rStyle w:val="FootnoteReference"/>
        </w:rPr>
        <w:footnoteRef/>
      </w:r>
      <w:r>
        <w:tab/>
        <w:t xml:space="preserve">EU High-Level Expert Group on Sustainable Finance Final Report, Financing a Sustainable European Economy, disponibbli fuq:: </w:t>
      </w:r>
      <w:hyperlink r:id="rId3">
        <w:r>
          <w:rPr>
            <w:rStyle w:val="Hyperlink"/>
          </w:rPr>
          <w:t>https://ec.europa.eu/info/sites/info/files/180131-sustainable-finance-final-report_en.pdf</w:t>
        </w:r>
      </w:hyperlink>
      <w:r>
        <w:t xml:space="preserve"> </w:t>
      </w:r>
    </w:p>
  </w:footnote>
  <w:footnote w:id="10">
    <w:p>
      <w:pPr>
        <w:pStyle w:val="FootnoteText"/>
        <w:rPr>
          <w:lang w:val="pt-PT"/>
        </w:rPr>
      </w:pPr>
      <w:r>
        <w:rPr>
          <w:rStyle w:val="FootnoteReference"/>
        </w:rPr>
        <w:footnoteRef/>
      </w:r>
      <w:r>
        <w:tab/>
        <w:t>COM(2018) 97 final.</w:t>
      </w:r>
    </w:p>
  </w:footnote>
  <w:footnote w:id="11">
    <w:p>
      <w:pPr>
        <w:pStyle w:val="FootnoteText"/>
        <w:rPr>
          <w:lang w:val="pt-PT"/>
        </w:rPr>
      </w:pPr>
      <w:r>
        <w:rPr>
          <w:rStyle w:val="FootnoteReference"/>
        </w:rPr>
        <w:footnoteRef/>
      </w:r>
      <w:r>
        <w:tab/>
        <w:t>Id-Deċiżjoni Nru 1386/2013/UE.</w:t>
      </w:r>
    </w:p>
  </w:footnote>
  <w:footnote w:id="12">
    <w:p>
      <w:pPr>
        <w:pStyle w:val="FootnoteText"/>
        <w:rPr>
          <w:lang w:val="pt-PT"/>
        </w:rPr>
      </w:pPr>
      <w:r>
        <w:rPr>
          <w:rStyle w:val="FootnoteReference"/>
        </w:rPr>
        <w:footnoteRef/>
      </w:r>
      <w:r>
        <w:tab/>
        <w:t>Id-Direttiva 2000/60/KE.</w:t>
      </w:r>
    </w:p>
  </w:footnote>
  <w:footnote w:id="13">
    <w:p>
      <w:pPr>
        <w:pStyle w:val="FootnoteText"/>
        <w:rPr>
          <w:lang w:val="pt-PT"/>
        </w:rPr>
      </w:pPr>
      <w:r>
        <w:rPr>
          <w:rStyle w:val="FootnoteReference"/>
        </w:rPr>
        <w:footnoteRef/>
      </w:r>
      <w:r>
        <w:tab/>
        <w:t>COM/2015/0614 final.</w:t>
      </w:r>
    </w:p>
  </w:footnote>
  <w:footnote w:id="14">
    <w:p>
      <w:pPr>
        <w:pStyle w:val="FootnoteText"/>
        <w:rPr>
          <w:lang w:val="pt-PT"/>
        </w:rPr>
      </w:pPr>
      <w:r>
        <w:rPr>
          <w:rStyle w:val="FootnoteReference"/>
        </w:rPr>
        <w:footnoteRef/>
      </w:r>
      <w:r>
        <w:tab/>
        <w:t>Id-Direttiva 2010/75/UE.</w:t>
      </w:r>
    </w:p>
  </w:footnote>
  <w:footnote w:id="15">
    <w:p>
      <w:pPr>
        <w:pStyle w:val="FootnoteText"/>
      </w:pPr>
      <w:r>
        <w:rPr>
          <w:rStyle w:val="FootnoteReference"/>
        </w:rPr>
        <w:footnoteRef/>
      </w:r>
      <w:r>
        <w:tab/>
        <w:t xml:space="preserve">Ir-Regolament (KE) Nru 66/2010. </w:t>
      </w:r>
    </w:p>
  </w:footnote>
  <w:footnote w:id="16">
    <w:p>
      <w:pPr>
        <w:pStyle w:val="FootnoteText"/>
      </w:pPr>
      <w:r>
        <w:rPr>
          <w:rStyle w:val="FootnoteReference"/>
        </w:rPr>
        <w:footnoteRef/>
      </w:r>
      <w:r>
        <w:tab/>
        <w:t>Ir-Regolament Nru 1893/2006 tal-Parlament Ewropew u tal-Kunsill tal-20 ta' Diċembru 2006 li jistabbilixxi l-klassifikazzjoni tal-istatistika ta' attivitajiet ekonomiċi tan-NACE Reviżjoni 2 u li jemenda r-Regolament tal-Kunsill (KEE) Nru 3037/90 kif ukoll ċerti Regolamenti tal-KE dwar setturi speċifiċi ta' l-istatistika (ĠU L 393/1, 30.12.2006, p. 1).</w:t>
      </w:r>
    </w:p>
  </w:footnote>
  <w:footnote w:id="17">
    <w:p>
      <w:pPr>
        <w:pStyle w:val="FootnoteText"/>
      </w:pPr>
      <w:r>
        <w:rPr>
          <w:rStyle w:val="FootnoteReference"/>
        </w:rPr>
        <w:footnoteRef/>
      </w:r>
      <w:r>
        <w:tab/>
        <w:t>L-Anness 4 u 5 tar-Regolament (UE) Nru 538/2014 tal-Parlament Ewropew u tal-Kunsill tas-16 ta’ April 2014 li jemenda r-Regolament (UE) Nru 691/2011 dwar kontijiet ekonomiċi ambjentali Ewropej (ĠU L 158, 27.5.2014).</w:t>
      </w:r>
    </w:p>
  </w:footnote>
  <w:footnote w:id="18">
    <w:p>
      <w:pPr>
        <w:pStyle w:val="FootnoteText"/>
      </w:pPr>
      <w:r>
        <w:rPr>
          <w:rStyle w:val="FootnoteReference"/>
        </w:rPr>
        <w:footnoteRef/>
      </w:r>
      <w:r>
        <w:tab/>
        <w:t>ĠU C , , p. .</w:t>
      </w:r>
    </w:p>
  </w:footnote>
  <w:footnote w:id="19">
    <w:p>
      <w:pPr>
        <w:pStyle w:val="FootnoteText"/>
      </w:pPr>
      <w:r>
        <w:rPr>
          <w:rStyle w:val="FootnoteReference"/>
        </w:rPr>
        <w:footnoteRef/>
      </w:r>
      <w:r>
        <w:tab/>
        <w:t>ĠU C , , p. .</w:t>
      </w:r>
    </w:p>
  </w:footnote>
  <w:footnote w:id="20">
    <w:p>
      <w:pPr>
        <w:pStyle w:val="FootnoteText"/>
      </w:pPr>
      <w:r>
        <w:rPr>
          <w:rStyle w:val="FootnoteReference"/>
        </w:rPr>
        <w:footnoteRef/>
      </w:r>
      <w:r>
        <w:tab/>
        <w:t>It-trasformazzjoni tad-dinja tagħna: L-Aġenda 2030 għall-Iżvilupp Sostenibbli (NU 2015) disponibbli fuq https://sustainabledevelopment.un.org/post2015/transformingourworld.</w:t>
      </w:r>
    </w:p>
  </w:footnote>
  <w:footnote w:id="21">
    <w:p>
      <w:pPr>
        <w:pStyle w:val="FootnoteText"/>
        <w:rPr>
          <w:lang w:val="pt-PT"/>
        </w:rPr>
      </w:pPr>
      <w:r>
        <w:rPr>
          <w:rStyle w:val="FootnoteReference"/>
        </w:rPr>
        <w:footnoteRef/>
      </w:r>
      <w:r>
        <w:tab/>
        <w:t>COM(2016) 739 final.</w:t>
      </w:r>
    </w:p>
  </w:footnote>
  <w:footnote w:id="22">
    <w:p>
      <w:pPr>
        <w:pStyle w:val="FootnoteText"/>
      </w:pPr>
      <w:r>
        <w:rPr>
          <w:rStyle w:val="FootnoteReference"/>
        </w:rPr>
        <w:footnoteRef/>
      </w:r>
      <w:r>
        <w:tab/>
        <w:t>CO EUR 17, CONCL. 5.</w:t>
      </w:r>
    </w:p>
  </w:footnote>
  <w:footnote w:id="23">
    <w:p>
      <w:pPr>
        <w:pStyle w:val="FootnoteText"/>
      </w:pPr>
      <w:r>
        <w:rPr>
          <w:rStyle w:val="FootnoteReference"/>
        </w:rPr>
        <w:footnoteRef/>
      </w:r>
      <w:r>
        <w:tab/>
        <w:t>Id-Deċiżjoni tal-Kunsill (UE) 2016/1841 tal-5 ta’ Ottubru 2016 dwar il-konklużjoni, f’isem l-Unjoni Ewropea, tal-Ftehim ta’ Pariġi adottat skont il-Konvenzjoni Qafas tan-Nazzjonijiet Uniti dwar it-Tibdil fil-Klima (ĠU L 282, 19.10.2016, p. 4).</w:t>
      </w:r>
    </w:p>
  </w:footnote>
  <w:footnote w:id="24">
    <w:p>
      <w:pPr>
        <w:pStyle w:val="FootnoteText"/>
      </w:pPr>
      <w:r>
        <w:rPr>
          <w:rStyle w:val="FootnoteReference"/>
        </w:rPr>
        <w:footnoteRef/>
      </w:r>
      <w:r>
        <w:tab/>
        <w:t xml:space="preserve">Ir-Rapport Finali tal-Grupp ta’ Esperti ta’ Livell Għoli dwar il-Finanzjament Sostenibbli, Niffinanzjaw Ekonomija Ewropea Sostenibbli (EU High-Level Expert Group on Sustainable Finance Final Report, Financing a Sustainable European Economy) disponibbli fuq: </w:t>
      </w:r>
      <w:hyperlink r:id="rId4">
        <w:r>
          <w:rPr>
            <w:rStyle w:val="Hyperlink"/>
          </w:rPr>
          <w:t>https://ec.europa.eu/info/sites/info/files/180131-sustainable-finance-final-report_en.pdf</w:t>
        </w:r>
      </w:hyperlink>
      <w:r>
        <w:rPr>
          <w:rStyle w:val="Hyperlink"/>
        </w:rPr>
        <w:t>.</w:t>
      </w:r>
    </w:p>
  </w:footnote>
  <w:footnote w:id="25">
    <w:p>
      <w:pPr>
        <w:pStyle w:val="FootnoteText"/>
      </w:pPr>
      <w:r>
        <w:rPr>
          <w:rStyle w:val="FootnoteReference"/>
        </w:rPr>
        <w:footnoteRef/>
      </w:r>
      <w:r>
        <w:tab/>
        <w:t>COM(2018) 97 final.</w:t>
      </w:r>
    </w:p>
  </w:footnote>
  <w:footnote w:id="26">
    <w:p>
      <w:pPr>
        <w:pStyle w:val="FootnoteText"/>
      </w:pPr>
      <w:r>
        <w:rPr>
          <w:rStyle w:val="FootnoteReference"/>
        </w:rPr>
        <w:footnoteRef/>
      </w:r>
      <w:r>
        <w:tab/>
        <w:t>Id-Deċiżjoni Nru 1386/2013/UE tal-Parlament Ewropew u tal-Kunsill tal-20 ta’ Novembru 2013 dwar Programm Ġenerali ta’ Azzjoni Ambjentali tal-Unjoni sal-2020 “Ngħixu tajjeb, fil-limiti tal-pjaneta tagħna” (ĠU L 354/171, 28.12.2013).</w:t>
      </w:r>
    </w:p>
  </w:footnote>
  <w:footnote w:id="27">
    <w:p>
      <w:pPr>
        <w:pStyle w:val="FootnoteText"/>
      </w:pPr>
      <w:r>
        <w:rPr>
          <w:rStyle w:val="FootnoteReference"/>
        </w:rPr>
        <w:footnoteRef/>
      </w:r>
      <w:r>
        <w:tab/>
        <w:t>Ir-Regolament (UE) 2017/2396 tal-Parlament Ewropew u tal-Kunsill tat-13 ta’ Diċembru 2017 li jemenda r-Regolamenti (UE) Nru 1316/2013 u (UE) 2015/1017 fir-rigward tal-estensjoni tad-durata tal-Fond Ewropew għall-Investimenti Strateġiċi kif ukoll l-introduzzjoni ta’ titjib tekniku għal dak il-Fond u għaċ-Ċentru Ewropew ta’ Konsulenza għall-Investimenti (ĠU L 345 , 27.12.2017 p.34).</w:t>
      </w:r>
    </w:p>
  </w:footnote>
  <w:footnote w:id="28">
    <w:p>
      <w:pPr>
        <w:pStyle w:val="FootnoteText"/>
      </w:pPr>
      <w:r>
        <w:rPr>
          <w:rStyle w:val="FootnoteReference"/>
        </w:rPr>
        <w:footnoteRef/>
      </w:r>
      <w:r>
        <w:tab/>
        <w:t xml:space="preserve">Id-Direttiva 2009/147/KE tal-Parlament Ewropew u tal-Kunsill tat-30 ta’ Novembru 2009 dwar il-konservazzjoni tal-għasafar selvaġġi (ĠU L 020, 26.1.2010, p. 7). </w:t>
      </w:r>
    </w:p>
  </w:footnote>
  <w:footnote w:id="29">
    <w:p>
      <w:pPr>
        <w:pStyle w:val="FootnoteText"/>
      </w:pPr>
      <w:r>
        <w:rPr>
          <w:rStyle w:val="FootnoteReference"/>
        </w:rPr>
        <w:footnoteRef/>
      </w:r>
      <w:r>
        <w:tab/>
        <w:t>Id-Direttiva tal-Kunsill 92/43/KEE tal- 21 ta' Mejju 1992 dwar il-konservazzjoni tal-habitat naturali u tal-fawna u l-flora selvaġġa (ĠU L 206, 22.7.1992, p. 7).</w:t>
      </w:r>
    </w:p>
  </w:footnote>
  <w:footnote w:id="30">
    <w:p>
      <w:pPr>
        <w:pStyle w:val="FootnoteText"/>
      </w:pPr>
      <w:r>
        <w:rPr>
          <w:rStyle w:val="FootnoteReference"/>
        </w:rPr>
        <w:footnoteRef/>
      </w:r>
      <w:r>
        <w:tab/>
        <w:t>Ir-Regolament (UE) Nru 1143/2014 tal-Parlament Ewropew u tal-Kunsill tat-22 ta' Ottubru 2014 dwar il-prevenzjoni u l-ġestjoni tal-introduzzjoni u t-tixrid ta' speċijiet aljeni invażivi (ĠU L 317, 4.11.2014, p. 35).</w:t>
      </w:r>
    </w:p>
  </w:footnote>
  <w:footnote w:id="31">
    <w:p>
      <w:pPr>
        <w:pStyle w:val="FootnoteText"/>
        <w:tabs>
          <w:tab w:val="left" w:pos="0"/>
        </w:tabs>
      </w:pPr>
      <w:r>
        <w:rPr>
          <w:rStyle w:val="FootnoteReference"/>
        </w:rPr>
        <w:footnoteRef/>
      </w:r>
      <w:r>
        <w:tab/>
        <w:t>Il-Komunikazzjoni mill-Kummissjoni lill-Parlament Ewropew, lill-Kunsill, lill-Kumitat Ekonomiku u Soċjali Ewropew u lill-Kumitat tar-Reġjuni "L-assigurazzjoni ta' ħajjitna, il-kapital naturali tagħna: strateġija tal-UE għall-bijodiversità sal-2020 (COM/2011/0244 final.)</w:t>
      </w:r>
    </w:p>
  </w:footnote>
  <w:footnote w:id="32">
    <w:p>
      <w:pPr>
        <w:pStyle w:val="FootnoteText"/>
      </w:pPr>
      <w:r>
        <w:rPr>
          <w:rStyle w:val="FootnoteReference"/>
        </w:rPr>
        <w:footnoteRef/>
      </w:r>
      <w:r>
        <w:tab/>
      </w:r>
      <w:r>
        <w:rPr>
          <w:rStyle w:val="Strong"/>
          <w:b w:val="0"/>
        </w:rPr>
        <w:t xml:space="preserve">Id-Direttiva tal-Kunsill 91/676/KEE tat-12 ta’ Diċembru 1991 dwar il-protezzjoni tal-ilma kontra t-tniġġis ikkawżat min-nitrati minn sorsi agrikoli </w:t>
      </w:r>
      <w:r>
        <w:t>(ĠU L 375, 31.12.1991, p. 1).</w:t>
      </w:r>
    </w:p>
  </w:footnote>
  <w:footnote w:id="33">
    <w:p>
      <w:pPr>
        <w:pStyle w:val="FootnoteText"/>
      </w:pPr>
      <w:r>
        <w:rPr>
          <w:rStyle w:val="FootnoteReference"/>
        </w:rPr>
        <w:footnoteRef/>
      </w:r>
      <w:r>
        <w:tab/>
      </w:r>
      <w:r>
        <w:rPr>
          <w:rStyle w:val="Strong"/>
          <w:b w:val="0"/>
        </w:rPr>
        <w:t>Ir-Regolament (UE) Nru 511/2014 tal-Parlament Ewropew u tal-Kunsill tas-16 ta' April 2014 dwar miżuri ta' konformità għall-utenti mill-Protokoll ta' Nagoya dwar l-Aċċess għal Riżorsi Ġenetiċi u l-Qsim Ġust u Ekwu ta' Benefiċċji li Jirriżultaw mill-Użu tagħhom fl-Unjoni (</w:t>
      </w:r>
      <w:r>
        <w:t>ĠU L 150, 20.5.2014, p. 59).</w:t>
      </w:r>
    </w:p>
  </w:footnote>
  <w:footnote w:id="34">
    <w:p>
      <w:pPr>
        <w:pStyle w:val="FootnoteText"/>
      </w:pPr>
      <w:r>
        <w:rPr>
          <w:rStyle w:val="FootnoteReference"/>
        </w:rPr>
        <w:footnoteRef/>
      </w:r>
      <w:r>
        <w:tab/>
        <w:t>Ir-Regolament (UE) Nru 995/2010 tal-Parlament Ewropew u tal-Kunsill tal-20 ta' Ottubru 2010 li jistabbilixxi l-obbligi tal-operaturi li jqiegħdu fis-suq injam u prodotti tal-injam (ĠU L 295, 12.11.2010, p. 23).</w:t>
      </w:r>
    </w:p>
  </w:footnote>
  <w:footnote w:id="35">
    <w:p>
      <w:pPr>
        <w:pStyle w:val="FootnoteText"/>
      </w:pPr>
      <w:r>
        <w:rPr>
          <w:rStyle w:val="FootnoteReference"/>
        </w:rPr>
        <w:footnoteRef/>
      </w:r>
      <w:r>
        <w:tab/>
        <w:t>Il-Komunikazzjoni mill-Kummissjoni lill-Kunsill u lill-Parlament Ewropew -  Infurzar tal-Liġi, Tmexxija u Kummerċ fis-Settur Forestali (FLEGT) – Proposta għal Pjan ta' Azzjoni tal-UE (COM/2003/0251 finali).</w:t>
      </w:r>
    </w:p>
  </w:footnote>
  <w:footnote w:id="36">
    <w:p>
      <w:pPr>
        <w:pStyle w:val="FootnoteText"/>
      </w:pPr>
      <w:r>
        <w:rPr>
          <w:rStyle w:val="FootnoteReference"/>
        </w:rPr>
        <w:footnoteRef/>
      </w:r>
      <w:r>
        <w:tab/>
        <w:t>Il-Komunikazzjoni mill-Kummissjoni lill-Parlament Ewropew, lill-Kunsill, lill-Kumitat Ekonomiku u Soċjali Ewropew u lill-Kumitat tar-Reġjuni - Pjan ta’ Azzjoni tal-UE kontra t-Traffikar ta' Organiżmi Selvaġġi (COM/2016/087 final).</w:t>
      </w:r>
    </w:p>
  </w:footnote>
  <w:footnote w:id="37">
    <w:p>
      <w:pPr>
        <w:pStyle w:val="FootnoteText"/>
      </w:pPr>
      <w:r>
        <w:rPr>
          <w:rStyle w:val="FootnoteReference"/>
        </w:rPr>
        <w:footnoteRef/>
      </w:r>
      <w:r>
        <w:tab/>
      </w:r>
      <w:r>
        <w:rPr>
          <w:rStyle w:val="Strong"/>
          <w:b w:val="0"/>
          <w:color w:val="444444"/>
        </w:rPr>
        <w:t>Ir-Regolament (KE) Nru 66/2010 tal-Parlament Ewropew u tal-Kunsill tal-25 ta' Novembru 2009 dwar skema ta' Ekotikketta tal-UE (</w:t>
      </w:r>
      <w:r>
        <w:rPr>
          <w:color w:val="444444"/>
        </w:rPr>
        <w:t>ĠU L 27, 30.1.2010, p. 1).</w:t>
      </w:r>
    </w:p>
  </w:footnote>
  <w:footnote w:id="38">
    <w:p>
      <w:pPr>
        <w:pStyle w:val="FootnoteText"/>
      </w:pPr>
      <w:r>
        <w:rPr>
          <w:rStyle w:val="FootnoteReference"/>
        </w:rPr>
        <w:footnoteRef/>
      </w:r>
      <w:r>
        <w:tab/>
        <w:t>Ir-Regolament (KE) Nru 1221/2009 tal-Parlament Ewropew u tal-Kunsill tal-25 ta’ Novembru 2009 dwar il-parteċipazzjoni volontarja ta’ organizzazzjonijiet fi skema Komunitarja ta’ ġestjoni u verifika ambjentali (EMAS) li jħassar ir-Regolament (KE) Nru 761/2001 u d-Deċiżjonijiet tal-Kummissjoni 2001/681/KE u 2006/193/KE (ĠU L 342, 22.12.2009, pp. 1–45).</w:t>
      </w:r>
    </w:p>
  </w:footnote>
  <w:footnote w:id="39">
    <w:p>
      <w:pPr>
        <w:pStyle w:val="FootnoteText"/>
      </w:pPr>
      <w:r>
        <w:rPr>
          <w:rStyle w:val="FootnoteReference"/>
        </w:rPr>
        <w:footnoteRef/>
      </w:r>
      <w:r>
        <w:tab/>
        <w:t>Il-Kommunikazzjoni mill-Kummissjoni lill-Parlament Ewropew, lill-Kunsill, lill-Kumitat Ekonomiku u Soċjali Ewropew u lill-Kumitat tar-Reġjuni - Akkwist pubbliku għal ambjent aħjar {SEC(2008) 2124} {SEC(2008) 2125} {SEC(2008) 2126} COM/2008/0400 final.</w:t>
      </w:r>
    </w:p>
  </w:footnote>
  <w:footnote w:id="40">
    <w:p>
      <w:pPr>
        <w:pStyle w:val="FootnoteText"/>
      </w:pPr>
      <w:r>
        <w:rPr>
          <w:rStyle w:val="FootnoteReference"/>
        </w:rPr>
        <w:footnoteRef/>
      </w:r>
      <w:r>
        <w:tab/>
        <w:t>2013/179/UE: Ir-Rakkomandazzjoni tal-Kummissjoni tad-9 ta’ April 2013 dwar l-użu ta’ metodi komuni għall-kejl u l-komunikazzjoni tal-prestazzjoni ambjentali taċ-ċiklu tal-ħajja ta' prodotti u ta' organizzazzjonijiet (ĠU 124, 4.5.2013, p. 1-210.)</w:t>
      </w:r>
    </w:p>
  </w:footnote>
  <w:footnote w:id="41">
    <w:p>
      <w:pPr>
        <w:pStyle w:val="FootnoteText"/>
      </w:pPr>
      <w:r>
        <w:rPr>
          <w:rStyle w:val="FootnoteReference"/>
        </w:rPr>
        <w:footnoteRef/>
      </w:r>
      <w:r>
        <w:tab/>
        <w:t>L-Annessi 4 u 5 tar-Regolament (UE) Nru 538/2014 tal-Parlament Ewropew u tal-Kunsill tas-16 ta' April 2014 li jemenda r-Regolament (UE) Nru 691/2011 dwar il-kontijiet ekonomiċi ambjentali Ewropej (ĠU L 158, 27.05.2014).</w:t>
      </w:r>
    </w:p>
  </w:footnote>
  <w:footnote w:id="42">
    <w:p>
      <w:pPr>
        <w:pStyle w:val="FootnoteText"/>
      </w:pPr>
      <w:r>
        <w:rPr>
          <w:rStyle w:val="FootnoteReference"/>
        </w:rPr>
        <w:footnoteRef/>
      </w:r>
      <w:r>
        <w:tab/>
      </w:r>
      <w:r>
        <w:rPr>
          <w:rStyle w:val="Strong"/>
          <w:b w:val="0"/>
        </w:rPr>
        <w:t>Id-Direttiva 2001/42/KE tal-Parlament Ewropew u tal-Kunsill tas-27 ta' Ġunju 2001 dwar l-istima tal-effetti ta' ċerti pjanijiet u programmi fuq l-ambjent (</w:t>
      </w:r>
      <w:r>
        <w:t>ĠU L 197, 21.7.2001, p. 30).</w:t>
      </w:r>
    </w:p>
  </w:footnote>
  <w:footnote w:id="43">
    <w:p>
      <w:pPr>
        <w:pStyle w:val="FootnoteText"/>
      </w:pPr>
      <w:r>
        <w:rPr>
          <w:rStyle w:val="FootnoteReference"/>
        </w:rPr>
        <w:footnoteRef/>
      </w:r>
      <w:r>
        <w:tab/>
      </w:r>
      <w:r>
        <w:rPr>
          <w:rStyle w:val="Strong"/>
          <w:b w:val="0"/>
        </w:rPr>
        <w:t>Id-Direttiva 2011/92/UE tal-Parlament Ewropew u tal-Kunsill tat-13 ta' Diċembru 2011 dwar l-istima tal-effetti ta' ċerti proġetti pubbliċi u privati fuq l-ambjent (</w:t>
      </w:r>
      <w:r>
        <w:t>ĠU L 26, 28.1.2012, p. 1).</w:t>
      </w:r>
    </w:p>
  </w:footnote>
  <w:footnote w:id="44">
    <w:p>
      <w:pPr>
        <w:pStyle w:val="FootnoteText"/>
      </w:pPr>
      <w:r>
        <w:rPr>
          <w:rStyle w:val="FootnoteReference"/>
        </w:rPr>
        <w:footnoteRef/>
      </w:r>
      <w:r>
        <w:tab/>
      </w:r>
      <w:r>
        <w:rPr>
          <w:rStyle w:val="Strong"/>
          <w:b w:val="0"/>
        </w:rPr>
        <w:t>Id-Direttiva 2014/23/KE tal-Parlament Ewropew u tal-Kunsill tas-26 ta' Frar 2014 dwar l-għoti ta' kuntratti ta' konċessjoni (</w:t>
      </w:r>
      <w:r>
        <w:t>ĠU L 94, 28.3.2014, p. 1).</w:t>
      </w:r>
    </w:p>
  </w:footnote>
  <w:footnote w:id="45">
    <w:p>
      <w:pPr>
        <w:pStyle w:val="FootnoteText"/>
        <w:rPr>
          <w:u w:val="single"/>
        </w:rPr>
      </w:pPr>
      <w:r>
        <w:rPr>
          <w:rStyle w:val="FootnoteReference"/>
        </w:rPr>
        <w:footnoteRef/>
      </w:r>
      <w:r>
        <w:tab/>
      </w:r>
      <w:r>
        <w:rPr>
          <w:rStyle w:val="Strong"/>
          <w:b w:val="0"/>
        </w:rPr>
        <w:t>Id-Direttiva 2014/24/UE tal-Parlament Ewropew u tal-Kunsill tas-26 ta' Frar 2014 dwar l-akkwist pubbliku u li tħassar id-Direttiva 2004/18/KE (</w:t>
      </w:r>
      <w:r>
        <w:t>ĠU L 94, 28.3.2014, p. 65).</w:t>
      </w:r>
    </w:p>
  </w:footnote>
  <w:footnote w:id="46">
    <w:p>
      <w:pPr>
        <w:pStyle w:val="FootnoteText"/>
      </w:pPr>
      <w:r>
        <w:rPr>
          <w:rStyle w:val="FootnoteReference"/>
        </w:rPr>
        <w:footnoteRef/>
      </w:r>
      <w:r>
        <w:tab/>
      </w:r>
      <w:r>
        <w:rPr>
          <w:rStyle w:val="Strong"/>
          <w:b w:val="0"/>
        </w:rPr>
        <w:t>Id-Direttiva 2014/25/UE tal-Parlament Ewropew u tal-Kunsill tas-26 ta’ Frar 2014 dwar l-akkwist minn entitajiet li joperaw fis-setturi tas-servizzi tal-ilma, l-enerġija, it-trasport u postali u li tħassar id-Direttiva 2004/17/KE (</w:t>
      </w:r>
      <w:r>
        <w:t>ĠU L 94, 28.3.2014, p. 243).</w:t>
      </w:r>
    </w:p>
  </w:footnote>
  <w:footnote w:id="47">
    <w:p>
      <w:pPr>
        <w:pStyle w:val="FootnoteText"/>
      </w:pPr>
      <w:r>
        <w:rPr>
          <w:rStyle w:val="FootnoteReference"/>
        </w:rPr>
        <w:footnoteRef/>
      </w:r>
      <w:r>
        <w:tab/>
        <w:t>https://www.unpri.org/download?ac=1534.</w:t>
      </w:r>
    </w:p>
  </w:footnote>
  <w:footnote w:id="48">
    <w:p>
      <w:pPr>
        <w:pStyle w:val="FootnoteText"/>
      </w:pPr>
      <w:r>
        <w:rPr>
          <w:rStyle w:val="FootnoteReference"/>
        </w:rPr>
        <w:footnoteRef/>
      </w:r>
      <w:r>
        <w:tab/>
        <w:t>COM(2018) 97 final.</w:t>
      </w:r>
    </w:p>
  </w:footnote>
  <w:footnote w:id="49">
    <w:p>
      <w:pPr>
        <w:pStyle w:val="FootnoteText"/>
      </w:pPr>
      <w:r>
        <w:rPr>
          <w:rStyle w:val="FootnoteReference"/>
        </w:rPr>
        <w:footnoteRef/>
      </w:r>
      <w:r>
        <w:tab/>
        <w:t>Ir-Regolament (UE) Nru 525/2013 tal-Parlament Ewropew u tal-Kunsill dwar mekkaniżmu għall-monitoraġġ u r-rapportar ta’ emissjonijiet ta’ gassijiet serra u għar-rapportar ta’ informazzjoni oħra relatata mat-tibdil fil-klima fil-livelli nazzjonali u tal-Unjoni u li jħassar id-Deċiżjoni Nru 280/2004/KE (ĠU L 165, 18.6.2013 p. 13).</w:t>
      </w:r>
    </w:p>
  </w:footnote>
  <w:footnote w:id="50">
    <w:p>
      <w:pPr>
        <w:pStyle w:val="FootnoteText"/>
      </w:pPr>
      <w:r>
        <w:rPr>
          <w:rStyle w:val="FootnoteReference"/>
        </w:rPr>
        <w:footnoteRef/>
      </w:r>
      <w:r>
        <w:tab/>
        <w:t>Id-Direttiva 2008/98/KE tal-Parlament Ewropew u tal-Kunsill tad-19 ta’ Novembru 2008 dwar l-iskart u li tħassar ċerti Direttivi (ĠU L 312, 22.11.2008, p. 3).</w:t>
      </w:r>
    </w:p>
  </w:footnote>
  <w:footnote w:id="51">
    <w:p>
      <w:pPr>
        <w:pStyle w:val="FootnoteText"/>
      </w:pPr>
      <w:r>
        <w:rPr>
          <w:rStyle w:val="FootnoteReference"/>
        </w:rPr>
        <w:footnoteRef/>
      </w:r>
      <w:r>
        <w:tab/>
        <w:t>Id-Direttiva 2008/56/KE tal-Parlament Ewropew u tal-Kunsill tas-17 ta' Ġunju 2008 li tistabbilixxi Qafas għal Azzjoni Komunitarja fil-qasam tal-Politika tal-Ambjent Marin (Direttiva Kwadru dwar l-Istrateġija Marina) (ĠU L 164, 25.6.2008, p. 19-40).</w:t>
      </w:r>
    </w:p>
  </w:footnote>
  <w:footnote w:id="52">
    <w:p>
      <w:pPr>
        <w:pStyle w:val="FootnoteText"/>
      </w:pPr>
      <w:r>
        <w:rPr>
          <w:rStyle w:val="FootnoteReference"/>
        </w:rPr>
        <w:footnoteRef/>
      </w:r>
      <w:r>
        <w:tab/>
      </w:r>
      <w:r>
        <w:rPr>
          <w:rStyle w:val="Strong"/>
          <w:b w:val="0"/>
          <w:color w:val="444444"/>
          <w:sz w:val="19"/>
        </w:rPr>
        <w:t>Id-Direttiva 2000/60/KE tal-Parlament Ewropew u tal-Kunsill tat-23 ta' Ottubru 2000 li tistabbilixxi qafas għal azzjoni Komunitarja fil-qasam tal-politika tal-ilma (</w:t>
      </w:r>
      <w:r>
        <w:rPr>
          <w:color w:val="444444"/>
        </w:rPr>
        <w:t>ĠU L 327, 22.12.2000, p. 1).</w:t>
      </w:r>
    </w:p>
  </w:footnote>
  <w:footnote w:id="53">
    <w:p>
      <w:pPr>
        <w:pStyle w:val="FootnoteText"/>
      </w:pPr>
      <w:r>
        <w:rPr>
          <w:rStyle w:val="FootnoteReference"/>
        </w:rPr>
        <w:footnoteRef/>
      </w:r>
      <w:r>
        <w:tab/>
        <w:t>Id-Direttiva tal-Kunsill 91/271/KEE tal-21 ta' Mejju 1991 dwar it-trattament tal-ilma urban mormi (ĠU L 135, 30.5.1991, p. 40).</w:t>
      </w:r>
    </w:p>
  </w:footnote>
  <w:footnote w:id="54">
    <w:p>
      <w:pPr>
        <w:pStyle w:val="FootnoteText"/>
      </w:pPr>
      <w:r>
        <w:rPr>
          <w:rStyle w:val="FootnoteReference"/>
        </w:rPr>
        <w:footnoteRef/>
      </w:r>
      <w:r>
        <w:tab/>
        <w:t xml:space="preserve">Id-Direttiva tal-Kunsill 98/83/KE tat-3 ta' Novembru 1998 dwar il-kwalità tal-ilma maħsub għall-konsum mill-bniedem (ĠU L 330, 5.12.1998, p. 32). </w:t>
      </w:r>
    </w:p>
  </w:footnote>
  <w:footnote w:id="55">
    <w:p>
      <w:pPr>
        <w:pStyle w:val="FootnoteText"/>
      </w:pPr>
      <w:r>
        <w:rPr>
          <w:rStyle w:val="FootnoteReference"/>
        </w:rPr>
        <w:footnoteRef/>
      </w:r>
      <w:r>
        <w:tab/>
        <w:t>Id-Deċiżjoni tal-Kummissjoni (UE) 2017/848 tas-17 ta' Mejju 2017 li tistabbilixxi kriterji u standards metodoloġiċi ta' status ambjentali tajjeb tal-ilmijiet tal-baħar, kif ukoll speċifikazzjonijiet u metodi standardizzati għall-monitoraġġ u l-valutazzjoni, u li tħassar id-Deċiżjoni 2010/477/UE (ĠU L 125, 18.5.2017, p. 43.)</w:t>
      </w:r>
    </w:p>
  </w:footnote>
  <w:footnote w:id="56">
    <w:p>
      <w:pPr>
        <w:pStyle w:val="FootnoteText"/>
        <w:rPr>
          <w:szCs w:val="24"/>
        </w:rPr>
      </w:pPr>
      <w:r>
        <w:rPr>
          <w:rStyle w:val="FootnoteReference"/>
        </w:rPr>
        <w:footnoteRef/>
      </w:r>
      <w:r>
        <w:tab/>
        <w:t>Kif imsemmi fl-Artikolu 54(2)(a) jew (b) tar-Regolament Finanzjarju.</w:t>
      </w:r>
    </w:p>
  </w:footnote>
  <w:footnote w:id="57">
    <w:p>
      <w:pPr>
        <w:pStyle w:val="FootnoteText"/>
        <w:rPr>
          <w:szCs w:val="24"/>
        </w:rPr>
      </w:pPr>
      <w:r>
        <w:rPr>
          <w:rStyle w:val="FootnoteReference"/>
        </w:rPr>
        <w:footnoteRef/>
      </w:r>
      <w:r>
        <w:tab/>
        <w:t xml:space="preserve">Id-dettalji tal-modi ta’ ġestjoni u r-referenzi għar-Regolament Finanzjarju jinsabu fuq is-sit BudgWeb: </w:t>
      </w:r>
      <w:hyperlink r:id="rId5">
        <w:r>
          <w:rPr>
            <w:rStyle w:val="Hyperlink"/>
          </w:rPr>
          <w:t>https://myintracomm.ec.europa.eu/budgweb/MT/man/budgmanag/Pages/budgmanag.aspx</w:t>
        </w:r>
      </w:hyperlink>
      <w:r>
        <w:t>.</w:t>
      </w:r>
    </w:p>
  </w:footnote>
  <w:footnote w:id="58">
    <w:p>
      <w:pPr>
        <w:pStyle w:val="FootnoteText"/>
        <w:rPr>
          <w:szCs w:val="24"/>
        </w:rPr>
      </w:pPr>
      <w:r>
        <w:rPr>
          <w:rStyle w:val="FootnoteReference"/>
        </w:rPr>
        <w:footnoteRef/>
      </w:r>
      <w:r>
        <w:tab/>
        <w:t>Diff. = Approprjazzjonijiet differenzjati / Mhux diff. = Approprjazzjonijiet mhux differenzjati</w:t>
      </w:r>
    </w:p>
  </w:footnote>
  <w:footnote w:id="59">
    <w:p>
      <w:pPr>
        <w:pStyle w:val="FootnoteText"/>
        <w:rPr>
          <w:szCs w:val="24"/>
        </w:rPr>
      </w:pPr>
      <w:r>
        <w:rPr>
          <w:rStyle w:val="FootnoteReference"/>
        </w:rPr>
        <w:footnoteRef/>
      </w:r>
      <w:r>
        <w:tab/>
        <w:t xml:space="preserve">EFTA: Assoċjazzjoni Ewropea tal-Kummerċ Ħieles </w:t>
      </w:r>
    </w:p>
  </w:footnote>
  <w:footnote w:id="60">
    <w:p>
      <w:pPr>
        <w:pStyle w:val="FootnoteText"/>
        <w:rPr>
          <w:szCs w:val="24"/>
        </w:rPr>
      </w:pPr>
      <w:r>
        <w:rPr>
          <w:rStyle w:val="FootnoteReference"/>
        </w:rPr>
        <w:footnoteRef/>
      </w:r>
      <w:r>
        <w:tab/>
        <w:t>Pajjiżi kandidati u, meta applikabbli, kandidati potenzjali mill-Balkani tal-Punent.</w:t>
      </w:r>
    </w:p>
  </w:footnote>
  <w:footnote w:id="61">
    <w:p>
      <w:pPr>
        <w:pStyle w:val="FootnoteText"/>
        <w:rPr>
          <w:szCs w:val="24"/>
        </w:rPr>
      </w:pPr>
      <w:r>
        <w:rPr>
          <w:rStyle w:val="FootnoteReference"/>
        </w:rPr>
        <w:footnoteRef/>
      </w:r>
      <w:r>
        <w:tab/>
        <w:t>Diff. = Approprjazzjonijiet differenzjati / Mhux diff. = Approprjazzjonijiet mhux differenzjati</w:t>
      </w:r>
    </w:p>
  </w:footnote>
  <w:footnote w:id="62">
    <w:p>
      <w:pPr>
        <w:pStyle w:val="FootnoteText"/>
        <w:rPr>
          <w:szCs w:val="24"/>
        </w:rPr>
      </w:pPr>
      <w:r>
        <w:rPr>
          <w:rStyle w:val="FootnoteReference"/>
        </w:rPr>
        <w:footnoteRef/>
      </w:r>
      <w:r>
        <w:tab/>
        <w:t xml:space="preserve">EFTA: Assoċjazzjoni Ewropea tal-Kummerċ Ħieles </w:t>
      </w:r>
    </w:p>
  </w:footnote>
  <w:footnote w:id="63">
    <w:p>
      <w:pPr>
        <w:pStyle w:val="FootnoteText"/>
        <w:rPr>
          <w:szCs w:val="24"/>
        </w:rPr>
      </w:pPr>
      <w:r>
        <w:rPr>
          <w:rStyle w:val="FootnoteReference"/>
        </w:rPr>
        <w:footnoteRef/>
      </w:r>
      <w:r>
        <w:tab/>
        <w:t>Pajjiżi kandidati u, meta applikabbli, kandidati potenzjali mill-Balkani tal-Punent.</w:t>
      </w:r>
    </w:p>
  </w:footnote>
  <w:footnote w:id="64">
    <w:p>
      <w:pPr>
        <w:pStyle w:val="FootnoteText"/>
        <w:rPr>
          <w:szCs w:val="24"/>
        </w:rPr>
      </w:pPr>
      <w:r>
        <w:rPr>
          <w:rStyle w:val="FootnoteReference"/>
        </w:rPr>
        <w:footnoteRef/>
      </w:r>
      <w:r>
        <w:tab/>
        <w:t>Diff. = Approprjazzjonijiet differenzjati / Mhux diff. = Approprjazzjonijiet mhux differenzjati</w:t>
      </w:r>
    </w:p>
  </w:footnote>
  <w:footnote w:id="65">
    <w:p>
      <w:pPr>
        <w:pStyle w:val="FootnoteText"/>
        <w:rPr>
          <w:szCs w:val="24"/>
        </w:rPr>
      </w:pPr>
      <w:r>
        <w:rPr>
          <w:rStyle w:val="FootnoteReference"/>
        </w:rPr>
        <w:footnoteRef/>
      </w:r>
      <w:r>
        <w:tab/>
        <w:t xml:space="preserve">EFTA: Assoċjazzjoni Ewropea tal-Kummerċ Ħieles </w:t>
      </w:r>
    </w:p>
  </w:footnote>
  <w:footnote w:id="66">
    <w:p>
      <w:pPr>
        <w:pStyle w:val="FootnoteText"/>
        <w:rPr>
          <w:szCs w:val="24"/>
        </w:rPr>
      </w:pPr>
      <w:r>
        <w:rPr>
          <w:rStyle w:val="FootnoteReference"/>
        </w:rPr>
        <w:footnoteRef/>
      </w:r>
      <w:r>
        <w:tab/>
        <w:t>Pajjiżi kandidati u, meta applikabbli, kandidati potenzjali mill-Balkani tal-Punent.</w:t>
      </w:r>
    </w:p>
  </w:footnote>
  <w:footnote w:id="67">
    <w:p>
      <w:pPr>
        <w:pStyle w:val="FootnoteText"/>
      </w:pPr>
      <w:r>
        <w:rPr>
          <w:rStyle w:val="FootnoteReference"/>
        </w:rPr>
        <w:footnoteRef/>
      </w:r>
      <w:r>
        <w:tab/>
        <w:t>Id-differenza żgħira fl-ammont totali hija minħabba t-tqarrib ta’ numri sa tliet pożizzjonijiet deċimali.</w:t>
      </w:r>
    </w:p>
  </w:footnote>
  <w:footnote w:id="68">
    <w:p>
      <w:pPr>
        <w:pStyle w:val="FootnoteText"/>
        <w:jc w:val="left"/>
      </w:pPr>
      <w:r>
        <w:rPr>
          <w:rStyle w:val="FootnoteReference"/>
        </w:rPr>
        <w:footnoteRef/>
      </w:r>
      <w:r>
        <w:tab/>
        <w:t>In-nefqa għall-perjodu ta’ wara l-2020 huwa kompatibbli mal-proposti tal-Kummissjoni għall-Qafas Finanzjarju Pluriennali li jmiss (2021-2027) ippubblikati fit-2 ta’ Mejju 2018.</w:t>
      </w:r>
    </w:p>
  </w:footnote>
  <w:footnote w:id="69">
    <w:p>
      <w:pPr>
        <w:pStyle w:val="FootnoteText"/>
      </w:pPr>
      <w:r>
        <w:rPr>
          <w:rStyle w:val="FootnoteReference"/>
        </w:rPr>
        <w:footnoteRef/>
      </w:r>
      <w:r>
        <w:tab/>
        <w:t>L-għadd ta’ snin sabiex jitlesta x-xogħol tal-Pjattaforma ma jistax jiġi stmat għalissa; għalhekk, it-tabella turi l-impatt fuq in-nefqa għall-ewwel erba’ snin ta’ eżistenza tal-Pjattaforma biss. Huwa mistenni li l-Pjattaforma se teżisti mill-inqas matul il-perjodu tal-QFP li jmiss (jiġifieri sal-2027).</w:t>
      </w:r>
    </w:p>
  </w:footnote>
  <w:footnote w:id="70">
    <w:p>
      <w:pPr>
        <w:pStyle w:val="FootnoteText"/>
      </w:pPr>
      <w:r>
        <w:rPr>
          <w:rStyle w:val="FootnoteReference"/>
        </w:rPr>
        <w:footnoteRef/>
      </w:r>
      <w:r>
        <w:tab/>
        <w:t>In-nefqa għall-perjodu ta’ wara l-2020 huwa kompatibbli mal-proposti tal-Kummissjoni għall-Qafas Finanzjarju Pluriennali li jmiss (2021-2027) ippubblikati fit-2 ta’ Mejju 2018.</w:t>
      </w:r>
    </w:p>
  </w:footnote>
  <w:footnote w:id="71">
    <w:p>
      <w:pPr>
        <w:pStyle w:val="FootnoteText"/>
      </w:pPr>
      <w:r>
        <w:rPr>
          <w:rStyle w:val="FootnoteReference"/>
        </w:rPr>
        <w:footnoteRef/>
      </w:r>
      <w:r>
        <w:tab/>
        <w:t>L-għadd ta’ snin sabiex jitlesta x-xogħol tal-Pjattaforma ma jistax jiġi stmat għalissa; għalhekk, it-tabella turi l-impatt fuq in-nefqa għall-ewwel erba’ snin ta’ eżistenza tal-Pjattaforma biss. Huwa mistenni li l-Pjattaforma se teżisti mill-inqas matul il-perjodu tal-QFP li jmiss (jiġifieri sal-2027).</w:t>
      </w:r>
    </w:p>
  </w:footnote>
  <w:footnote w:id="72">
    <w:p>
      <w:pPr>
        <w:pStyle w:val="FootnoteText"/>
        <w:rPr>
          <w:szCs w:val="24"/>
        </w:rPr>
      </w:pPr>
      <w:r>
        <w:rPr>
          <w:rStyle w:val="FootnoteReference"/>
        </w:rPr>
        <w:footnoteRef/>
      </w:r>
      <w:r>
        <w:tab/>
        <w:t>L-outputs huma l-prodotti u s-servizzi li għandhom jiġu pprovduti (pereżempju l-għadd ta’ skambji ta’ studenti ffinanzjati, l-għadd ta’ kilometri ta’ toroq mibnija, eċċ.).</w:t>
      </w:r>
    </w:p>
  </w:footnote>
  <w:footnote w:id="73">
    <w:p>
      <w:pPr>
        <w:pStyle w:val="FootnoteText"/>
        <w:rPr>
          <w:szCs w:val="24"/>
        </w:rPr>
      </w:pPr>
      <w:r>
        <w:rPr>
          <w:rStyle w:val="FootnoteReference"/>
        </w:rPr>
        <w:footnoteRef/>
      </w:r>
      <w:r>
        <w:tab/>
        <w:t>Kif deskritt fil-punt 1.4.2. “Għan(ijiet) speċifiku / speċifiċi…”.</w:t>
      </w:r>
    </w:p>
  </w:footnote>
  <w:footnote w:id="74">
    <w:p>
      <w:pPr>
        <w:pStyle w:val="FootnoteText"/>
        <w:rPr>
          <w:szCs w:val="24"/>
        </w:rPr>
      </w:pPr>
      <w:r>
        <w:rPr>
          <w:rStyle w:val="FootnoteReference"/>
        </w:rPr>
        <w:footnoteRef/>
      </w:r>
      <w:r>
        <w:tab/>
        <w:t>L-outputs huma l-prodotti u s-servizzi li għandhom jiġu pprovduti (pereżempju l-għadd ta’ skambji ta’ studenti ffinanzjati, l-għadd ta’ kilometri ta’ toroq mibnija, eċċ.).</w:t>
      </w:r>
    </w:p>
  </w:footnote>
  <w:footnote w:id="75">
    <w:p>
      <w:pPr>
        <w:pStyle w:val="FootnoteText"/>
        <w:rPr>
          <w:szCs w:val="24"/>
        </w:rPr>
      </w:pPr>
      <w:r>
        <w:rPr>
          <w:rStyle w:val="FootnoteReference"/>
        </w:rPr>
        <w:footnoteRef/>
      </w:r>
      <w:r>
        <w:tab/>
        <w:t>Kif deskritt fil-punt 1.4.2. “Għan(ijiet) speċifiku / speċifiċi…”.</w:t>
      </w:r>
    </w:p>
  </w:footnote>
  <w:footnote w:id="76">
    <w:p>
      <w:pPr>
        <w:pStyle w:val="FootnoteText"/>
        <w:rPr>
          <w:szCs w:val="24"/>
        </w:rPr>
      </w:pPr>
      <w:r>
        <w:rPr>
          <w:rStyle w:val="FootnoteReference"/>
        </w:rPr>
        <w:footnoteRef/>
      </w:r>
      <w:r>
        <w:tab/>
        <w:t>L-outputs huma l-prodotti u s-servizzi li għandhom jiġu pprovduti (pereżempju l-għadd ta’ skambji ta’ studenti ffinanzjati, l-għadd ta’ kilometri ta’ toroq mibnija, eċċ.).</w:t>
      </w:r>
    </w:p>
  </w:footnote>
  <w:footnote w:id="77">
    <w:p>
      <w:pPr>
        <w:pStyle w:val="FootnoteText"/>
        <w:rPr>
          <w:szCs w:val="24"/>
        </w:rPr>
      </w:pPr>
      <w:r>
        <w:rPr>
          <w:rStyle w:val="FootnoteReference"/>
        </w:rPr>
        <w:footnoteRef/>
      </w:r>
      <w:r>
        <w:tab/>
        <w:t>Kif deskritt fil-punt 1.4.2. “Għan(ijiet) speċifiku / speċifiċi…”.</w:t>
      </w:r>
    </w:p>
  </w:footnote>
  <w:footnote w:id="78">
    <w:p>
      <w:pPr>
        <w:pStyle w:val="FootnoteText"/>
        <w:rPr>
          <w:szCs w:val="24"/>
        </w:rPr>
      </w:pPr>
      <w:r>
        <w:rPr>
          <w:rStyle w:val="FootnoteReference"/>
        </w:rPr>
        <w:footnoteRef/>
      </w:r>
      <w:r>
        <w:tab/>
        <w:t>L-outputs huma l-prodotti u s-servizzi li għandhom jiġu pprovduti (pereżempju l-għadd ta’ skambji ta’ studenti ffinanzjati, l-għadd ta’ kilometri ta’ toroq mibnija, eċċ.).</w:t>
      </w:r>
    </w:p>
  </w:footnote>
  <w:footnote w:id="79">
    <w:p>
      <w:pPr>
        <w:pStyle w:val="FootnoteText"/>
        <w:rPr>
          <w:szCs w:val="24"/>
        </w:rPr>
      </w:pPr>
      <w:r>
        <w:rPr>
          <w:rStyle w:val="FootnoteReference"/>
        </w:rPr>
        <w:footnoteRef/>
      </w:r>
      <w:r>
        <w:tab/>
        <w:t>Kif deskritt fil-punt 1.4.2. “Għan(ijiet) speċifiku / speċifiċi…”.</w:t>
      </w:r>
    </w:p>
  </w:footnote>
  <w:footnote w:id="80">
    <w:p>
      <w:pPr>
        <w:pStyle w:val="FootnoteText"/>
        <w:rPr>
          <w:szCs w:val="24"/>
        </w:rPr>
      </w:pPr>
      <w:r>
        <w:rPr>
          <w:rStyle w:val="FootnoteReference"/>
        </w:rPr>
        <w:footnoteRef/>
      </w:r>
      <w:r>
        <w:tab/>
        <w:t>L-outputs huma l-prodotti u s-servizzi li għandhom jiġu pprovduti (pereżempju l-għadd ta’ skambji ta’ studenti ffinanzjati, l-għadd ta’ kilometri ta’ toroq mibnija, eċċ.).</w:t>
      </w:r>
    </w:p>
  </w:footnote>
  <w:footnote w:id="81">
    <w:p>
      <w:pPr>
        <w:pStyle w:val="FootnoteText"/>
        <w:rPr>
          <w:szCs w:val="24"/>
        </w:rPr>
      </w:pPr>
      <w:r>
        <w:rPr>
          <w:rStyle w:val="FootnoteReference"/>
        </w:rPr>
        <w:footnoteRef/>
      </w:r>
      <w:r>
        <w:tab/>
        <w:t>Kif deskritt fil-punt 1.4.2. “Għan(ijiet) speċifiku / speċifiċi…”.</w:t>
      </w:r>
    </w:p>
  </w:footnote>
  <w:footnote w:id="82">
    <w:p>
      <w:pPr>
        <w:pStyle w:val="FootnoteText"/>
        <w:rPr>
          <w:szCs w:val="24"/>
        </w:rPr>
      </w:pPr>
      <w:r>
        <w:rPr>
          <w:rStyle w:val="FootnoteReference"/>
        </w:rPr>
        <w:footnoteRef/>
      </w:r>
      <w:r>
        <w:tab/>
        <w:t>L-outputs huma l-prodotti u s-servizzi li għandhom jiġu pprovduti (pereżempju l-għadd ta’ skambji ta’ studenti ffinanzjati, l-għadd ta’ kilometri ta’ toroq mibnija, eċċ.).</w:t>
      </w:r>
    </w:p>
  </w:footnote>
  <w:footnote w:id="83">
    <w:p>
      <w:pPr>
        <w:pStyle w:val="FootnoteText"/>
      </w:pPr>
      <w:r>
        <w:rPr>
          <w:rStyle w:val="FootnoteReference"/>
        </w:rPr>
        <w:footnoteRef/>
      </w:r>
      <w:r>
        <w:tab/>
        <w:t>In-nefqa għall-perjodu ta’ wara l-2020 huwa kompatibbli mal-proposti tal-Kummissjoni għall-Qafas Finanzjarju Pluriennali li jmiss (2021-2027) ippubblikati fit-2 ta’ Mejju 2018.</w:t>
      </w:r>
    </w:p>
  </w:footnote>
  <w:footnote w:id="84">
    <w:p>
      <w:pPr>
        <w:pStyle w:val="FootnoteText"/>
      </w:pPr>
      <w:r>
        <w:rPr>
          <w:rStyle w:val="FootnoteReference"/>
        </w:rPr>
        <w:footnoteRef/>
      </w:r>
      <w:r>
        <w:tab/>
        <w:t xml:space="preserve">L-għadd ta’ snin sabiex jitlesta x-xogħol tal-Pjattaforma ma jistax jiġi stmat għalissa; għalhekk, it-tabella turi l-impatt fuq in-nefqa għall-ewwel erba’ snin ta’ eżistenza tal-Pjattaforma biss. Huwa mistenni li l-Pjattaforma se teżisti mill-inqas matul il-perjodu tal-QFP li jmiss (jiġifieri sal-2027). </w:t>
      </w:r>
    </w:p>
  </w:footnote>
  <w:footnote w:id="85">
    <w:p>
      <w:pPr>
        <w:pStyle w:val="FootnoteText"/>
      </w:pPr>
      <w:r>
        <w:rPr>
          <w:rStyle w:val="FootnoteReference"/>
        </w:rPr>
        <w:footnoteRef/>
      </w:r>
      <w:r>
        <w:tab/>
        <w:t>Ir-riżorsi umani rikjesti  se jiġu koperti mill-persunal tad-DĠ li diġà jkun assenjat għall-ġestjoni tal-azzjoni u / jew li diġà jkun ġie riassenjat fid-DĠ, flimkien, jekk ikun meħtieġ, ma’ kwalunkwe allokazzjoni addizzjonali li tista’ tingħata lid-DĠ tal-ġestjoni skont il-proċedura annwali ta’ allokazzjoni u fid-dawl tal-limitazzjonijiet baġitarji.</w:t>
      </w:r>
    </w:p>
  </w:footnote>
  <w:footnote w:id="86">
    <w:p>
      <w:pPr>
        <w:pStyle w:val="FootnoteText"/>
        <w:rPr>
          <w:szCs w:val="24"/>
        </w:rPr>
      </w:pPr>
      <w:r>
        <w:rPr>
          <w:rStyle w:val="FootnoteReference"/>
        </w:rPr>
        <w:footnoteRef/>
      </w:r>
      <w:r>
        <w:tab/>
      </w:r>
    </w:p>
  </w:footnote>
  <w:footnote w:id="87">
    <w:p>
      <w:pPr>
        <w:pStyle w:val="FootnoteText"/>
      </w:pPr>
      <w:r>
        <w:rPr>
          <w:rStyle w:val="FootnoteReference"/>
        </w:rPr>
        <w:footnoteRef/>
      </w:r>
      <w:r>
        <w:tab/>
        <w:t>In-nefqa għall-perjodu ta’ wara l-2020 huwa kompatibbli mal-proposti tal-Kummissjoni għall-Qafas Finanzjarju Pluriennali li jmiss (2021-2027) ippubblikati fit-2 ta’ Mejju 2018.</w:t>
      </w:r>
    </w:p>
  </w:footnote>
  <w:footnote w:id="88">
    <w:p>
      <w:pPr>
        <w:pStyle w:val="FootnoteText"/>
      </w:pPr>
      <w:r>
        <w:rPr>
          <w:rStyle w:val="FootnoteReference"/>
        </w:rPr>
        <w:footnoteRef/>
      </w:r>
      <w:r>
        <w:tab/>
        <w:t>L-għadd ta’ snin sabiex jitlesta x-xogħol tal-Pjattaforma ma jistax jiġi stmat għalissa; għalhekk, it-tabella turi l-impatt fuq in-nefqa għall-ewwel erba’ snin ta’ eżistenza tal-Pjattaforma biss. Huwa mistenni li l-Pjattaforma se teżisti mill-inqas matul il-perjodu tal-QFP li jmiss (jiġifieri sal-2027).</w:t>
      </w:r>
    </w:p>
  </w:footnote>
  <w:footnote w:id="89">
    <w:p>
      <w:pPr>
        <w:pStyle w:val="FootnoteText"/>
      </w:pPr>
      <w:r>
        <w:rPr>
          <w:rStyle w:val="FootnoteReference"/>
        </w:rPr>
        <w:footnoteRef/>
      </w:r>
      <w:r>
        <w:tab/>
        <w:t>Ir-riżorsi umani rikjesti  se jiġu koperti mill-persunal tad-DĠ li diġà jkun assenjat għall-ġestjoni tal-azzjoni u / jew li diġà jkun ġie riassenjat fid-DĠ, flimkien, jekk ikun meħtieġ, ma’ kwalunkwe allokazzjoni addizzjonali li tista’ tingħata lid-DĠ tal-ġestjoni skont il-proċedura annwali ta’ allokazzjoni u fid-dawl tal-limitazzjonijiet baġitarji.</w:t>
      </w:r>
    </w:p>
  </w:footnote>
  <w:footnote w:id="90">
    <w:p>
      <w:pPr>
        <w:pStyle w:val="FootnoteText"/>
        <w:rPr>
          <w:szCs w:val="24"/>
        </w:rPr>
      </w:pPr>
      <w:r>
        <w:rPr>
          <w:rStyle w:val="FootnoteReference"/>
        </w:rPr>
        <w:footnoteRef/>
      </w:r>
      <w:r>
        <w:tab/>
        <w:t xml:space="preserve">AC = Aġenti Kuntrattwali; AL = Persunal Lokali; END = Espert Nazzjonali Sekondat; INT= Persunal tal-aġenzija; JPD = Esperti Subordinati fid-Delegazzjonijiet. </w:t>
      </w:r>
    </w:p>
  </w:footnote>
  <w:footnote w:id="91">
    <w:p>
      <w:pPr>
        <w:pStyle w:val="FootnoteText"/>
        <w:rPr>
          <w:szCs w:val="24"/>
        </w:rPr>
      </w:pPr>
      <w:r>
        <w:rPr>
          <w:rStyle w:val="FootnoteReference"/>
        </w:rPr>
        <w:footnoteRef/>
      </w:r>
      <w:r>
        <w:tab/>
        <w:t>Sottolimitu għall-persunal estern kopert mill-approprjazzjonijiet operazzjonali (dawk li kienu l-linji "BA").</w:t>
      </w:r>
    </w:p>
  </w:footnote>
  <w:footnote w:id="92">
    <w:p>
      <w:pPr>
        <w:pStyle w:val="FootnoteText"/>
        <w:rPr>
          <w:szCs w:val="24"/>
        </w:rPr>
      </w:pPr>
      <w:r>
        <w:rPr>
          <w:rStyle w:val="FootnoteReference"/>
        </w:rPr>
        <w:footnoteRef/>
      </w:r>
      <w:r>
        <w:tab/>
        <w:t>Prinċipalment għall-Fondi Strutturali, għall-Fond Agrikolu Ewropew għall-Iżvilupp Rurali (FAEŻR) u għall-Fond Ewropew għas-Sajd (FES).</w:t>
      </w:r>
    </w:p>
  </w:footnote>
  <w:footnote w:id="93">
    <w:p>
      <w:pPr>
        <w:pStyle w:val="FootnoteText"/>
        <w:rPr>
          <w:szCs w:val="24"/>
        </w:rPr>
      </w:pPr>
      <w:r>
        <w:rPr>
          <w:rStyle w:val="FootnoteReference"/>
        </w:rPr>
        <w:footnoteRef/>
      </w:r>
      <w:r>
        <w:tab/>
        <w:t>Ara l-Artikoli 11 u 17 tar-Regolament tal-Kunsill (UE, Euratom) Nru 1311/2013 li jistabbilixxi l-qafas finanzjarju pluriennali għas-snin 2014-2020.</w:t>
      </w:r>
    </w:p>
  </w:footnote>
  <w:footnote w:id="94">
    <w:p>
      <w:pPr>
        <w:pStyle w:val="FootnoteText"/>
      </w:pPr>
      <w:r>
        <w:rPr>
          <w:rStyle w:val="FootnoteReference"/>
        </w:rPr>
        <w:footnoteRef/>
      </w:r>
      <w:r>
        <w:tab/>
        <w:t xml:space="preserve">Abbażi tal-modalitajiet kurrenti tal-governanza u l-finanzjament (jiġifieri 60 % kofinanzjat mill-awtoritajiet nazzjonali kompetenti tal-Istati Membri u 40 % kontribuzzjoni tal-UE) li ma jqisux il-proposta tal-Kummissjoni dwar ir-rieżami tal-ASEs li għadha ma ġiextx adottata. </w:t>
      </w:r>
    </w:p>
  </w:footnote>
  <w:footnote w:id="95">
    <w:p>
      <w:pPr>
        <w:pStyle w:val="FootnoteText"/>
      </w:pPr>
      <w:r>
        <w:rPr>
          <w:rStyle w:val="FootnoteReference"/>
        </w:rPr>
        <w:footnoteRef/>
      </w:r>
      <w:r>
        <w:tab/>
        <w:t xml:space="preserve">In-nefqa għall-perjodu ta’ wara l-2020 huwa kompatibbli mal-proposti tal-Kummissjoni għall-Qafas Finanzjarju Pluriennali li jmiss (2021-2027) ippubblikati fit-2 ta’ Mejju 2018. </w:t>
      </w:r>
    </w:p>
  </w:footnote>
  <w:footnote w:id="96">
    <w:p>
      <w:pPr>
        <w:pStyle w:val="FootnoteText"/>
      </w:pPr>
      <w:r>
        <w:rPr>
          <w:rStyle w:val="FootnoteReference"/>
        </w:rPr>
        <w:footnoteRef/>
      </w:r>
      <w:r>
        <w:tab/>
        <w:t>L-għadd ta’ snin sabiex jitlesta x-xogħol tal-Pjattaforma ma jistax jiġi stmat għalissa; għalhekk, it-tabella turi l-impatt fuq in-nefqa għall-ewwel erba’ snin ta’ eżistenza tal-Pjattaforma biss. Huwa mistenni li l-Pjattaforma se teżisti mill-inqas matul il-perjodu tal-QFP li jmiss (jiġifieri sal-2027).</w:t>
      </w:r>
    </w:p>
  </w:footnote>
  <w:footnote w:id="97">
    <w:p>
      <w:pPr>
        <w:pStyle w:val="FootnoteText"/>
        <w:rPr>
          <w:szCs w:val="24"/>
        </w:rPr>
      </w:pPr>
      <w:r>
        <w:rPr>
          <w:rStyle w:val="FootnoteReference"/>
        </w:rPr>
        <w:footnoteRef/>
      </w:r>
      <w:r>
        <w:tab/>
        <w:t>Fir-rigward tar-riżorsi proprji tradizzjonali (id-dazji doganali, l-imposti fuq iz-zokkor), l-ammonti indikati jridu jkunu ammonti netti, jiġifieri ammonti grossi wara t-tnaqqis ta’ 20 % għall-kostijiet tal-ġbir.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C46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B41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CE0C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2B8F02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8C3B69"/>
    <w:multiLevelType w:val="multilevel"/>
    <w:tmpl w:val="9B14DAA8"/>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15"/>
  </w:num>
  <w:num w:numId="13">
    <w:abstractNumId w:val="2"/>
  </w:num>
  <w:num w:numId="14">
    <w:abstractNumId w:val="1"/>
  </w:num>
  <w:num w:numId="15">
    <w:abstractNumId w:val="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23"/>
    <w:lvlOverride w:ilvl="0">
      <w:startOverride w:val="1"/>
    </w:lvlOverride>
  </w:num>
  <w:num w:numId="52">
    <w:abstractNumId w:val="22"/>
  </w:num>
  <w:num w:numId="53">
    <w:abstractNumId w:val="18"/>
  </w:num>
  <w:num w:numId="54">
    <w:abstractNumId w:val="11"/>
  </w:num>
  <w:num w:numId="55">
    <w:abstractNumId w:val="23"/>
  </w:num>
  <w:num w:numId="56">
    <w:abstractNumId w:val="10"/>
  </w:num>
  <w:num w:numId="57">
    <w:abstractNumId w:val="12"/>
  </w:num>
  <w:num w:numId="58">
    <w:abstractNumId w:val="8"/>
  </w:num>
  <w:num w:numId="59">
    <w:abstractNumId w:val="22"/>
  </w:num>
  <w:num w:numId="60">
    <w:abstractNumId w:val="7"/>
  </w:num>
  <w:num w:numId="61">
    <w:abstractNumId w:val="13"/>
  </w:num>
  <w:num w:numId="62">
    <w:abstractNumId w:val="16"/>
  </w:num>
  <w:num w:numId="63">
    <w:abstractNumId w:val="17"/>
  </w:num>
  <w:num w:numId="64">
    <w:abstractNumId w:val="9"/>
  </w:num>
  <w:num w:numId="65">
    <w:abstractNumId w:val="14"/>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08:36: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B9F245-34A9-4B10-A8F3-E91EC0985171"/>
    <w:docVar w:name="LW_COVERPAGE_TYPE" w:val="1"/>
    <w:docVar w:name="LW_CROSSREFERENCE" w:val="{SEC(2018) 257 final}_x000b_{SWD(2018) 264 final}_x000b_{SWD(2018) 265 final}"/>
    <w:docVar w:name="LW_DocType" w:val="COM"/>
    <w:docVar w:name="LW_EMISSION" w:val="24.5.2018"/>
    <w:docVar w:name="LW_EMISSION_ISODATE" w:val="2018-05-24"/>
    <w:docVar w:name="LW_EMISSION_LOCATION" w:val="BRX"/>
    <w:docVar w:name="LW_EMISSION_PREFIX" w:val="Brussel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st b\u8217?re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18)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g\u295?al"/>
    <w:docVar w:name="LW_SUPERTITRE" w:val="&lt;UNUSED&gt;"/>
    <w:docVar w:name="LW_TITRE.OBJ.CP" w:val="dwar it-twaqqif ta\u8217? qafas biex ji\u289?i ffa\u267?ilitat l-investiment sostenibbli"/>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mt-M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9"/>
      </w:numPr>
    </w:pPr>
    <w:rPr>
      <w:rFonts w:eastAsia="Times New Roman"/>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numPr>
        <w:ilvl w:val="1"/>
        <w:numId w:val="9"/>
      </w:numPr>
    </w:pPr>
    <w:rPr>
      <w:rFonts w:eastAsia="Times New Roman"/>
    </w:rPr>
  </w:style>
  <w:style w:type="paragraph" w:customStyle="1" w:styleId="ListNumberLevel3">
    <w:name w:val="List Number (Level 3)"/>
    <w:basedOn w:val="Normal"/>
    <w:pPr>
      <w:numPr>
        <w:ilvl w:val="2"/>
        <w:numId w:val="9"/>
      </w:numPr>
    </w:pPr>
    <w:rPr>
      <w:rFonts w:eastAsia="Times New Roman"/>
    </w:rPr>
  </w:style>
  <w:style w:type="paragraph" w:customStyle="1" w:styleId="ListNumberLevel4">
    <w:name w:val="List Number (Level 4)"/>
    <w:basedOn w:val="Normal"/>
    <w:pPr>
      <w:numPr>
        <w:ilvl w:val="3"/>
        <w:numId w:val="9"/>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3"/>
      </w:numPr>
      <w:contextualSpacing/>
    </w:pPr>
    <w:rPr>
      <w:rFonts w:eastAsia="Times New Roman"/>
    </w:rPr>
  </w:style>
  <w:style w:type="paragraph" w:styleId="ListNumber3">
    <w:name w:val="List Number 3"/>
    <w:basedOn w:val="Normal"/>
    <w:pPr>
      <w:numPr>
        <w:numId w:val="14"/>
      </w:numPr>
      <w:contextualSpacing/>
    </w:pPr>
    <w:rPr>
      <w:rFonts w:eastAsia="Times New Roman"/>
    </w:rPr>
  </w:style>
  <w:style w:type="paragraph" w:styleId="ListNumber4">
    <w:name w:val="List Number 4"/>
    <w:basedOn w:val="Normal"/>
    <w:pPr>
      <w:numPr>
        <w:numId w:val="15"/>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mt-M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9"/>
      </w:numPr>
    </w:pPr>
    <w:rPr>
      <w:rFonts w:eastAsia="Times New Roman"/>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numPr>
        <w:ilvl w:val="1"/>
        <w:numId w:val="9"/>
      </w:numPr>
    </w:pPr>
    <w:rPr>
      <w:rFonts w:eastAsia="Times New Roman"/>
    </w:rPr>
  </w:style>
  <w:style w:type="paragraph" w:customStyle="1" w:styleId="ListNumberLevel3">
    <w:name w:val="List Number (Level 3)"/>
    <w:basedOn w:val="Normal"/>
    <w:pPr>
      <w:numPr>
        <w:ilvl w:val="2"/>
        <w:numId w:val="9"/>
      </w:numPr>
    </w:pPr>
    <w:rPr>
      <w:rFonts w:eastAsia="Times New Roman"/>
    </w:rPr>
  </w:style>
  <w:style w:type="paragraph" w:customStyle="1" w:styleId="ListNumberLevel4">
    <w:name w:val="List Number (Level 4)"/>
    <w:basedOn w:val="Normal"/>
    <w:pPr>
      <w:numPr>
        <w:ilvl w:val="3"/>
        <w:numId w:val="9"/>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3"/>
      </w:numPr>
      <w:contextualSpacing/>
    </w:pPr>
    <w:rPr>
      <w:rFonts w:eastAsia="Times New Roman"/>
    </w:rPr>
  </w:style>
  <w:style w:type="paragraph" w:styleId="ListNumber3">
    <w:name w:val="List Number 3"/>
    <w:basedOn w:val="Normal"/>
    <w:pPr>
      <w:numPr>
        <w:numId w:val="14"/>
      </w:numPr>
      <w:contextualSpacing/>
    </w:pPr>
    <w:rPr>
      <w:rFonts w:eastAsia="Times New Roman"/>
    </w:rPr>
  </w:style>
  <w:style w:type="paragraph" w:styleId="ListNumber4">
    <w:name w:val="List Number 4"/>
    <w:basedOn w:val="Normal"/>
    <w:pPr>
      <w:numPr>
        <w:numId w:val="15"/>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03">
      <w:bodyDiv w:val="1"/>
      <w:marLeft w:val="0"/>
      <w:marRight w:val="0"/>
      <w:marTop w:val="0"/>
      <w:marBottom w:val="0"/>
      <w:divBdr>
        <w:top w:val="none" w:sz="0" w:space="0" w:color="auto"/>
        <w:left w:val="none" w:sz="0" w:space="0" w:color="auto"/>
        <w:bottom w:val="none" w:sz="0" w:space="0" w:color="auto"/>
        <w:right w:val="none" w:sz="0" w:space="0" w:color="auto"/>
      </w:divBdr>
    </w:div>
    <w:div w:id="945965353">
      <w:bodyDiv w:val="1"/>
      <w:marLeft w:val="0"/>
      <w:marRight w:val="0"/>
      <w:marTop w:val="0"/>
      <w:marBottom w:val="0"/>
      <w:divBdr>
        <w:top w:val="none" w:sz="0" w:space="0" w:color="auto"/>
        <w:left w:val="none" w:sz="0" w:space="0" w:color="auto"/>
        <w:bottom w:val="none" w:sz="0" w:space="0" w:color="auto"/>
        <w:right w:val="none" w:sz="0" w:space="0" w:color="auto"/>
      </w:divBdr>
    </w:div>
    <w:div w:id="190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dp.org/content/undp/en/home/sustainable-development-goals.html" TargetMode="External"/><Relationship Id="rId26" Type="http://schemas.openxmlformats.org/officeDocument/2006/relationships/hyperlink" Target="http://ec.europa.eu/eurostat/documents/3217494/8461633/KS-04-17-780-EN-N.pdf/f7694981-6190-46fb-99d6-d092ce04083f"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ec.europa.eu/transparency/regexpert/index.cfm?do=groupDetail.groupDetail&amp;groupID=3485&amp;NewSearch=1&amp;NewSearch=1&amp;Lang=MT"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eea.europa.eu/about-us/who/who-we-are" TargetMode="External"/><Relationship Id="rId33" Type="http://schemas.openxmlformats.org/officeDocument/2006/relationships/footer" Target="foot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c.europa.eu/finance/capital-markets-union/docs/20160913-cmu-accelerating-reform_mt.pdf"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law/better-regulation/initiatives/com-2017-536_mt" TargetMode="Externa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ur-lex.europa.eu/legal-content/MT/TXT/PDF/?uri=CELEX:52018DC0097&amp;from=EN"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ec.europa.eu/clima/policies/international/negotiations/paris/index_mt.htm"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MT/TXT/PDF/?uri=CELEX:52017DC0292&amp;qid=1528278905377&amp;from=EN" TargetMode="External"/><Relationship Id="rId27" Type="http://schemas.openxmlformats.org/officeDocument/2006/relationships/hyperlink" Target="http://ec.europa.eu/eurostat/web/europe-2020-indicators/resource-efficient-europe" TargetMode="External"/><Relationship Id="rId30" Type="http://schemas.openxmlformats.org/officeDocument/2006/relationships/header" Target="header5.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180131-sustainable-finance-final-report_en.pdf" TargetMode="External"/><Relationship Id="rId2" Type="http://schemas.openxmlformats.org/officeDocument/2006/relationships/hyperlink" Target="http://eur-lex.europa.eu/legal-content/EN/TXT/?qid=1483696687107&amp;uri=CELEX:52016SC0405." TargetMode="External"/><Relationship Id="rId1" Type="http://schemas.openxmlformats.org/officeDocument/2006/relationships/hyperlink" Target="https://ec.europa.eu/commission/sites/beta-political/files/juncker-political-guidelines-speech_mt.pdf" TargetMode="External"/><Relationship Id="rId5" Type="http://schemas.openxmlformats.org/officeDocument/2006/relationships/hyperlink" Target="https://myintracomm.ec.europa.eu/budgweb/MT/man/budgmanag/Pages/budgmanag.aspx" TargetMode="External"/><Relationship Id="rId4" Type="http://schemas.openxmlformats.org/officeDocument/2006/relationships/hyperlink" Target="https://ec.europa.eu/info/sites/info/files/180131-sustainable-finance-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EDABE5-CEF9-4748-A594-3B023F6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49</Pages>
  <Words>18823</Words>
  <Characters>137036</Characters>
  <Application>Microsoft Office Word</Application>
  <DocSecurity>0</DocSecurity>
  <Lines>4152</Lines>
  <Paragraphs>1751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2018-06-27T13:23:00Z</dcterms:created>
  <dcterms:modified xsi:type="dcterms:W3CDTF">2018-06-28T06:36:00Z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