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CC4" w:rsidRDefault="00950A85">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21433F0-7A33-4FC0-AA63-BEB45EB09B79" style="width:451.5pt;height:366pt">
            <v:imagedata r:id="rId9" o:title=""/>
          </v:shape>
        </w:pict>
      </w:r>
    </w:p>
    <w:p w:rsidR="00613CC4" w:rsidRDefault="00613CC4">
      <w:pPr>
        <w:adjustRightInd w:val="0"/>
        <w:spacing w:before="0" w:after="0"/>
        <w:jc w:val="left"/>
        <w:rPr>
          <w:noProof/>
        </w:rPr>
        <w:sectPr w:rsidR="00613CC4">
          <w:footerReference w:type="default" r:id="rId10"/>
          <w:pgSz w:w="11906" w:h="16838"/>
          <w:pgMar w:top="1134" w:right="1418" w:bottom="1134" w:left="1418" w:header="709" w:footer="709" w:gutter="0"/>
          <w:pgNumType w:start="0"/>
          <w:cols w:space="720"/>
          <w:docGrid w:linePitch="326"/>
        </w:sectPr>
      </w:pPr>
    </w:p>
    <w:p w:rsidR="00613CC4" w:rsidRDefault="00950A85">
      <w:pPr>
        <w:pStyle w:val="Exposdesmotifstitre"/>
        <w:rPr>
          <w:noProof/>
        </w:rPr>
      </w:pPr>
      <w:r>
        <w:rPr>
          <w:noProof/>
        </w:rPr>
        <w:lastRenderedPageBreak/>
        <w:t>BEGRUNDELSE</w:t>
      </w:r>
    </w:p>
    <w:p w:rsidR="00613CC4" w:rsidRDefault="00950A85">
      <w:pPr>
        <w:pStyle w:val="ManualHeading1"/>
        <w:rPr>
          <w:noProof/>
        </w:rPr>
      </w:pPr>
      <w:r>
        <w:t>1.</w:t>
      </w:r>
      <w:r>
        <w:tab/>
      </w:r>
      <w:r>
        <w:rPr>
          <w:noProof/>
        </w:rPr>
        <w:t>BAGGRUND FOR FORSLAGET</w:t>
      </w:r>
    </w:p>
    <w:p w:rsidR="00613CC4" w:rsidRDefault="00950A85">
      <w:pPr>
        <w:pStyle w:val="ManualHeading2"/>
        <w:rPr>
          <w:rFonts w:eastAsia="Arial Unicode MS"/>
          <w:noProof/>
        </w:rPr>
      </w:pPr>
      <w:r>
        <w:rPr>
          <w:noProof/>
          <w:color w:val="000000"/>
          <w:u w:color="000000"/>
          <w:bdr w:val="nil"/>
        </w:rPr>
        <w:t>•</w:t>
      </w:r>
      <w:r>
        <w:rPr>
          <w:noProof/>
        </w:rPr>
        <w:tab/>
        <w:t>Forslagets begrundelse og formål</w:t>
      </w:r>
    </w:p>
    <w:p w:rsidR="00613CC4" w:rsidRDefault="00950A85">
      <w:pPr>
        <w:rPr>
          <w:noProof/>
        </w:rPr>
      </w:pPr>
      <w:r>
        <w:rPr>
          <w:noProof/>
        </w:rPr>
        <w:t xml:space="preserve">EU har som en hurtig og beslutsom reaktion på de senere års </w:t>
      </w:r>
      <w:r>
        <w:rPr>
          <w:noProof/>
        </w:rPr>
        <w:t>migrationskrise, presset på de ydre grænser og de menneskelige tragedier i Middelhavet forelagt en omfattende strategi med henblik på at håndtere lignende migrationsudfordringer i fremtiden. Den nye ramme for partnerskab med prioriterede tredjelande blev v</w:t>
      </w:r>
      <w:r>
        <w:rPr>
          <w:noProof/>
        </w:rPr>
        <w:t>edtaget i 2016</w:t>
      </w:r>
      <w:r>
        <w:rPr>
          <w:rStyle w:val="FootnoteReference"/>
          <w:noProof/>
        </w:rPr>
        <w:footnoteReference w:id="1"/>
      </w:r>
      <w:r>
        <w:rPr>
          <w:noProof/>
        </w:rPr>
        <w:t xml:space="preserve"> med det formål at gå ud over håndteringen af umiddelbare behov og lægge grundstenen for et udvidet samarbejde med oprindelses-, transit- og destinationslande med en velstyret migrations- og mobilitetspolitik som den centrale del. Alle aktør</w:t>
      </w:r>
      <w:r>
        <w:rPr>
          <w:noProof/>
        </w:rPr>
        <w:t>er, herunder medlemsstaterne og EU's institutioner blev opfordret til at handle på koordineret vis og at samle instrumenter, værktøjer og løftestænger til at opfylde klare prioriteter i forhold til tredjelande for bedre at styre migrationen med fuld respek</w:t>
      </w:r>
      <w:r>
        <w:rPr>
          <w:noProof/>
        </w:rPr>
        <w:t xml:space="preserve">t for humanitære og menneskeretlige forpligtelser.  </w:t>
      </w:r>
    </w:p>
    <w:p w:rsidR="00613CC4" w:rsidRDefault="00950A85">
      <w:pPr>
        <w:rPr>
          <w:noProof/>
        </w:rPr>
      </w:pPr>
      <w:r>
        <w:rPr>
          <w:noProof/>
        </w:rPr>
        <w:t>Med næsten 500 indvandringsforbindelsesofficerer (ILO'er), der aktuelt er udsendt af medlemsstaterne i tredjelande, og EU's understregning af det kritiske behov for at styrke partnerskabet med tredjeland</w:t>
      </w:r>
      <w:r>
        <w:rPr>
          <w:noProof/>
        </w:rPr>
        <w:t xml:space="preserve">e er det absolut nødvendigt at bruge disse forbindelsesofficerer til sikre synergivirkninger mellem finansielle og operationelle støtteinstrumenter og til at levere oplysninger til evidensbaseret politikudformning over for disse lande.  </w:t>
      </w:r>
    </w:p>
    <w:p w:rsidR="00613CC4" w:rsidRDefault="00950A85">
      <w:pPr>
        <w:rPr>
          <w:noProof/>
        </w:rPr>
      </w:pPr>
      <w:r>
        <w:rPr>
          <w:noProof/>
        </w:rPr>
        <w:t>Selv om partnerska</w:t>
      </w:r>
      <w:r>
        <w:rPr>
          <w:noProof/>
        </w:rPr>
        <w:t>bsarbejde med tredjelande ved hjælp af indvandringsforbindelsesofficerer blev anerkendt som vigtigt allerede i 2004, da Rådet på grundlag af et initiativ fra Grækenland og under hensyntagen til Europa-Parlamentets udtalelse vedtog forordning (EF) nr. 377/2</w:t>
      </w:r>
      <w:r>
        <w:rPr>
          <w:noProof/>
        </w:rPr>
        <w:t>004 om oprettelse af et netværk af indvandringsforbindelsesofficerer (kaldet ILO-forordningen)</w:t>
      </w:r>
      <w:r>
        <w:rPr>
          <w:rStyle w:val="FootnoteReference"/>
          <w:noProof/>
        </w:rPr>
        <w:footnoteReference w:id="2"/>
      </w:r>
      <w:r>
        <w:rPr>
          <w:noProof/>
        </w:rPr>
        <w:t>, er virkningen i form af en forbedret samordning og udveksling af oplysninger ikke blevet fuldt realiseret. Forordningen er ændret ved Europa-Parlamentets og Rå</w:t>
      </w:r>
      <w:r>
        <w:rPr>
          <w:noProof/>
        </w:rPr>
        <w:t>dets forordning (EF) nr. 493/2011</w:t>
      </w:r>
      <w:r>
        <w:rPr>
          <w:rStyle w:val="FootnoteReference"/>
          <w:noProof/>
        </w:rPr>
        <w:footnoteReference w:id="3"/>
      </w:r>
      <w:r>
        <w:rPr>
          <w:noProof/>
        </w:rPr>
        <w:t xml:space="preserve"> af 5. april 2011. ILO-forordningen udgør en udvikling af bestemmelserne i Schengen-reglerne.</w:t>
      </w:r>
    </w:p>
    <w:p w:rsidR="00613CC4" w:rsidRDefault="00950A85">
      <w:pPr>
        <w:rPr>
          <w:noProof/>
        </w:rPr>
      </w:pPr>
      <w:r>
        <w:rPr>
          <w:noProof/>
        </w:rPr>
        <w:t>Den nuværende ILO-forordning fastsætter en forpligtelse til at oprette lokale eller regionale samarbejdsnetværk mellem medlemsst</w:t>
      </w:r>
      <w:r>
        <w:rPr>
          <w:noProof/>
        </w:rPr>
        <w:t xml:space="preserve">aternes indvandringsforbindelsesofficerer og fastsætter målene for et sådant samarbejde samt ILO'ernes opgaver i forhold til tredjelandet og deres ansvar i forhold til den udsendende medlemsstat. I artikel 1, stk. 1, i ILO-forordningen er en </w:t>
      </w:r>
      <w:r>
        <w:rPr>
          <w:i/>
          <w:noProof/>
        </w:rPr>
        <w:t>"indvandringsf</w:t>
      </w:r>
      <w:r>
        <w:rPr>
          <w:i/>
          <w:noProof/>
        </w:rPr>
        <w:t>orbindelsesofficer"</w:t>
      </w:r>
      <w:r>
        <w:rPr>
          <w:noProof/>
        </w:rPr>
        <w:t xml:space="preserve"> defineret som en repræsentant for en af medlemsstaterne, som indrejsekontrollen eller en anden kompetent myndighed udsender for at etablere og opretholde kontakt med værtslandets myndigheder med henblik på at bidrage til forebyggelse og</w:t>
      </w:r>
      <w:r>
        <w:rPr>
          <w:noProof/>
        </w:rPr>
        <w:t xml:space="preserve"> bekæmpelse af ulovlig indvandring, tilbagesendelse af ulovlige indvandrere og håndtering af lovlig migration. Artikel 1, stk. 2, i ILO-forordningen fastsætter, at "forbindelsesofficerer, der beskæftiger sig med indvandringsspørgsmål som en del af deres op</w:t>
      </w:r>
      <w:r>
        <w:rPr>
          <w:noProof/>
        </w:rPr>
        <w:t>gaver", også anses for at være indvandringsforbindelsesofficerer. Denne definition omfatter i praksis også "luftfartsselskabers forbindelsesofficerer", "dokumenteksperter" og "retshåndhævende myndigheders forbindelsesofficerer" i det omfang, disse også har</w:t>
      </w:r>
      <w:r>
        <w:rPr>
          <w:noProof/>
        </w:rPr>
        <w:t xml:space="preserve"> til opgave at varetage ovennævnte opgaver.</w:t>
      </w:r>
    </w:p>
    <w:p w:rsidR="00613CC4" w:rsidRDefault="00950A85">
      <w:pPr>
        <w:rPr>
          <w:bCs/>
          <w:noProof/>
        </w:rPr>
      </w:pPr>
      <w:r>
        <w:rPr>
          <w:noProof/>
        </w:rPr>
        <w:t>Indvandringsforbindelsesofficerer udsendes normalt til medlemsstaternes nationale konsulære myndigheder i tredjelande, men kan også udsendes til tredjelandes kompetente myndigheder samt internationale organisatio</w:t>
      </w:r>
      <w:r>
        <w:rPr>
          <w:noProof/>
        </w:rPr>
        <w:t xml:space="preserve">ner, i et rimeligt tidsrum, der fastlægges af </w:t>
      </w:r>
      <w:r>
        <w:rPr>
          <w:noProof/>
        </w:rPr>
        <w:lastRenderedPageBreak/>
        <w:t>udsendelsesmedlemsstaten. Medlemsstaterne begyndte at udsende forbindelsesofficerer i begyndelsen af 1990'erne og siden vedtagelsen af ILO-forordningen i 2004 er antallet af forbindelsesofficerer steget fra 129</w:t>
      </w:r>
      <w:r>
        <w:rPr>
          <w:noProof/>
        </w:rPr>
        <w:t xml:space="preserve"> til skønsvis 492 i 2018, og disse er udsendt til 105 tredjelande. Det er ikke alle medlemsstater, der udsender ILO'er</w:t>
      </w:r>
      <w:r>
        <w:rPr>
          <w:rStyle w:val="FootnoteReference"/>
          <w:noProof/>
        </w:rPr>
        <w:footnoteReference w:id="4"/>
      </w:r>
      <w:r>
        <w:rPr>
          <w:noProof/>
        </w:rPr>
        <w:t>, og det største antal nationale ILO'er er udsendt af Tyskland, Frankrig, Spanien, Nederlandene og Det Forenede Kongerige.</w:t>
      </w:r>
    </w:p>
    <w:p w:rsidR="00613CC4" w:rsidRDefault="00950A85">
      <w:pPr>
        <w:rPr>
          <w:noProof/>
        </w:rPr>
      </w:pPr>
      <w:r>
        <w:rPr>
          <w:noProof/>
        </w:rPr>
        <w:t>Derudover blev</w:t>
      </w:r>
      <w:r>
        <w:rPr>
          <w:noProof/>
        </w:rPr>
        <w:t xml:space="preserve"> der med ændringen af ILO-forordningen, som blev vedtaget i 2011, fastsat et samarbejde mellem Det Europæiske Agentur for Grænse- og Kystbevogtning (EBCG) og ILO-netværkene, foruden at brugen af ICONet blev fremmet til regelmæssig udveksling af oplysninger</w:t>
      </w:r>
      <w:r>
        <w:rPr>
          <w:noProof/>
        </w:rPr>
        <w:t xml:space="preserve"> og praktiske erfaringer inden for lokale netværk med henblik på at rationalisere rapporteringssystemet vedrørende ILO-netværkenes aktiviteter gennem de halvårlige formandsskabsrapporter.</w:t>
      </w:r>
    </w:p>
    <w:p w:rsidR="00613CC4" w:rsidRDefault="00950A85">
      <w:pPr>
        <w:rPr>
          <w:noProof/>
        </w:rPr>
      </w:pPr>
      <w:r>
        <w:rPr>
          <w:noProof/>
        </w:rPr>
        <w:t>ILO'ernes rolle anerkendes først og fremmest i forbindelse med forva</w:t>
      </w:r>
      <w:r>
        <w:rPr>
          <w:noProof/>
        </w:rPr>
        <w:t>ltning af EU's ydre grænser i overensstemmelse med Schengen-reglerne.</w:t>
      </w:r>
      <w:r>
        <w:rPr>
          <w:i/>
          <w:noProof/>
        </w:rPr>
        <w:t xml:space="preserve"> </w:t>
      </w:r>
      <w:r>
        <w:rPr>
          <w:noProof/>
        </w:rPr>
        <w:t xml:space="preserve"> Arbejdet omfatter rådgivning til kompetente myndigheder i tredjelande til støtte for deres bestræbelser på at håndtere ulovlig indvandring, bekæmpe grænseoverskridende kriminalitet elle</w:t>
      </w:r>
      <w:r>
        <w:rPr>
          <w:noProof/>
        </w:rPr>
        <w:t>r opdage dokumentsvig. Derudover har ILO'er operationel ekspertise, førstehåndsviden og kontakter i tredjelande, som er yderst relevante og nyttige i bestræbelserne på at forbedre samarbejdet med disse lande, og de opfylder oplysnings- og politikudviklings</w:t>
      </w:r>
      <w:r>
        <w:rPr>
          <w:noProof/>
        </w:rPr>
        <w:t>behov inden for migration på europæisk plan.</w:t>
      </w:r>
    </w:p>
    <w:p w:rsidR="00613CC4" w:rsidRDefault="00950A85">
      <w:pPr>
        <w:rPr>
          <w:noProof/>
        </w:rPr>
      </w:pPr>
      <w:r>
        <w:rPr>
          <w:noProof/>
        </w:rPr>
        <w:t xml:space="preserve">Den eksterne evaluering af den nuværende ILO-forordning, som blev afsluttet i august 2017, understregede dog, at forordningen har en begrænset og for det meste indirekte virkning på etableringen af formelle </w:t>
      </w:r>
      <w:r>
        <w:rPr>
          <w:noProof/>
        </w:rPr>
        <w:t>netværker mellem indvandringsforbindelsesofficerer, der er udsendt til samme sted, på forbedring af indsamlingen og udvekslingen af oplysninger og på at forbedre koordineringen af EU's holdning og aktiviteter i forhold til tredjelande.</w:t>
      </w:r>
    </w:p>
    <w:p w:rsidR="00613CC4" w:rsidRDefault="00950A85">
      <w:pPr>
        <w:rPr>
          <w:noProof/>
        </w:rPr>
      </w:pPr>
      <w:r>
        <w:rPr>
          <w:noProof/>
        </w:rPr>
        <w:t>Evalueringen konklud</w:t>
      </w:r>
      <w:r>
        <w:rPr>
          <w:noProof/>
        </w:rPr>
        <w:t>erede, at indvandringsforbindelsesofficerer og deres netværk fortsat er yderst relevante i den aktuelle globale migrationskontekst og bevarer sammenhængen mellem nuværende og planlagte europæiske politikker, der har til formål at tackle navnlig ulovlig mig</w:t>
      </w:r>
      <w:r>
        <w:rPr>
          <w:noProof/>
        </w:rPr>
        <w:t>ration, men den pegede også på mangler. Den fastslog, at den nuværende ILO-forordnings begrænsninger skyldes utilstrækkelig koordination og engagement på EU-plan forårsaget ved, at der ikke tages hensyn til, at størstedelen af indvandringsforbindelsesoffic</w:t>
      </w:r>
      <w:r>
        <w:rPr>
          <w:noProof/>
        </w:rPr>
        <w:t>ererne er medlemsstaternes ressourcer (96 % af alle udsendelser) med klare bilaterale mål og opgaver og styret af de såkaldte ILO-kontorer i de nationale administrationer.  Den begrænsede effektivitet og niveauet og omfanget af informationsdelingen har hin</w:t>
      </w:r>
      <w:r>
        <w:rPr>
          <w:noProof/>
        </w:rPr>
        <w:t>dret den systematiske strøm af strategiske og operationelle oplysninger både opad fra ILO-netværk til EU, dvs. Kommissionen, den højtstående repræsentant for udenrigsanliggender og sikkerhedspolitik, EU-agenturerne og EU-delegationerne i tredjelande samt h</w:t>
      </w:r>
      <w:r>
        <w:rPr>
          <w:noProof/>
        </w:rPr>
        <w:t>orisontalt på tværs af netværk og medlemsstater. Desuden anvendes de aktuelle instrumenter til at forbedre informationsudvekslingen, herunder navnlig formandskabets rapporter, jf. artikel 6, stk. 1, i ILO-forordningen, og ICONet</w:t>
      </w:r>
      <w:r>
        <w:rPr>
          <w:rStyle w:val="FootnoteReference"/>
          <w:noProof/>
        </w:rPr>
        <w:footnoteReference w:id="5"/>
      </w:r>
      <w:r>
        <w:rPr>
          <w:noProof/>
        </w:rPr>
        <w:t xml:space="preserve"> som omhandlet i artikel 3,</w:t>
      </w:r>
      <w:r>
        <w:rPr>
          <w:noProof/>
        </w:rPr>
        <w:t xml:space="preserve"> stk. 3, i den nuværende forordning, sjældent af medlemsstaternes indvandringsforbindelsesofficerer og har derfor har vist sig stort set at være ineffektive.  Evalueringen har også vist, at andre former for indberetning forblev decentraliseret og opsplitte</w:t>
      </w:r>
      <w:r>
        <w:rPr>
          <w:noProof/>
        </w:rPr>
        <w:t>t på tværs af medlemsstaterne, idet ILO'er rapporterer bilateralt direkte til deres egen nationale administration.</w:t>
      </w:r>
    </w:p>
    <w:p w:rsidR="00613CC4" w:rsidRDefault="00950A85">
      <w:pPr>
        <w:rPr>
          <w:noProof/>
        </w:rPr>
      </w:pPr>
      <w:r>
        <w:rPr>
          <w:noProof/>
        </w:rPr>
        <w:lastRenderedPageBreak/>
        <w:t>I tilgift er de muligheder, som forordningen giver såsom fælles anvendelse af forbindelsesofficerer udsendt til samme sted eller fælles udsen</w:t>
      </w:r>
      <w:r>
        <w:rPr>
          <w:noProof/>
        </w:rPr>
        <w:t xml:space="preserve">delser samfinansieret over EU-budgettet, ikke blevet udnyttet fuldt ud af medlemsstaterne. Samtidig er der oprettet nye funktioner for europæiske forbindelsesofficerer, herunder fra Det Europæiske Agentur for Grænse- og Kystbevogtning (EBCG) og europæiske </w:t>
      </w:r>
      <w:r>
        <w:rPr>
          <w:noProof/>
        </w:rPr>
        <w:t>migrationsforbindelsesofficerer (EMLO'er), i prioriterede tredjelande for at maksimere virkningen af Unionens indsats vedrørende migration i tredjelande og styrke engagementet i vigtige oprindelses- og transitlande samt for at intensivere samordningen og s</w:t>
      </w:r>
      <w:r>
        <w:rPr>
          <w:noProof/>
        </w:rPr>
        <w:t>amarbejdet med ILO'er.</w:t>
      </w:r>
    </w:p>
    <w:p w:rsidR="00613CC4" w:rsidRDefault="00950A85">
      <w:pPr>
        <w:rPr>
          <w:noProof/>
        </w:rPr>
      </w:pPr>
      <w:r>
        <w:rPr>
          <w:noProof/>
        </w:rPr>
        <w:t>Målet med revisionen af ILO-forordningen er at forbedre samordningen og optimere udnyttelsen af indvandringsforbindelsesofficerer, herunder de nye europæiske forbindelsesofficerer udsendt til tredjelande, for at sætte dem i stand til</w:t>
      </w:r>
      <w:r>
        <w:rPr>
          <w:noProof/>
        </w:rPr>
        <w:t xml:space="preserve"> at reagere mere effektivt på EU's prioriteter på migrationsområdet. </w:t>
      </w:r>
    </w:p>
    <w:p w:rsidR="00613CC4" w:rsidRDefault="00950A85">
      <w:pPr>
        <w:rPr>
          <w:noProof/>
        </w:rPr>
      </w:pPr>
      <w:r>
        <w:rPr>
          <w:noProof/>
        </w:rPr>
        <w:t>Da ILO'ernes kommandovej (opgaver og rapportering) går gennem de nationale myndigheder, tilstræber revisionen at styrke engagementet på europæisk plan. Forslaget tager sigte på at styrke</w:t>
      </w:r>
      <w:r>
        <w:rPr>
          <w:noProof/>
        </w:rPr>
        <w:t xml:space="preserve"> samarbejdet mellem medlemsstaterne ved at etablere en formel styringsmekanisme ("styringsråd"), som er sammensat af repræsentanter for Kommissionen, medlemsstaternes ILO-kontorer og EU-agenturerne. Styringsrådet bør mødes regelmæssigt for at skabe en plat</w:t>
      </w:r>
      <w:r>
        <w:rPr>
          <w:noProof/>
        </w:rPr>
        <w:t>form for planlægning og koordinering af udviklingen og funktionen af netværk baseret på strategiske og operationelle prioriteter vedrørende EU's migrationsstyring. De vil blive aftalt i fællesskab mellem EU og medlemsstaterne, f.eks. i tilfælde af pludseli</w:t>
      </w:r>
      <w:r>
        <w:rPr>
          <w:noProof/>
        </w:rPr>
        <w:t>g tilstrømning af migranter. Med en dybere forståelse af de kvalifikationer og kapaciteter, der er til rådighed, vil EU være bedre rustet til at målrette sine interventioner og reaktioner på de forskellige migrationspolitikområder.</w:t>
      </w:r>
    </w:p>
    <w:p w:rsidR="00613CC4" w:rsidRDefault="00950A85">
      <w:pPr>
        <w:rPr>
          <w:noProof/>
        </w:rPr>
      </w:pPr>
      <w:r>
        <w:rPr>
          <w:noProof/>
        </w:rPr>
        <w:t>Endelig støttede evaluer</w:t>
      </w:r>
      <w:r>
        <w:rPr>
          <w:noProof/>
        </w:rPr>
        <w:t>ingen og de tilknyttede høringer om den nuværende ILO-forordning enstemmigt, at der ikke er megen hvis overhovedet nogen værdi i formandskabets halvårlige rapporter</w:t>
      </w:r>
      <w:r>
        <w:rPr>
          <w:rStyle w:val="FootnoteReference"/>
          <w:noProof/>
        </w:rPr>
        <w:footnoteReference w:id="6"/>
      </w:r>
      <w:r>
        <w:rPr>
          <w:noProof/>
        </w:rPr>
        <w:t xml:space="preserve"> om ILO-netværkenes aktiviteter og situationen vedrørende ulovlig indvandring i bestemte tr</w:t>
      </w:r>
      <w:r>
        <w:rPr>
          <w:noProof/>
        </w:rPr>
        <w:t>edjelande. I forslaget udgår denne forpligtelse derfor, og der indføres rapportering om emner af fælles EU-interesse, som drøftes og godkendes af styringsrådet. Forslaget fastsætter også systematiske opdateringer om nuværende og planlagte udsendelser af fo</w:t>
      </w:r>
      <w:r>
        <w:rPr>
          <w:noProof/>
        </w:rPr>
        <w:t>rbindelsesofficerer fra alle udsendende enheder.</w:t>
      </w:r>
    </w:p>
    <w:p w:rsidR="00613CC4" w:rsidRDefault="00950A85">
      <w:pPr>
        <w:pStyle w:val="ManualHeading2"/>
        <w:rPr>
          <w:rFonts w:eastAsia="Arial Unicode MS"/>
          <w:noProof/>
          <w:color w:val="000000"/>
          <w:u w:color="000000"/>
          <w:bdr w:val="nil"/>
        </w:rPr>
      </w:pPr>
      <w:r>
        <w:rPr>
          <w:noProof/>
          <w:color w:val="000000"/>
          <w:u w:color="000000"/>
          <w:bdr w:val="nil"/>
        </w:rPr>
        <w:t>•</w:t>
      </w:r>
      <w:r>
        <w:rPr>
          <w:noProof/>
        </w:rPr>
        <w:tab/>
        <w:t>Sammenhæng med de gældende regler på samme område</w:t>
      </w:r>
    </w:p>
    <w:p w:rsidR="00613CC4" w:rsidRDefault="00950A85">
      <w:pPr>
        <w:rPr>
          <w:noProof/>
        </w:rPr>
      </w:pPr>
      <w:r>
        <w:rPr>
          <w:noProof/>
          <w:color w:val="000000"/>
        </w:rPr>
        <w:t>Dette forslag er en reaktion på opfordringen fra Europa-Parlamentet og Det Europæiske Råd om at udvikle en sammenhængende og troværdig politik med hensyn til at forebygge og bekæmpe ulovlig migration, håndtering af menneskesmugling og -handel, forbedret ti</w:t>
      </w:r>
      <w:r>
        <w:rPr>
          <w:noProof/>
          <w:color w:val="000000"/>
        </w:rPr>
        <w:t xml:space="preserve">lbagesendelse af tredjelandsstatsborgere med ulovligt ophold og en effektiv forvaltning af Den Europæiske Unions ydre grænser. </w:t>
      </w:r>
      <w:r>
        <w:rPr>
          <w:noProof/>
        </w:rPr>
        <w:t>Det Europæiske Råd fastsatte i april 2015 klare retningslinjer</w:t>
      </w:r>
      <w:r>
        <w:rPr>
          <w:rStyle w:val="FootnoteReference"/>
          <w:noProof/>
        </w:rPr>
        <w:footnoteReference w:id="7"/>
      </w:r>
      <w:r>
        <w:rPr>
          <w:noProof/>
        </w:rPr>
        <w:t xml:space="preserve"> herfor, som mindede om behovet for et tættere samarbejde mellem m</w:t>
      </w:r>
      <w:r>
        <w:rPr>
          <w:noProof/>
        </w:rPr>
        <w:t>edlemsstaterne og Kommissionen og oprindelses- og transitlandene med henblik på at bekæmpe ulovlig indvandring.</w:t>
      </w:r>
    </w:p>
    <w:p w:rsidR="00613CC4" w:rsidRDefault="00950A85">
      <w:pPr>
        <w:widowControl w:val="0"/>
        <w:autoSpaceDE w:val="0"/>
        <w:autoSpaceDN w:val="0"/>
        <w:adjustRightInd w:val="0"/>
        <w:spacing w:before="0" w:after="240"/>
        <w:rPr>
          <w:noProof/>
          <w:color w:val="000000"/>
          <w:szCs w:val="24"/>
        </w:rPr>
      </w:pPr>
      <w:r>
        <w:rPr>
          <w:noProof/>
          <w:color w:val="000000"/>
        </w:rPr>
        <w:t>I 2015 pegede den europæiske dagsorden for migration</w:t>
      </w:r>
      <w:r>
        <w:rPr>
          <w:rStyle w:val="FootnoteReference"/>
          <w:noProof/>
          <w:color w:val="000000"/>
        </w:rPr>
        <w:footnoteReference w:id="8"/>
      </w:r>
      <w:r>
        <w:rPr>
          <w:noProof/>
          <w:color w:val="000000"/>
        </w:rPr>
        <w:t xml:space="preserve"> samt EU-handlingsplanen for bekæmpelse af smugling af migranter (2015-2020)</w:t>
      </w:r>
      <w:r>
        <w:rPr>
          <w:rStyle w:val="FootnoteReference"/>
          <w:noProof/>
          <w:color w:val="000000"/>
        </w:rPr>
        <w:footnoteReference w:id="9"/>
      </w:r>
      <w:r>
        <w:rPr>
          <w:noProof/>
          <w:color w:val="000000"/>
        </w:rPr>
        <w:t xml:space="preserve"> på en evaluer</w:t>
      </w:r>
      <w:r>
        <w:rPr>
          <w:noProof/>
          <w:color w:val="000000"/>
        </w:rPr>
        <w:t>ing af anvendelsen af den nuværende ILO-forordning som en af sine prioriterede aktioner med henblik på forbedring af informationsudvekslingen og bedre forebyggelse af ulovlig indvandring og smugling af migranter. Samtidig bekendtgjorde Kommissionen udsende</w:t>
      </w:r>
      <w:r>
        <w:rPr>
          <w:noProof/>
          <w:color w:val="000000"/>
        </w:rPr>
        <w:t>lsen af europæiske migrationsforbindelsesofficerer med sigte på at styrke EU-repræsentationernes kapacitet inden for migration. I øjeblikket er der udsendt EMLO'er til 13 prioriterede lande</w:t>
      </w:r>
      <w:r>
        <w:rPr>
          <w:rStyle w:val="FootnoteReference"/>
          <w:noProof/>
          <w:color w:val="000000"/>
        </w:rPr>
        <w:footnoteReference w:id="10"/>
      </w:r>
      <w:r>
        <w:rPr>
          <w:noProof/>
          <w:color w:val="000000"/>
        </w:rPr>
        <w:t>, og de har sluttet sig til ILO-netværkene for at samordne aktivit</w:t>
      </w:r>
      <w:r>
        <w:rPr>
          <w:noProof/>
          <w:color w:val="000000"/>
        </w:rPr>
        <w:t>eterne på dette område med andre forbindelsesofficerer på stedet.</w:t>
      </w:r>
    </w:p>
    <w:p w:rsidR="00613CC4" w:rsidRDefault="00950A85">
      <w:pPr>
        <w:widowControl w:val="0"/>
        <w:autoSpaceDE w:val="0"/>
        <w:autoSpaceDN w:val="0"/>
        <w:adjustRightInd w:val="0"/>
        <w:spacing w:before="0" w:after="240"/>
        <w:rPr>
          <w:noProof/>
          <w:color w:val="000000"/>
          <w:szCs w:val="24"/>
        </w:rPr>
      </w:pPr>
      <w:r>
        <w:rPr>
          <w:noProof/>
          <w:color w:val="000000"/>
        </w:rPr>
        <w:t>I meddelelsen om levering af den europæiske dagsorden for migration</w:t>
      </w:r>
      <w:r>
        <w:rPr>
          <w:rStyle w:val="FootnoteReference"/>
          <w:noProof/>
          <w:color w:val="000000"/>
        </w:rPr>
        <w:footnoteReference w:id="11"/>
      </w:r>
      <w:r>
        <w:rPr>
          <w:noProof/>
          <w:color w:val="000000"/>
        </w:rPr>
        <w:t xml:space="preserve"> to år senere bebudede Kommissionen, at der på grundlag af resultatet af evalueringen af ILO-forordningen gennem en revisi</w:t>
      </w:r>
      <w:r>
        <w:rPr>
          <w:noProof/>
          <w:color w:val="000000"/>
        </w:rPr>
        <w:t>on af de aktuelle retlige rammer ville blive opstillet fælles rammer og klare mandater for personale udsendt til tredjelande om at træffe foranstaltninger til at bekæmpe smugling af migranter. Dette er også i tråd med de politiske prioriteter i meddelelsen</w:t>
      </w:r>
      <w:r>
        <w:rPr>
          <w:noProof/>
          <w:color w:val="000000"/>
        </w:rPr>
        <w:t xml:space="preserve"> om menneskehandel</w:t>
      </w:r>
      <w:r>
        <w:rPr>
          <w:rStyle w:val="FootnoteReference"/>
          <w:noProof/>
          <w:color w:val="000000"/>
        </w:rPr>
        <w:footnoteReference w:id="12"/>
      </w:r>
      <w:r>
        <w:rPr>
          <w:noProof/>
          <w:color w:val="000000"/>
        </w:rPr>
        <w:t xml:space="preserve"> med sigte på at forbedre samordningen af de interne og eksterne aspekter af EU's indsats mod menneskehandel, herunder ved hjælp af relevante netværk.</w:t>
      </w:r>
    </w:p>
    <w:p w:rsidR="00613CC4" w:rsidRDefault="00950A85">
      <w:pPr>
        <w:widowControl w:val="0"/>
        <w:autoSpaceDE w:val="0"/>
        <w:autoSpaceDN w:val="0"/>
        <w:adjustRightInd w:val="0"/>
        <w:spacing w:before="0" w:after="240"/>
        <w:rPr>
          <w:noProof/>
          <w:color w:val="000000"/>
          <w:szCs w:val="24"/>
        </w:rPr>
      </w:pPr>
      <w:r>
        <w:rPr>
          <w:noProof/>
          <w:color w:val="000000"/>
        </w:rPr>
        <w:t>Med dette forslag bidrager Kommissionen til de overordnede politiske prioriteter inden</w:t>
      </w:r>
      <w:r>
        <w:rPr>
          <w:noProof/>
          <w:color w:val="000000"/>
        </w:rPr>
        <w:t xml:space="preserve"> for bekæmpelse af ulovlig indvandring og migrationsstyring og Unionens ydre grænser.  Forslaget bygger på eksisterende politik, herunder navnlig den nuværende forordning, som fastlægger ILO'ernes opgaver og opretter ILO-netværk, men det løfter det op på e</w:t>
      </w:r>
      <w:r>
        <w:rPr>
          <w:noProof/>
          <w:color w:val="000000"/>
        </w:rPr>
        <w:t xml:space="preserve">t andet kvalitetsniveau. </w:t>
      </w:r>
      <w:r>
        <w:rPr>
          <w:noProof/>
        </w:rPr>
        <w:t xml:space="preserve"> </w:t>
      </w:r>
      <w:r>
        <w:rPr>
          <w:noProof/>
          <w:color w:val="000000"/>
        </w:rPr>
        <w:t>Forslaget er en væsentlige udbygning af ILO-netværkenes evne til at reagere effektivt og rettidigt på nuværende eller fremtidige migrationsrelaterede udfordringer, idet det proaktivt styrker, vurderer og koordinerer tiltag fra med</w:t>
      </w:r>
      <w:r>
        <w:rPr>
          <w:noProof/>
          <w:color w:val="000000"/>
        </w:rPr>
        <w:t>lemsstaterne, Kommissionen og EU's agenturer ved gennemførelsen af fælles foranstaltninger uden for eller ved EU's ydre grænser. Med denne revision bliver det også muligt fuldt ud at udnytte hele potentialet i netværket af forbindelsesofficerer, der er uds</w:t>
      </w:r>
      <w:r>
        <w:rPr>
          <w:noProof/>
          <w:color w:val="000000"/>
        </w:rPr>
        <w:t xml:space="preserve">endt af Kommissionen og EU-agenturerne. </w:t>
      </w:r>
    </w:p>
    <w:p w:rsidR="00613CC4" w:rsidRDefault="00950A85">
      <w:pPr>
        <w:pStyle w:val="ManualHeading2"/>
        <w:rPr>
          <w:rFonts w:eastAsia="Arial Unicode MS"/>
          <w:noProof/>
        </w:rPr>
      </w:pPr>
      <w:r>
        <w:rPr>
          <w:noProof/>
          <w:color w:val="000000"/>
          <w:u w:color="000000"/>
          <w:bdr w:val="nil"/>
        </w:rPr>
        <w:t>•</w:t>
      </w:r>
      <w:r>
        <w:rPr>
          <w:noProof/>
        </w:rPr>
        <w:tab/>
        <w:t>Sammenhæng med Unionens politik på andre områder</w:t>
      </w:r>
    </w:p>
    <w:p w:rsidR="00613CC4" w:rsidRDefault="00950A85">
      <w:pPr>
        <w:widowControl w:val="0"/>
        <w:autoSpaceDE w:val="0"/>
        <w:autoSpaceDN w:val="0"/>
        <w:adjustRightInd w:val="0"/>
        <w:spacing w:before="0"/>
        <w:rPr>
          <w:noProof/>
          <w:color w:val="000000"/>
          <w:szCs w:val="24"/>
        </w:rPr>
      </w:pPr>
      <w:r>
        <w:rPr>
          <w:noProof/>
          <w:color w:val="000000"/>
        </w:rPr>
        <w:t xml:space="preserve">Forslaget er tæt knyttet til og supplerer en række af Unionens aktiviteter på migrationsområdet, bl.a.: </w:t>
      </w:r>
    </w:p>
    <w:p w:rsidR="00613CC4" w:rsidRDefault="00950A85">
      <w:pPr>
        <w:pStyle w:val="Bullet0"/>
        <w:numPr>
          <w:ilvl w:val="0"/>
          <w:numId w:val="9"/>
        </w:numPr>
        <w:rPr>
          <w:noProof/>
        </w:rPr>
      </w:pPr>
      <w:r>
        <w:rPr>
          <w:b/>
          <w:noProof/>
        </w:rPr>
        <w:t>Forebyggelse og bekæmpelse af smugling af migranter og menn</w:t>
      </w:r>
      <w:r>
        <w:rPr>
          <w:b/>
          <w:noProof/>
        </w:rPr>
        <w:t>eskehandel</w:t>
      </w:r>
      <w:r>
        <w:rPr>
          <w:noProof/>
        </w:rPr>
        <w:t>, idet effektive tiltag mod smugleres og menneskehandleres kriminelle aktiviteter skal iværksættes langs hele migrationsruten, lige fra starten i oprindelses- og transittredjelande</w:t>
      </w:r>
    </w:p>
    <w:p w:rsidR="00613CC4" w:rsidRDefault="00950A85">
      <w:pPr>
        <w:pStyle w:val="Bullet0"/>
        <w:rPr>
          <w:noProof/>
        </w:rPr>
      </w:pPr>
      <w:r>
        <w:rPr>
          <w:b/>
          <w:noProof/>
        </w:rPr>
        <w:t>Tilbagesendelse af tredjelandsstatsborgere med ulovligt ophold</w:t>
      </w:r>
      <w:r>
        <w:rPr>
          <w:noProof/>
        </w:rPr>
        <w:t>, h</w:t>
      </w:r>
      <w:r>
        <w:rPr>
          <w:noProof/>
        </w:rPr>
        <w:t>vor en forbedring af det praktiske samarbejde og aftaler med oprindelseslande er en væsentlig forudsætning for at sikre gennemførelsen af bestående tilbagetagelsesaftaler og afslutning af igangværende forhandlinger samt håndhævelse af afgørelser om tilbage</w:t>
      </w:r>
      <w:r>
        <w:rPr>
          <w:noProof/>
        </w:rPr>
        <w:t>sendelse</w:t>
      </w:r>
    </w:p>
    <w:p w:rsidR="00613CC4" w:rsidRDefault="00950A85">
      <w:pPr>
        <w:pStyle w:val="Bullet0"/>
        <w:rPr>
          <w:noProof/>
        </w:rPr>
      </w:pPr>
      <w:r>
        <w:rPr>
          <w:b/>
          <w:noProof/>
        </w:rPr>
        <w:t>Integreret grænseforvaltning</w:t>
      </w:r>
      <w:r>
        <w:rPr>
          <w:noProof/>
        </w:rPr>
        <w:t>, som afdækker risiciene for den interne sikkerhed og trusler, som kan påvirke sikkerheden ved de ydre grænser, samarbejde mellem medlemsstaterne med støtte og koordinering fra EBCG samt samarbejde med tredjelande, navn</w:t>
      </w:r>
      <w:r>
        <w:rPr>
          <w:noProof/>
        </w:rPr>
        <w:t>lig med nabolande og de tredjelande, som via risikoanalyser er udpeget som oprindelses- og transitlande</w:t>
      </w:r>
    </w:p>
    <w:p w:rsidR="00613CC4" w:rsidRDefault="00950A85">
      <w:pPr>
        <w:pStyle w:val="Bullet0"/>
        <w:rPr>
          <w:noProof/>
        </w:rPr>
      </w:pPr>
      <w:r>
        <w:rPr>
          <w:b/>
          <w:noProof/>
        </w:rPr>
        <w:t>Lovlig migration og integration</w:t>
      </w:r>
      <w:r>
        <w:rPr>
          <w:noProof/>
        </w:rPr>
        <w:t>, som er en integreret del af EU's overordnede samarbejde med tredjelande om migrationsspørgsmål og væsentlige for en int</w:t>
      </w:r>
      <w:r>
        <w:rPr>
          <w:noProof/>
        </w:rPr>
        <w:t>elligent og effektiv forvaltning af migrationsstrømme, navnlig ved at indføre konceptet med integrationsforbindelsesofficerer i ambassader i vigtige tredjelande, jf. handlingsplanen for integration fra 2016</w:t>
      </w:r>
      <w:r>
        <w:rPr>
          <w:rStyle w:val="FootnoteReference"/>
          <w:noProof/>
        </w:rPr>
        <w:footnoteReference w:id="13"/>
      </w:r>
    </w:p>
    <w:p w:rsidR="00613CC4" w:rsidRDefault="00950A85">
      <w:pPr>
        <w:pStyle w:val="Bullet0"/>
        <w:rPr>
          <w:noProof/>
          <w:szCs w:val="24"/>
        </w:rPr>
      </w:pPr>
      <w:r>
        <w:rPr>
          <w:b/>
          <w:noProof/>
        </w:rPr>
        <w:t>EU's politik for eksterne forbindelser</w:t>
      </w:r>
      <w:r>
        <w:rPr>
          <w:noProof/>
        </w:rPr>
        <w:t>, eftersom</w:t>
      </w:r>
      <w:r>
        <w:rPr>
          <w:noProof/>
        </w:rPr>
        <w:t xml:space="preserve"> de forbindelsesofficerer, der er udsendt til tredjelande bør fremme og opmuntre til operationelt samarbejde mellem medlemsstaterne og tredjelande, herunder ved at samarbejde med myndighederne i tredjelande om migrationsstyring, beskyttelse, smugling af mi</w:t>
      </w:r>
      <w:r>
        <w:rPr>
          <w:noProof/>
        </w:rPr>
        <w:t>granter, menneskehandel, tilbagesendelse og tilbagetagelse samt forvaltning af grænser</w:t>
      </w:r>
    </w:p>
    <w:p w:rsidR="00613CC4" w:rsidRDefault="00950A85">
      <w:pPr>
        <w:pStyle w:val="Bullet0"/>
        <w:rPr>
          <w:noProof/>
          <w:szCs w:val="24"/>
        </w:rPr>
      </w:pPr>
      <w:r>
        <w:rPr>
          <w:b/>
          <w:noProof/>
        </w:rPr>
        <w:t>Databeskyttelse</w:t>
      </w:r>
      <w:r>
        <w:rPr>
          <w:noProof/>
        </w:rPr>
        <w:t xml:space="preserve"> for så vidt som dette forslag sikrer beskyttelsen af fysiske personers grundlæggende rettigheder, når deres personoplysninger behandles. </w:t>
      </w:r>
    </w:p>
    <w:p w:rsidR="00613CC4" w:rsidRDefault="00950A85">
      <w:pPr>
        <w:pStyle w:val="ManualHeading1"/>
        <w:rPr>
          <w:noProof/>
        </w:rPr>
      </w:pPr>
      <w:r>
        <w:rPr>
          <w:noProof/>
        </w:rPr>
        <w:t>2.</w:t>
      </w:r>
      <w:r>
        <w:rPr>
          <w:noProof/>
        </w:rPr>
        <w:tab/>
        <w:t>RETSGRUNDLAG</w:t>
      </w:r>
      <w:r>
        <w:rPr>
          <w:noProof/>
        </w:rPr>
        <w:t>, NÆRHEDSPRINCIPPET OG PROPORTIONALITETSPRINCIPPET</w:t>
      </w:r>
    </w:p>
    <w:p w:rsidR="00613CC4" w:rsidRDefault="00950A85">
      <w:pPr>
        <w:pStyle w:val="ManualHeading2"/>
        <w:spacing w:after="240" w:line="360" w:lineRule="atLeast"/>
        <w:rPr>
          <w:rFonts w:eastAsia="Arial Unicode MS"/>
          <w:noProof/>
          <w:u w:color="000000"/>
          <w:bdr w:val="nil"/>
        </w:rPr>
      </w:pPr>
      <w:r>
        <w:rPr>
          <w:noProof/>
        </w:rPr>
        <w:t>•</w:t>
      </w:r>
      <w:r>
        <w:rPr>
          <w:noProof/>
        </w:rPr>
        <w:tab/>
        <w:t>Retsgrundlag</w:t>
      </w:r>
    </w:p>
    <w:p w:rsidR="00613CC4" w:rsidRDefault="00950A85">
      <w:pPr>
        <w:widowControl w:val="0"/>
        <w:autoSpaceDE w:val="0"/>
        <w:autoSpaceDN w:val="0"/>
        <w:adjustRightInd w:val="0"/>
        <w:spacing w:before="0" w:after="240"/>
        <w:rPr>
          <w:noProof/>
          <w:color w:val="000000"/>
          <w:szCs w:val="24"/>
        </w:rPr>
      </w:pPr>
      <w:r>
        <w:rPr>
          <w:noProof/>
          <w:color w:val="000000"/>
        </w:rPr>
        <w:t xml:space="preserve">Dette forslag til retsakt er baseret på artikel 79, stk. 2, i traktaten om Den Europæiske Unions funktionsmåde (TEUF), som giver Europa-Parlamentet og Rådet beføjelse til at vedtage </w:t>
      </w:r>
      <w:r>
        <w:rPr>
          <w:noProof/>
          <w:color w:val="000000"/>
        </w:rPr>
        <w:t>foranstaltninger inden for området lovlig indvandring, ulovlig indvandring og ulovligt ophold, herunder udsendelse og repatriering af personer med ulovligt ophold og bekæmpelse af menneskehandel, samt på artikel 74, som giver Rådet beføjelse til at vedtage</w:t>
      </w:r>
      <w:r>
        <w:rPr>
          <w:noProof/>
          <w:color w:val="000000"/>
        </w:rPr>
        <w:t xml:space="preserve"> foranstaltninger med henblik på at sikre administrativt samarbejde mellem de relevante myndigheder i medlemsstaterne inden for området frihed, sikkerhed og retfærdighed.</w:t>
      </w:r>
    </w:p>
    <w:p w:rsidR="00613CC4" w:rsidRDefault="00950A85">
      <w:pPr>
        <w:pStyle w:val="ManualHeading2"/>
        <w:spacing w:after="240" w:line="360" w:lineRule="atLeast"/>
        <w:rPr>
          <w:rFonts w:eastAsia="Arial Unicode MS"/>
          <w:noProof/>
          <w:u w:color="000000"/>
          <w:bdr w:val="nil"/>
        </w:rPr>
      </w:pPr>
      <w:r>
        <w:rPr>
          <w:noProof/>
        </w:rPr>
        <w:t>•</w:t>
      </w:r>
      <w:r>
        <w:rPr>
          <w:noProof/>
        </w:rPr>
        <w:tab/>
        <w:t xml:space="preserve">Nærhedsprincippet (for områder, der ikke er omfattet af enekompetence) </w:t>
      </w:r>
    </w:p>
    <w:p w:rsidR="00613CC4" w:rsidRDefault="00950A85">
      <w:pPr>
        <w:widowControl w:val="0"/>
        <w:autoSpaceDE w:val="0"/>
        <w:autoSpaceDN w:val="0"/>
        <w:adjustRightInd w:val="0"/>
        <w:spacing w:before="0" w:after="240"/>
        <w:rPr>
          <w:noProof/>
        </w:rPr>
      </w:pPr>
      <w:r>
        <w:rPr>
          <w:noProof/>
        </w:rPr>
        <w:t>Målet med d</w:t>
      </w:r>
      <w:r>
        <w:rPr>
          <w:noProof/>
        </w:rPr>
        <w:t>ette forslag er at sikre optimal udnyttelse af indvandringsforbindelsesofficerer, herunder dem udsendt af Kommissionen og EU-agenturer til tredjelande, med sigte på en mere virkningsfuld gennemførelse af EU's politiske prioriteter på migrationsområdet, f.e</w:t>
      </w:r>
      <w:r>
        <w:rPr>
          <w:noProof/>
        </w:rPr>
        <w:t>ks. forebyggelse og bekæmpelse af ulovlig indvandring, lettere tilbagesendelse af tredjelandsstatsborgere med ulovligt ophold samt støtte til forvaltning af lovlig migration, herunder inden for området international beskyttelse, genbosættelse og integratio</w:t>
      </w:r>
      <w:r>
        <w:rPr>
          <w:noProof/>
        </w:rPr>
        <w:t>nsforanstaltninger inden afrejse, på en mere effektiv måde. At opfylde disse mål forudsætter en samordnet tilgang på EU-plan, der inddrager alle nationale myndigheder og EU-organer med ansvar for udsendelse og forvaltning af forbindelsesofficerer, som hånd</w:t>
      </w:r>
      <w:r>
        <w:rPr>
          <w:noProof/>
        </w:rPr>
        <w:t>terer migrationsspørgsmål i tredjelande. Forebyggelse og navnlig bekæmpelse af ulovlig indvandring er i alle medlemsstaters fælles interesse, og kan ikke nås af medlemsstaterne alene, hvilket nødvendiggør en samordnet indsats på europæisk plan og målretted</w:t>
      </w:r>
      <w:r>
        <w:rPr>
          <w:noProof/>
        </w:rPr>
        <w:t>e foranstaltninger, som fuldt ud respekterer nærhedsprincippet, jf. artikel 5, stk. 3, i traktaten om Den Europæiske Union.</w:t>
      </w:r>
    </w:p>
    <w:p w:rsidR="00613CC4" w:rsidRDefault="00950A85">
      <w:pPr>
        <w:pStyle w:val="ManualHeading2"/>
        <w:rPr>
          <w:rFonts w:eastAsia="Arial Unicode MS"/>
          <w:noProof/>
          <w:u w:color="000000"/>
          <w:bdr w:val="nil"/>
        </w:rPr>
      </w:pPr>
      <w:r>
        <w:rPr>
          <w:noProof/>
        </w:rPr>
        <w:t xml:space="preserve"> •</w:t>
      </w:r>
      <w:r>
        <w:rPr>
          <w:noProof/>
        </w:rPr>
        <w:tab/>
        <w:t>Proportionalitetsprincippet</w:t>
      </w:r>
    </w:p>
    <w:p w:rsidR="00613CC4" w:rsidRDefault="00950A85">
      <w:pPr>
        <w:rPr>
          <w:noProof/>
        </w:rPr>
      </w:pPr>
      <w:r>
        <w:rPr>
          <w:noProof/>
        </w:rPr>
        <w:t>Forslaget til retsakt vil reagere på de nye udfordringer og den politiske realitet, som Unionen står over for for så vidt angår migrationsstyring og intern sikkerhed. Det fastsætter mekanismer, som giver mulighed for en mere effektiv forvaltning af indvand</w:t>
      </w:r>
      <w:r>
        <w:rPr>
          <w:noProof/>
        </w:rPr>
        <w:t>ringsforbindelsesofficererne, herunder dem udsendt af Kommissionen og EU-agenturer til tredjelande, som led i foranstaltninger, der bidrager til gennemførelsen af den europæiske indvandringspolitik i alle dens aspekter. Forslaget sikrer, at oplysninger ind</w:t>
      </w:r>
      <w:r>
        <w:rPr>
          <w:noProof/>
        </w:rPr>
        <w:t>samles og deles, og at der tages passende skridt til at forhindre illegal indvandring, bekæmpe smugling af migranter og menneskehandel ved at gribe ind på et tidligt tidspunkt ved de ydre grænser. Herudover understøtter det forvaltningen af lovlig migratio</w:t>
      </w:r>
      <w:r>
        <w:rPr>
          <w:noProof/>
        </w:rPr>
        <w:t>n, herunder inden for området international beskyttelse, genbosættelse og integrationsforanstaltninger inden afrejse, under fuld overholdelse af de nationale strukturer og procedurer.</w:t>
      </w:r>
    </w:p>
    <w:p w:rsidR="00613CC4" w:rsidRDefault="00950A85">
      <w:pPr>
        <w:widowControl w:val="0"/>
        <w:autoSpaceDE w:val="0"/>
        <w:autoSpaceDN w:val="0"/>
        <w:adjustRightInd w:val="0"/>
        <w:spacing w:before="0" w:after="240"/>
        <w:rPr>
          <w:noProof/>
          <w:color w:val="000000"/>
          <w:szCs w:val="24"/>
        </w:rPr>
      </w:pPr>
      <w:r>
        <w:rPr>
          <w:noProof/>
        </w:rPr>
        <w:t>Forslaget udgør en yderligere udvikling af Schengen-reglerne for så vidt</w:t>
      </w:r>
      <w:r>
        <w:rPr>
          <w:noProof/>
        </w:rPr>
        <w:t xml:space="preserve"> angår bekæmpelse af ulovlig indvandring. Det styrker samarbejdet mellem de relevante EU-medlemsstaters nationale myndigheder og mellem dem og Kommissionen og EU-agenturerne under fuld overholdelse af proportionalitetsprincippet, jf. artikel 5, stk. 4, i t</w:t>
      </w:r>
      <w:r>
        <w:rPr>
          <w:noProof/>
        </w:rPr>
        <w:t>raktaten om Den Europæiske Union, og uden at gå ud over, hvad der er nødvendigt for at nå de vigtigste mål.</w:t>
      </w:r>
    </w:p>
    <w:p w:rsidR="00613CC4" w:rsidRDefault="00950A85">
      <w:pPr>
        <w:pStyle w:val="ManualHeading2"/>
        <w:spacing w:after="240" w:line="360" w:lineRule="atLeast"/>
        <w:rPr>
          <w:rFonts w:eastAsia="Arial Unicode MS"/>
          <w:noProof/>
          <w:u w:color="000000"/>
          <w:bdr w:val="nil"/>
        </w:rPr>
      </w:pPr>
      <w:r>
        <w:rPr>
          <w:noProof/>
        </w:rPr>
        <w:t>•</w:t>
      </w:r>
      <w:r>
        <w:rPr>
          <w:noProof/>
        </w:rPr>
        <w:tab/>
        <w:t>Valg af retsakt</w:t>
      </w:r>
    </w:p>
    <w:p w:rsidR="00613CC4" w:rsidRDefault="00950A85">
      <w:pPr>
        <w:widowControl w:val="0"/>
        <w:autoSpaceDE w:val="0"/>
        <w:autoSpaceDN w:val="0"/>
        <w:adjustRightInd w:val="0"/>
        <w:spacing w:before="0" w:after="240"/>
        <w:rPr>
          <w:noProof/>
          <w:color w:val="000000"/>
          <w:szCs w:val="24"/>
        </w:rPr>
      </w:pPr>
      <w:r>
        <w:rPr>
          <w:noProof/>
          <w:color w:val="000000"/>
        </w:rPr>
        <w:t>Den nødvendige grad af ensartethed, der kræves til en effektiv forvaltning af et europæisk netværk af indvandringsforbindelsesoffi</w:t>
      </w:r>
      <w:r>
        <w:rPr>
          <w:noProof/>
          <w:color w:val="000000"/>
        </w:rPr>
        <w:t>cerer i tredjelande, kan kun nås via en forordning, og dette bekræftes af den oprindelige oprettelse af et ILO-netværk. Da de overordnede mål og den politiske kontekst ikke er ændret, vil den samme type retsakt i forbindelse med dette forslag være passende</w:t>
      </w:r>
      <w:r>
        <w:rPr>
          <w:noProof/>
          <w:color w:val="000000"/>
        </w:rPr>
        <w:t>.</w:t>
      </w:r>
    </w:p>
    <w:p w:rsidR="00613CC4" w:rsidRDefault="00950A85">
      <w:pPr>
        <w:pStyle w:val="ManualHeading1"/>
        <w:rPr>
          <w:noProof/>
        </w:rPr>
      </w:pPr>
      <w:r>
        <w:rPr>
          <w:noProof/>
        </w:rPr>
        <w:t>3.</w:t>
      </w:r>
      <w:r>
        <w:rPr>
          <w:noProof/>
        </w:rPr>
        <w:tab/>
        <w:t>RESULTATER AF EFTERFØLGENDE EVALUERINGER, HØRINGER AF INTERESSEREDE PARTER OG KONSEKVENSANALYSER</w:t>
      </w:r>
    </w:p>
    <w:p w:rsidR="00613CC4" w:rsidRDefault="00950A85">
      <w:pPr>
        <w:pStyle w:val="ManualHeading2"/>
        <w:spacing w:after="240" w:line="360" w:lineRule="atLeast"/>
        <w:rPr>
          <w:rFonts w:eastAsia="Arial Unicode MS"/>
          <w:noProof/>
          <w:u w:color="000000"/>
          <w:bdr w:val="nil"/>
        </w:rPr>
      </w:pPr>
      <w:r>
        <w:rPr>
          <w:noProof/>
        </w:rPr>
        <w:t>•</w:t>
      </w:r>
      <w:r>
        <w:rPr>
          <w:noProof/>
        </w:rPr>
        <w:tab/>
        <w:t>Efterfølgende evalueringer/kvalitetskontrol af gældende lovgivning</w:t>
      </w:r>
    </w:p>
    <w:p w:rsidR="00613CC4" w:rsidRDefault="00950A85">
      <w:pPr>
        <w:pBdr>
          <w:top w:val="nil"/>
          <w:left w:val="nil"/>
          <w:bottom w:val="nil"/>
          <w:right w:val="nil"/>
          <w:between w:val="nil"/>
          <w:bar w:val="nil"/>
        </w:pBdr>
        <w:spacing w:before="0" w:after="240"/>
        <w:rPr>
          <w:rFonts w:eastAsia="Arial Unicode MS"/>
          <w:noProof/>
        </w:rPr>
      </w:pPr>
      <w:r>
        <w:rPr>
          <w:noProof/>
        </w:rPr>
        <w:t>Kommissionen har foretaget en ekstern evaluering af den nuværende ILO-forordning, som</w:t>
      </w:r>
      <w:r>
        <w:rPr>
          <w:noProof/>
        </w:rPr>
        <w:t xml:space="preserve"> blev afsluttet i august 2017.</w:t>
      </w:r>
    </w:p>
    <w:p w:rsidR="00613CC4" w:rsidRDefault="00950A85">
      <w:pPr>
        <w:pBdr>
          <w:top w:val="nil"/>
          <w:left w:val="nil"/>
          <w:bottom w:val="nil"/>
          <w:right w:val="nil"/>
          <w:between w:val="nil"/>
          <w:bar w:val="nil"/>
        </w:pBdr>
        <w:spacing w:before="0" w:after="240"/>
        <w:rPr>
          <w:rFonts w:eastAsia="Arial Unicode MS"/>
          <w:noProof/>
        </w:rPr>
      </w:pPr>
      <w:r>
        <w:rPr>
          <w:noProof/>
        </w:rPr>
        <w:t>Evalueringsprocessen omfattede høring af en bred vifte af kilder, herunder analyse af formandskabets rapporter og dokumenter knyttet til arbejdet i medlemsstaternes ekspertgruppe om ILO-netværk, tilrettelæggelse af factfindin</w:t>
      </w:r>
      <w:r>
        <w:rPr>
          <w:noProof/>
        </w:rPr>
        <w:t>g-besøg i 14 lande, hvortil der er udsendt ILO'er (Pakistan, Jordan, Egypten, Nigeria, Etiopien, Sydafrika, Albanien (det vestlige Balkan), Marokko, Senegal, Ghana, Tyrkiet, Thailand, Kina og Rusland), interviews med EU-interesseparter, ILO-ledere i medlem</w:t>
      </w:r>
      <w:r>
        <w:rPr>
          <w:noProof/>
        </w:rPr>
        <w:t>sstaterne og internationale organisationer og gennemførelse af et rundspørge blandt ILO'er og deres ledere. Herudover blev der gennemført dybtgående interviews med Kommissionen, Unionens højtstående repræsentant for udenrigsanliggender og sikkerhedspolitik</w:t>
      </w:r>
      <w:r>
        <w:rPr>
          <w:noProof/>
        </w:rPr>
        <w:t xml:space="preserve"> og EU-agenturer. Endelig blev der nedsat et ILO-lederpanel af repræsentanterne for fire medlemsstater: Frankrig, Tyskland, Nederlandene og Det Forenede Kongerige. Disse kilder blev sammenholdt for at udarbejde en solid analyse, konklusioner og anbefalinge</w:t>
      </w:r>
      <w:r>
        <w:rPr>
          <w:noProof/>
        </w:rPr>
        <w:t>r fra evalueringen.</w:t>
      </w:r>
    </w:p>
    <w:p w:rsidR="00613CC4" w:rsidRDefault="00950A85">
      <w:pPr>
        <w:pBdr>
          <w:top w:val="nil"/>
          <w:left w:val="nil"/>
          <w:bottom w:val="nil"/>
          <w:right w:val="nil"/>
          <w:between w:val="nil"/>
          <w:bar w:val="nil"/>
        </w:pBdr>
        <w:spacing w:before="0" w:after="240"/>
        <w:rPr>
          <w:noProof/>
        </w:rPr>
      </w:pPr>
      <w:r>
        <w:rPr>
          <w:noProof/>
        </w:rPr>
        <w:t>Den indsamlede dokumentation bekræftede, at indvandringsforbindelsesofficerer og deres netværk fortsat er yderst relevante i den aktuelle globale migrationskontekst og bevarer sammenhængen mellem nuværende og planlagte europæiske politi</w:t>
      </w:r>
      <w:r>
        <w:rPr>
          <w:noProof/>
        </w:rPr>
        <w:t>kker på migrationsområdet. Evalueringen har dog også vist, at indvandringsforbindelsesofficerer er tæt knyttet til deres nationale forvaltning, hvad angår tildeling og prioritering af deres arbejde samt udveksling af oplysninger. Det understregede den mang</w:t>
      </w:r>
      <w:r>
        <w:rPr>
          <w:noProof/>
        </w:rPr>
        <w:t>lende hensyntagen til dette aspekt i den eksisterende forordning, som er fokuseret på at styre, hvordan indvandringsforbindelsesofficerer bør udforme, udvikle og forvalte netværk på lokalt plan i tredjelande, men forsømmer behov for forvaltning af netværke</w:t>
      </w:r>
      <w:r>
        <w:rPr>
          <w:noProof/>
        </w:rPr>
        <w:t>ne på EU-plan.</w:t>
      </w:r>
    </w:p>
    <w:p w:rsidR="00613CC4" w:rsidRDefault="00950A85">
      <w:pPr>
        <w:pBdr>
          <w:top w:val="nil"/>
          <w:left w:val="nil"/>
          <w:bottom w:val="nil"/>
          <w:right w:val="nil"/>
          <w:between w:val="nil"/>
          <w:bar w:val="nil"/>
        </w:pBdr>
        <w:spacing w:before="0" w:after="240"/>
        <w:rPr>
          <w:noProof/>
        </w:rPr>
      </w:pPr>
      <w:r>
        <w:rPr>
          <w:noProof/>
        </w:rPr>
        <w:t>I tilgift har dokumentationen fra evalueringen vist, at den nuværende forordning ikke førte til systematisk oprettelse af formelle netværk, da netværksaktiviteter alligevel finder sted i en eller anden form alle steder, hvor 3 eller flere in</w:t>
      </w:r>
      <w:r>
        <w:rPr>
          <w:noProof/>
        </w:rPr>
        <w:t>dvandringsforbindelsesofficerer er udsendt.  Endelig blev det i evalueringen konkluderet, at forordningen mangler målelige virkninger på niveauet og omfanget af informationsdeling inden for et netværk af indvandringsforbindelsesofficerer.  Forordningen har</w:t>
      </w:r>
      <w:r>
        <w:rPr>
          <w:noProof/>
        </w:rPr>
        <w:t xml:space="preserve"> hverken ført til en systematisk udveksling af strategiske oplysninger og operationel efterretning opad fra ILO-netværk til EU's institutioner og organer eller horisontalt på tværs af netværkene og medlemsstaterne.</w:t>
      </w:r>
    </w:p>
    <w:p w:rsidR="00613CC4" w:rsidRDefault="00950A85">
      <w:pPr>
        <w:pBdr>
          <w:top w:val="nil"/>
          <w:left w:val="nil"/>
          <w:bottom w:val="nil"/>
          <w:right w:val="nil"/>
          <w:between w:val="nil"/>
          <w:bar w:val="nil"/>
        </w:pBdr>
        <w:spacing w:before="0" w:after="240"/>
        <w:rPr>
          <w:noProof/>
        </w:rPr>
      </w:pPr>
      <w:r>
        <w:rPr>
          <w:noProof/>
        </w:rPr>
        <w:t>Evalueringens resultater afdækkede forhol</w:t>
      </w:r>
      <w:r>
        <w:rPr>
          <w:noProof/>
        </w:rPr>
        <w:t>d, som understøtter det foreliggende forslag og afspejles i Kommissionens evaluering af ILO-forordningen, som præsenteres i arbejdsdokumentet fra Kommissionens tjenestegrene, som ledsager dette forslag.</w:t>
      </w:r>
    </w:p>
    <w:p w:rsidR="00613CC4" w:rsidRDefault="00950A85">
      <w:pPr>
        <w:pStyle w:val="ManualHeading2"/>
        <w:spacing w:after="240" w:line="360" w:lineRule="atLeast"/>
        <w:rPr>
          <w:rFonts w:eastAsia="Arial Unicode MS"/>
          <w:noProof/>
          <w:u w:color="000000"/>
          <w:bdr w:val="nil"/>
        </w:rPr>
      </w:pPr>
      <w:r>
        <w:rPr>
          <w:noProof/>
        </w:rPr>
        <w:t>•</w:t>
      </w:r>
      <w:r>
        <w:rPr>
          <w:noProof/>
        </w:rPr>
        <w:tab/>
        <w:t>Høringer af interesserede parter</w:t>
      </w:r>
    </w:p>
    <w:p w:rsidR="00613CC4" w:rsidRDefault="00950A85">
      <w:pPr>
        <w:pBdr>
          <w:top w:val="nil"/>
          <w:left w:val="nil"/>
          <w:bottom w:val="nil"/>
          <w:right w:val="nil"/>
          <w:between w:val="nil"/>
          <w:bar w:val="nil"/>
        </w:pBdr>
        <w:spacing w:before="0" w:after="240"/>
        <w:rPr>
          <w:noProof/>
          <w:szCs w:val="24"/>
        </w:rPr>
      </w:pPr>
      <w:r>
        <w:rPr>
          <w:noProof/>
        </w:rPr>
        <w:t xml:space="preserve">Ved udarbejdelsen </w:t>
      </w:r>
      <w:r>
        <w:rPr>
          <w:noProof/>
        </w:rPr>
        <w:t>af dette forslag har Kommissionen taget udgangspunkt i konklusionerne fra Det Europæiske Råd og drøftelserne i Ministerrådet og Europa-Parlamentet om migrationsstyring og om de foranstaltninger, der er nødvendige for at tackle migrationskrisen.</w:t>
      </w:r>
    </w:p>
    <w:p w:rsidR="00613CC4" w:rsidRDefault="00950A85">
      <w:pPr>
        <w:pBdr>
          <w:top w:val="nil"/>
          <w:left w:val="nil"/>
          <w:bottom w:val="nil"/>
          <w:right w:val="nil"/>
          <w:between w:val="nil"/>
          <w:bar w:val="nil"/>
        </w:pBdr>
        <w:spacing w:before="0" w:after="240"/>
        <w:rPr>
          <w:noProof/>
          <w:szCs w:val="24"/>
        </w:rPr>
      </w:pPr>
      <w:r>
        <w:rPr>
          <w:noProof/>
        </w:rPr>
        <w:t>Der blev ge</w:t>
      </w:r>
      <w:r>
        <w:rPr>
          <w:noProof/>
        </w:rPr>
        <w:t>nnemført målrettede drøftelser med relevante interesseparter under den eksterne evalueringsproces. Udformningen af evalueringen byggede på en participatorisk tilgang, som gav mulighed for aktiv inddragelse af centrale interessenter, herunder navnlig ILO'er</w:t>
      </w:r>
      <w:r>
        <w:rPr>
          <w:noProof/>
        </w:rPr>
        <w:t xml:space="preserve"> og ILO-ledere. Der blev gennemført 14 workshops i vigtige tredjelande, hvor forbindelsesofficererne er udsendt, som omfattede drøftelser med alt relevant personale, navnlig fra EU's repræsentationer, medlemsstaternes ambassader og konsulære afdelinger, in</w:t>
      </w:r>
      <w:r>
        <w:rPr>
          <w:noProof/>
        </w:rPr>
        <w:t>ternationale organisationer såsom IOM og UNHCR samt fra nationale myndigheder i værtslandene. Ydermere foregik der på forskellige stadier i processen drøftelser med EU-institutionerne og EU-agenturerne samt med de medlemsstater, der udsender det største an</w:t>
      </w:r>
      <w:r>
        <w:rPr>
          <w:noProof/>
        </w:rPr>
        <w:t>tal ILO'er.</w:t>
      </w:r>
    </w:p>
    <w:p w:rsidR="00613CC4" w:rsidRDefault="00950A85">
      <w:pPr>
        <w:pBdr>
          <w:top w:val="nil"/>
          <w:left w:val="nil"/>
          <w:bottom w:val="nil"/>
          <w:right w:val="nil"/>
          <w:between w:val="nil"/>
          <w:bar w:val="nil"/>
        </w:pBdr>
        <w:spacing w:before="0" w:after="240"/>
        <w:rPr>
          <w:noProof/>
        </w:rPr>
      </w:pPr>
      <w:r>
        <w:rPr>
          <w:noProof/>
        </w:rPr>
        <w:t>Medlemsstaternes ekspertgruppe om ILO-netværk blev inddraget i hele evalueringsprocessen og blev konsulteret om anbefalingerne. Yderligere skræddersyede drøftelser med medlemsstaternes indvandringsforbindelsesofficerer og andre relevante intere</w:t>
      </w:r>
      <w:r>
        <w:rPr>
          <w:noProof/>
        </w:rPr>
        <w:t>sserede parter fandt sted ved seks regionale arrangementer mellem november 2017 og marts 2018 i Islamabad, Moskva, Beograd, Tunis, Amman og Dakar. To målrettede høringer med deltagelse af EU-agenturer fandt sted i november 2017 og januar 2018 med en mere d</w:t>
      </w:r>
      <w:r>
        <w:rPr>
          <w:noProof/>
        </w:rPr>
        <w:t>etaljeret opfølgning i form af videokonferencesamtaler med EBCG og Europol. Et panel af ILO-ledere fra medlemsstaterne med de største ILO-netværk blev genindkaldt i januar 2018</w:t>
      </w:r>
      <w:r>
        <w:rPr>
          <w:rStyle w:val="FootnoteReference"/>
          <w:noProof/>
        </w:rPr>
        <w:footnoteReference w:id="14"/>
      </w:r>
      <w:r>
        <w:rPr>
          <w:noProof/>
        </w:rPr>
        <w:t xml:space="preserve"> for at fremsætte yderligere synspunkter inden udarbejdelsen af forslaget. </w:t>
      </w:r>
    </w:p>
    <w:p w:rsidR="00613CC4" w:rsidRDefault="00950A85">
      <w:pPr>
        <w:pBdr>
          <w:top w:val="nil"/>
          <w:left w:val="nil"/>
          <w:bottom w:val="nil"/>
          <w:right w:val="nil"/>
          <w:between w:val="nil"/>
          <w:bar w:val="nil"/>
        </w:pBdr>
        <w:spacing w:before="0" w:after="240"/>
        <w:rPr>
          <w:rFonts w:eastAsia="Arial Unicode MS"/>
          <w:noProof/>
        </w:rPr>
      </w:pPr>
      <w:r>
        <w:rPr>
          <w:noProof/>
        </w:rPr>
        <w:t>Res</w:t>
      </w:r>
      <w:r>
        <w:rPr>
          <w:noProof/>
        </w:rPr>
        <w:t>ultaterne af høringen af interesserede parter har stort set givet samme resultat som konklusionerne af den eksterne evaluering. De hørte interessenter anerkender indvandringsforbindelsesofficerers potentiale til at understøtte gennemførelsen af EU's priori</w:t>
      </w:r>
      <w:r>
        <w:rPr>
          <w:noProof/>
        </w:rPr>
        <w:t>teter på migrationsområdet. De gav udtryk for et behov for oprettelse af bedre samarbejds- og samordningsmekanismer. Navnlig medlemsstaterne understregede værdien af samarbejde med lande uden for EU, der udsender forbindelsesofficerer, og ønskede at bibeho</w:t>
      </w:r>
      <w:r>
        <w:rPr>
          <w:noProof/>
        </w:rPr>
        <w:t>lde fleksibiliteten for så vidt angår oprettelsen af lokale og regionale netværk af indvandringsforbindelsesofficerer. EU-agenturerne efterlyste et tættere samarbejde med netværkene af indvandringsforbindelsesofficerer og en mere effektiv deling af oplysni</w:t>
      </w:r>
      <w:r>
        <w:rPr>
          <w:noProof/>
        </w:rPr>
        <w:t>nger med agenturerne samt anvendelse af analyseprodukter produceret af agenturerne. Der var desuden enighed blandt alle hørte interesseparter om den manglende effektivitet af de nuværende bestemmelser vedrørende informationsdeling og rapporteringsmekanisme</w:t>
      </w:r>
      <w:r>
        <w:rPr>
          <w:noProof/>
        </w:rPr>
        <w:t xml:space="preserve">r.  </w:t>
      </w:r>
    </w:p>
    <w:p w:rsidR="00613CC4" w:rsidRDefault="00950A85">
      <w:pPr>
        <w:pStyle w:val="ManualHeading2"/>
        <w:rPr>
          <w:rFonts w:eastAsia="Arial Unicode MS"/>
          <w:noProof/>
          <w:u w:color="000000"/>
          <w:bdr w:val="nil"/>
        </w:rPr>
      </w:pPr>
      <w:r>
        <w:rPr>
          <w:noProof/>
        </w:rPr>
        <w:t>•</w:t>
      </w:r>
      <w:r>
        <w:rPr>
          <w:noProof/>
        </w:rPr>
        <w:tab/>
        <w:t>Konsekvensanalyse</w:t>
      </w:r>
    </w:p>
    <w:p w:rsidR="00613CC4" w:rsidRDefault="00950A85">
      <w:pPr>
        <w:pBdr>
          <w:top w:val="nil"/>
          <w:left w:val="nil"/>
          <w:bottom w:val="nil"/>
          <w:right w:val="nil"/>
          <w:between w:val="nil"/>
          <w:bar w:val="nil"/>
        </w:pBdr>
        <w:spacing w:before="0" w:after="240"/>
        <w:rPr>
          <w:noProof/>
        </w:rPr>
      </w:pPr>
      <w:r>
        <w:rPr>
          <w:noProof/>
        </w:rPr>
        <w:t>Evalueringen og Kommissionens ledsagende undersøgelser gjorde det klart, at den reviderede forordning kun vil have begrænset virkning for de administrative byrder, medens andre overordnede økonomiske, samfundsmæssige eller miljømæs</w:t>
      </w:r>
      <w:r>
        <w:rPr>
          <w:noProof/>
        </w:rPr>
        <w:t>sige virkninger enten er irrelevante eller mere indirekte og mere langsigtede. Forslaget får direkte virkning på en lille gruppe på ca. 500 tjenestemænd udsendt af medlemsstaterne til tredjelande plus en lille repræsentativ gruppe af ledere, samtidig med a</w:t>
      </w:r>
      <w:r>
        <w:rPr>
          <w:noProof/>
        </w:rPr>
        <w:t>t myndighederne i tredjelande, som er værtslande for ILO'er, kun påvirkes indirekte. Bestemmelserne i dette forslag har faktisk ingen indflydelse på disse tjenestemænds centrale opgaver eller på de udgifter, som medlemsstaterne og andre organer har i forbi</w:t>
      </w:r>
      <w:r>
        <w:rPr>
          <w:noProof/>
        </w:rPr>
        <w:t>ndelse med udsendelsen. Evalueringen og Kommissionens analyse blev foretaget i nært samråd og samarbejde med de relevante medlemsstaters myndigheder, som direkte berøres af forslaget, idet potentielle virkninger og relevante spørgsmål blev drøftet og prøve</w:t>
      </w:r>
      <w:r>
        <w:rPr>
          <w:noProof/>
        </w:rPr>
        <w:t>t med dem gennem hele processen.</w:t>
      </w:r>
    </w:p>
    <w:p w:rsidR="00613CC4" w:rsidRDefault="00950A85">
      <w:pPr>
        <w:pBdr>
          <w:top w:val="nil"/>
          <w:left w:val="nil"/>
          <w:bottom w:val="nil"/>
          <w:right w:val="nil"/>
          <w:between w:val="nil"/>
          <w:bar w:val="nil"/>
        </w:pBdr>
        <w:spacing w:before="0" w:after="240"/>
        <w:rPr>
          <w:noProof/>
        </w:rPr>
      </w:pPr>
      <w:r>
        <w:rPr>
          <w:noProof/>
        </w:rPr>
        <w:t xml:space="preserve">Ud fra denne igangværende konsultation og taget sammen med resultaterne af evalueringen og vores egen analyse blev det konkluderet, at der ikke ventes nogen væsentlige virkninger af forslaget. Derudover anses en detaljeret </w:t>
      </w:r>
      <w:r>
        <w:rPr>
          <w:noProof/>
        </w:rPr>
        <w:t>sammenligning af alternative politikmuligheder ikke for relevant baseret på evalueringens resultater, da der ikke er fundet nogen reelle alternativer til at løse de fremhævede problemer, og som følge heraf var der ikke behov for en konsekvensanalyse for de</w:t>
      </w:r>
      <w:r>
        <w:rPr>
          <w:noProof/>
        </w:rPr>
        <w:t xml:space="preserve">tte forslag. </w:t>
      </w:r>
    </w:p>
    <w:p w:rsidR="00613CC4" w:rsidRDefault="00950A85">
      <w:pPr>
        <w:pStyle w:val="ManualHeading2"/>
        <w:spacing w:after="240" w:line="360" w:lineRule="atLeast"/>
        <w:rPr>
          <w:rFonts w:eastAsia="Arial Unicode MS"/>
          <w:noProof/>
          <w:u w:color="000000"/>
          <w:bdr w:val="nil"/>
        </w:rPr>
      </w:pPr>
      <w:r>
        <w:rPr>
          <w:noProof/>
        </w:rPr>
        <w:t>•</w:t>
      </w:r>
      <w:r>
        <w:rPr>
          <w:noProof/>
        </w:rPr>
        <w:tab/>
        <w:t>Grundlæggende rettigheder</w:t>
      </w:r>
    </w:p>
    <w:p w:rsidR="00613CC4" w:rsidRDefault="00950A85">
      <w:pPr>
        <w:widowControl w:val="0"/>
        <w:autoSpaceDE w:val="0"/>
        <w:autoSpaceDN w:val="0"/>
        <w:adjustRightInd w:val="0"/>
        <w:spacing w:before="0" w:after="240"/>
        <w:rPr>
          <w:noProof/>
          <w:color w:val="000000"/>
          <w:szCs w:val="24"/>
        </w:rPr>
      </w:pPr>
      <w:r>
        <w:rPr>
          <w:noProof/>
          <w:color w:val="000000"/>
        </w:rPr>
        <w:t xml:space="preserve">Dette forslag overholder de grundlæggende rettigheder og de principper, der er fastsat i artikel 2 og 6 i traktaten om Den Europæiske Union, og som afspejles i Den Europæiske Unions charter om grundlæggende </w:t>
      </w:r>
      <w:r>
        <w:rPr>
          <w:noProof/>
          <w:color w:val="000000"/>
        </w:rPr>
        <w:t>rettigheder. Navnlig respekterer denne forordning fuldt ud menneskelig værdighed, retten til livet, forbuddet mod tortur og umenneskelig eller nedværdigende behandling eller straf, retten til frihed og sikkerhed, retten til beskyttelse af personoplysninger</w:t>
      </w:r>
      <w:r>
        <w:rPr>
          <w:noProof/>
          <w:color w:val="000000"/>
        </w:rPr>
        <w:t>, asylretten og retten til beskyttelse mod udsendelse og udvisning, non-refoulement, forbuddet mod forskelsbehandling og barnets rettigheder.</w:t>
      </w:r>
    </w:p>
    <w:p w:rsidR="00613CC4" w:rsidRDefault="00950A85">
      <w:pPr>
        <w:pStyle w:val="ManualHeading1"/>
        <w:rPr>
          <w:noProof/>
        </w:rPr>
      </w:pPr>
      <w:r>
        <w:rPr>
          <w:noProof/>
        </w:rPr>
        <w:t>4.</w:t>
      </w:r>
      <w:r>
        <w:rPr>
          <w:noProof/>
        </w:rPr>
        <w:tab/>
        <w:t>VIRKNINGER FOR BUDGETTET</w:t>
      </w:r>
    </w:p>
    <w:p w:rsidR="00613CC4" w:rsidRDefault="00950A85">
      <w:pPr>
        <w:pBdr>
          <w:top w:val="nil"/>
          <w:left w:val="nil"/>
          <w:bottom w:val="nil"/>
          <w:right w:val="nil"/>
          <w:between w:val="nil"/>
          <w:bar w:val="nil"/>
        </w:pBdr>
        <w:spacing w:before="0" w:after="240"/>
        <w:rPr>
          <w:noProof/>
        </w:rPr>
      </w:pPr>
      <w:r>
        <w:rPr>
          <w:noProof/>
        </w:rPr>
        <w:t>Det europæiske netværk af indvandringsforbindelsesofficerer vil blive finansieret genn</w:t>
      </w:r>
      <w:r>
        <w:rPr>
          <w:noProof/>
        </w:rPr>
        <w:t>em et særligt EU-finansieringsinstrument. Under den nuværende flerårige finansielle ramme (2014-2020) er der afsat ressourcer til dette formål gennem fondsinstrumentet vedrørende grænser og visumpolitik. Det forventes, at udgifterne i forbindelse med genne</w:t>
      </w:r>
      <w:r>
        <w:rPr>
          <w:noProof/>
        </w:rPr>
        <w:t xml:space="preserve">mførelsen af dette forslag, herunder navnlig for at understøtte Kommissionens udsendelse af indvandringsforbindelsesofficerer samt de administrative og operationelle omkostninger knyttet til aktiviteterne i netværkene af indvandringsforbindelsesofficerer, </w:t>
      </w:r>
      <w:r>
        <w:rPr>
          <w:noProof/>
        </w:rPr>
        <w:t>jf. det nye styringsråds opgavetildeling, fortsat vil være støtteberettigede under samme budgetpost som i den nuværende flerårige finansielle ramme. Hvis forslaget vedtages inden den næste flerårige finansielle ramme, finansieres de nødvendige ressourcer (</w:t>
      </w:r>
      <w:r>
        <w:rPr>
          <w:noProof/>
        </w:rPr>
        <w:t>anslået til 860 000 EUR) over den aktuelle budgetpost for fondsinstrumentet vedrørende grænser og visumpolitik, og beløbene fratrækkes det samlede beløb på 17,3 mio. EUR, der er øremærket til gennemførelsen af dette forslag. Omkostningerne knyttet til genn</w:t>
      </w:r>
      <w:r>
        <w:rPr>
          <w:noProof/>
        </w:rPr>
        <w:t>emførelsen af dette forslag er fordelt med 1,6 mio. EUR til styringsrådets arbejde, 12,2 mio. EUR til gennemførelsen af aktiviteterne for et europæisk netværk af indvandringsforbindelsesofficerer og anslåede 3,5 mio. EUR til Kommissionens udsendelse af ind</w:t>
      </w:r>
      <w:r>
        <w:rPr>
          <w:noProof/>
        </w:rPr>
        <w:t>vandringsforbindelsesofficererne. De nødvendige ressourcer til dette forslag er både kompatible med den nuværende flerårige finansielle ramme (2014-2020) og med Kommissionens forslag til den flerårige finansielle ramme for 2021-2027 af 2. maj 2018.</w:t>
      </w:r>
    </w:p>
    <w:p w:rsidR="00613CC4" w:rsidRDefault="00950A85">
      <w:pPr>
        <w:pStyle w:val="ManualHeading1"/>
        <w:rPr>
          <w:noProof/>
        </w:rPr>
      </w:pPr>
      <w:r>
        <w:rPr>
          <w:noProof/>
        </w:rPr>
        <w:t>5.</w:t>
      </w:r>
      <w:r>
        <w:rPr>
          <w:noProof/>
        </w:rPr>
        <w:tab/>
        <w:t>ANDR</w:t>
      </w:r>
      <w:r>
        <w:rPr>
          <w:noProof/>
        </w:rPr>
        <w:t>E FORHOLD</w:t>
      </w:r>
    </w:p>
    <w:p w:rsidR="00613CC4" w:rsidRDefault="00950A85">
      <w:pPr>
        <w:pStyle w:val="ManualHeading2"/>
        <w:spacing w:after="240" w:line="360" w:lineRule="atLeast"/>
        <w:rPr>
          <w:rFonts w:eastAsia="Arial Unicode MS"/>
          <w:noProof/>
          <w:u w:color="000000"/>
          <w:bdr w:val="nil"/>
        </w:rPr>
      </w:pPr>
      <w:r>
        <w:rPr>
          <w:noProof/>
        </w:rPr>
        <w:t>•</w:t>
      </w:r>
      <w:r>
        <w:rPr>
          <w:noProof/>
        </w:rPr>
        <w:tab/>
        <w:t>Planer for gennemførelsen og foranstaltninger til overvågning, evaluering og rapportering</w:t>
      </w:r>
    </w:p>
    <w:p w:rsidR="00613CC4" w:rsidRDefault="00950A85">
      <w:pPr>
        <w:pStyle w:val="ManualHeading2"/>
        <w:tabs>
          <w:tab w:val="clear" w:pos="850"/>
          <w:tab w:val="left" w:pos="0"/>
        </w:tabs>
        <w:ind w:left="0" w:firstLine="0"/>
        <w:rPr>
          <w:b w:val="0"/>
          <w:noProof/>
        </w:rPr>
      </w:pPr>
      <w:r>
        <w:rPr>
          <w:b w:val="0"/>
          <w:noProof/>
        </w:rPr>
        <w:t xml:space="preserve">Kommissionen vil aflægge rapport om gennemførelsen af den foreslåede forordning til Europa-Parlamentet og Rådet. Resultaterne offentliggøres. </w:t>
      </w:r>
    </w:p>
    <w:p w:rsidR="00613CC4" w:rsidRDefault="00950A85">
      <w:pPr>
        <w:pStyle w:val="Bullet0"/>
        <w:rPr>
          <w:b/>
          <w:noProof/>
        </w:rPr>
      </w:pPr>
      <w:r>
        <w:rPr>
          <w:b/>
          <w:noProof/>
        </w:rPr>
        <w:t>Følgerne af</w:t>
      </w:r>
      <w:r>
        <w:rPr>
          <w:b/>
          <w:noProof/>
        </w:rPr>
        <w:t xml:space="preserve"> de forskellige protokoller, der er knyttet som bilag til traktaterne, og af de associeringsaftaler, der er indgået med tredjelande</w:t>
      </w:r>
    </w:p>
    <w:p w:rsidR="00613CC4" w:rsidRDefault="00950A85">
      <w:pPr>
        <w:rPr>
          <w:noProof/>
        </w:rPr>
      </w:pPr>
      <w:r>
        <w:rPr>
          <w:noProof/>
        </w:rPr>
        <w:t>Forslaget byger på Schengen-reglerne. Der skal således i lyset af de forskellige protokoller tages hensyn til følgerne heraf</w:t>
      </w:r>
      <w:r>
        <w:rPr>
          <w:noProof/>
        </w:rPr>
        <w:t xml:space="preserve"> for Danmark, Irland og Det Forenede Kongerige, Island og Norge samt Schweiz og Liechtenstein. På samme måde skal der tages hensyn til følgerne for de forskellige tiltrædelsesakter. Nærmere detaljer om situationen i hver af disse stater beskrives i forslag</w:t>
      </w:r>
      <w:r>
        <w:rPr>
          <w:noProof/>
        </w:rPr>
        <w:t>ets betragtninger.</w:t>
      </w:r>
    </w:p>
    <w:p w:rsidR="00613CC4" w:rsidRDefault="00950A85">
      <w:pPr>
        <w:pStyle w:val="ManualHeading2"/>
        <w:spacing w:after="240" w:line="360" w:lineRule="atLeast"/>
        <w:rPr>
          <w:rFonts w:eastAsia="Arial Unicode MS"/>
          <w:noProof/>
          <w:u w:color="000000"/>
          <w:bdr w:val="nil"/>
        </w:rPr>
      </w:pPr>
      <w:r>
        <w:rPr>
          <w:noProof/>
        </w:rPr>
        <w:t>•</w:t>
      </w:r>
      <w:r>
        <w:rPr>
          <w:noProof/>
        </w:rPr>
        <w:tab/>
        <w:t>Nærmere redegørelse for de enkelte bestemmelser i forslaget</w:t>
      </w:r>
    </w:p>
    <w:p w:rsidR="00613CC4" w:rsidRDefault="00950A85">
      <w:pPr>
        <w:widowControl w:val="0"/>
        <w:autoSpaceDE w:val="0"/>
        <w:autoSpaceDN w:val="0"/>
        <w:adjustRightInd w:val="0"/>
        <w:spacing w:before="0" w:after="240"/>
        <w:rPr>
          <w:noProof/>
          <w:color w:val="000000"/>
          <w:szCs w:val="24"/>
        </w:rPr>
      </w:pPr>
      <w:r>
        <w:rPr>
          <w:noProof/>
          <w:color w:val="000000"/>
        </w:rPr>
        <w:t>Dette forslag fastsætter de generelle principper for oprettelse af et europæisk netværk af indvandringsforbindelsesofficerer udsendt af medlemsstaterne samt Kommissionen og EU</w:t>
      </w:r>
      <w:r>
        <w:rPr>
          <w:noProof/>
          <w:color w:val="000000"/>
        </w:rPr>
        <w:t>-agenturer til tredjelande med det formål at bidrage til effektiv styring af migration og til at sikre et højt niveau af indre sikkerhed i Den Europæiske Union.</w:t>
      </w:r>
    </w:p>
    <w:p w:rsidR="00613CC4" w:rsidRDefault="00950A85">
      <w:pPr>
        <w:widowControl w:val="0"/>
        <w:autoSpaceDE w:val="0"/>
        <w:autoSpaceDN w:val="0"/>
        <w:adjustRightInd w:val="0"/>
        <w:spacing w:before="0" w:after="240"/>
        <w:rPr>
          <w:noProof/>
          <w:color w:val="000000"/>
          <w:szCs w:val="24"/>
        </w:rPr>
      </w:pPr>
      <w:r>
        <w:rPr>
          <w:noProof/>
          <w:color w:val="000000"/>
        </w:rPr>
        <w:t>Med disse mål for øje fastsætter forslaget følgende elementer for at styrke forvaltningen af et</w:t>
      </w:r>
      <w:r>
        <w:rPr>
          <w:noProof/>
          <w:color w:val="000000"/>
        </w:rPr>
        <w:t xml:space="preserve"> europæisk netværk af indvandringsforbindelsesofficerer:</w:t>
      </w:r>
    </w:p>
    <w:p w:rsidR="00613CC4" w:rsidRDefault="00950A85">
      <w:pPr>
        <w:pStyle w:val="Bullet0"/>
        <w:rPr>
          <w:noProof/>
        </w:rPr>
      </w:pPr>
      <w:r>
        <w:rPr>
          <w:noProof/>
        </w:rPr>
        <w:t>Forordningens titel og den centrale terminologi tilpasses for bedre at afspejle forslagets målsætninger, herunder navnlig målet om at styrke den europæiske koordinering af indvandringsforbindelsesoff</w:t>
      </w:r>
      <w:r>
        <w:rPr>
          <w:noProof/>
        </w:rPr>
        <w:t>icererne.</w:t>
      </w:r>
    </w:p>
    <w:p w:rsidR="00613CC4" w:rsidRDefault="00950A85">
      <w:pPr>
        <w:pStyle w:val="Bullet0"/>
        <w:rPr>
          <w:noProof/>
        </w:rPr>
      </w:pPr>
      <w:r>
        <w:rPr>
          <w:noProof/>
        </w:rPr>
        <w:t>Definitionen af indvandringsforbindelsesofficerer præciseres yderligere, idet der eksplicit henvises til håndhævelsesforbindelsesofficerer, som arbejder med indvandringsrelaterede opgaver.</w:t>
      </w:r>
    </w:p>
    <w:p w:rsidR="00613CC4" w:rsidRDefault="00950A85">
      <w:pPr>
        <w:pStyle w:val="Bullet0"/>
        <w:rPr>
          <w:noProof/>
        </w:rPr>
      </w:pPr>
      <w:r>
        <w:rPr>
          <w:noProof/>
        </w:rPr>
        <w:t>Der er indføres et styringsråd på EU-plan, som skal styrk</w:t>
      </w:r>
      <w:r>
        <w:rPr>
          <w:noProof/>
        </w:rPr>
        <w:t>e forvaltningen og samordningen af netværkene af indvandringsforbindelsesofficerer udsendt til tredjelande blandt medlemsstaterne, Kommissionen og EU-agenturerne.</w:t>
      </w:r>
    </w:p>
    <w:p w:rsidR="00613CC4" w:rsidRDefault="00950A85">
      <w:pPr>
        <w:pStyle w:val="Bullet0"/>
        <w:rPr>
          <w:noProof/>
        </w:rPr>
      </w:pPr>
      <w:r>
        <w:rPr>
          <w:noProof/>
        </w:rPr>
        <w:t>Formandskabets forpligtelse til at aflægge halvårlige rapporter afskaffes, og der indføres ra</w:t>
      </w:r>
      <w:r>
        <w:rPr>
          <w:noProof/>
        </w:rPr>
        <w:t>pporteringskrav, som aftales af styringsrådet, og som vil omfatte opfølgende foranstaltninger, og indfører muligheden for styringsrådet at anmode om målrettede informationer på ad hoc-basis.</w:t>
      </w:r>
    </w:p>
    <w:p w:rsidR="00613CC4" w:rsidRDefault="00950A85">
      <w:pPr>
        <w:pStyle w:val="Bullet0"/>
        <w:rPr>
          <w:noProof/>
        </w:rPr>
      </w:pPr>
      <w:r>
        <w:rPr>
          <w:noProof/>
        </w:rPr>
        <w:t>Informationsudvekslingen styrkes mellem indvandringsforbindelseso</w:t>
      </w:r>
      <w:r>
        <w:rPr>
          <w:noProof/>
        </w:rPr>
        <w:t xml:space="preserve">fficerer samt medlemmerne af styringsrådet via en sikret webbaseret platform. </w:t>
      </w:r>
    </w:p>
    <w:p w:rsidR="00613CC4" w:rsidRDefault="00950A85">
      <w:pPr>
        <w:pStyle w:val="Bullet0"/>
        <w:rPr>
          <w:noProof/>
        </w:rPr>
      </w:pPr>
      <w:r>
        <w:rPr>
          <w:noProof/>
        </w:rPr>
        <w:t>Der skabes retssikkerhed med hensyn til indvandringsforbindelsesofficerers behandling af personoplysninger med henblik på varetagelsen af de opgaver og aktiviteter, der er fasts</w:t>
      </w:r>
      <w:r>
        <w:rPr>
          <w:noProof/>
        </w:rPr>
        <w:t>at i forslaget.</w:t>
      </w:r>
      <w:r>
        <w:rPr>
          <w:noProof/>
        </w:rPr>
        <w:tab/>
      </w:r>
    </w:p>
    <w:p w:rsidR="00613CC4" w:rsidRDefault="00613CC4">
      <w:pPr>
        <w:pStyle w:val="Bullet0"/>
        <w:rPr>
          <w:noProof/>
        </w:rPr>
        <w:sectPr w:rsidR="00613CC4">
          <w:footerReference w:type="default" r:id="rId11"/>
          <w:footerReference w:type="first" r:id="rId12"/>
          <w:pgSz w:w="11906" w:h="16838"/>
          <w:pgMar w:top="1134" w:right="1418" w:bottom="1134" w:left="1418" w:header="709" w:footer="709" w:gutter="0"/>
          <w:pgNumType w:start="1"/>
          <w:cols w:space="720"/>
          <w:docGrid w:linePitch="326"/>
        </w:sectPr>
      </w:pPr>
    </w:p>
    <w:p w:rsidR="00613CC4" w:rsidRDefault="00613CC4">
      <w:pPr>
        <w:pStyle w:val="CRSeparator"/>
        <w:rPr>
          <w:noProof/>
        </w:rPr>
      </w:pPr>
    </w:p>
    <w:p w:rsidR="00613CC4" w:rsidRDefault="00950A85">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(tilpasset)</w:t>
      </w:r>
    </w:p>
    <w:p w:rsidR="00613CC4" w:rsidRDefault="00950A85">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nyt</w:t>
      </w:r>
    </w:p>
    <w:p w:rsidR="00613CC4" w:rsidRDefault="00950A85">
      <w:pPr>
        <w:pStyle w:val="Rfrenceinterinstitutionnelle"/>
        <w:rPr>
          <w:noProof/>
        </w:rPr>
      </w:pPr>
      <w:r>
        <w:rPr>
          <w:noProof/>
        </w:rPr>
        <w:t>2018/0153 (COD)</w:t>
      </w:r>
    </w:p>
    <w:p w:rsidR="00613CC4" w:rsidRDefault="00950A85">
      <w:pPr>
        <w:pStyle w:val="Statut"/>
        <w:rPr>
          <w:noProof/>
        </w:rPr>
      </w:pPr>
      <w:r>
        <w:rPr>
          <w:noProof/>
        </w:rPr>
        <w:t>Forslag til</w:t>
      </w:r>
    </w:p>
    <w:p w:rsidR="00613CC4" w:rsidRDefault="00950A85">
      <w:pPr>
        <w:pStyle w:val="Typedudocument"/>
        <w:rPr>
          <w:noProof/>
        </w:rPr>
      </w:pPr>
      <w:r>
        <w:rPr>
          <w:noProof/>
        </w:rPr>
        <w:t>EUROPA-PARLAMENTETS OG RÅDETS FORORDNING</w:t>
      </w:r>
    </w:p>
    <w:p w:rsidR="00613CC4" w:rsidRDefault="00950A85">
      <w:pPr>
        <w:pStyle w:val="Titreobjet"/>
        <w:rPr>
          <w:noProof/>
        </w:rPr>
      </w:pPr>
      <w:r>
        <w:rPr>
          <w:noProof/>
        </w:rPr>
        <w:t xml:space="preserve">om oprettelse af et europæisk netværk af </w:t>
      </w:r>
      <w:r>
        <w:rPr>
          <w:noProof/>
        </w:rPr>
        <w:t>indvandringsforbindelsesofficerer (omarbejdning)</w:t>
      </w:r>
    </w:p>
    <w:p w:rsidR="00613CC4" w:rsidRDefault="00950A85">
      <w:pPr>
        <w:pStyle w:val="Institutionquiagit"/>
        <w:rPr>
          <w:noProof/>
        </w:rPr>
      </w:pPr>
      <w:r>
        <w:rPr>
          <w:noProof/>
        </w:rPr>
        <w:t>EUROPA-PARLAMENTET OG RÅDET FOR DEN EUROPÆISKE UNION HAR —</w:t>
      </w:r>
    </w:p>
    <w:p w:rsidR="00613CC4" w:rsidRDefault="00950A85">
      <w:pPr>
        <w:rPr>
          <w:noProof/>
        </w:rPr>
      </w:pPr>
      <w:r>
        <w:rPr>
          <w:noProof/>
        </w:rPr>
        <w:t xml:space="preserve">under henvisning til traktaten om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Den Europæiske Unions funktionsmåde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oprettelse af Det Europæiske Fællesskab</w:t>
      </w:r>
      <w:r>
        <w:rPr>
          <w:noProof/>
        </w:rPr>
        <w:t>, særli</w:t>
      </w:r>
      <w:r>
        <w:rPr>
          <w:noProof/>
        </w:rPr>
        <w:t xml:space="preserve">g artikel </w:t>
      </w:r>
      <w:r>
        <w:rPr>
          <w:rStyle w:val="CRDeleted"/>
          <w:noProof/>
        </w:rPr>
        <w:t>63, stk. 3, litra b),</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74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og artikel </w:t>
      </w:r>
      <w:r>
        <w:rPr>
          <w:rStyle w:val="CRDeleted"/>
          <w:noProof/>
        </w:rPr>
        <w:t>66</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79, stk. 2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rsidR="00613CC4" w:rsidRDefault="00950A85">
      <w:pPr>
        <w:rPr>
          <w:noProof/>
        </w:rPr>
      </w:pPr>
      <w:r>
        <w:rPr>
          <w:noProof/>
        </w:rPr>
        <w:t xml:space="preserve">under henvisning til forslag fra Europa-Kommissionen, </w:t>
      </w:r>
    </w:p>
    <w:p w:rsidR="00613CC4" w:rsidRDefault="00950A85">
      <w:pPr>
        <w:rPr>
          <w:noProof/>
        </w:rPr>
      </w:pPr>
      <w:r>
        <w:rPr>
          <w:noProof/>
        </w:rPr>
        <w:t xml:space="preserve">efter fremsendelse af udkast til lovgivningsmæssig retsakt til de nationale </w:t>
      </w:r>
      <w:r>
        <w:rPr>
          <w:noProof/>
        </w:rPr>
        <w:t>parlamenter,</w:t>
      </w:r>
    </w:p>
    <w:p w:rsidR="00613CC4" w:rsidRDefault="00950A85">
      <w:pPr>
        <w:rPr>
          <w:noProof/>
        </w:rPr>
      </w:pPr>
      <w:r>
        <w:rPr>
          <w:noProof/>
        </w:rPr>
        <w:t>efter den almindelige lovgivningsprocedure, og</w:t>
      </w:r>
    </w:p>
    <w:p w:rsidR="00613CC4" w:rsidRDefault="00950A85">
      <w:pPr>
        <w:rPr>
          <w:noProof/>
        </w:rPr>
      </w:pPr>
      <w:r>
        <w:rPr>
          <w:noProof/>
        </w:rPr>
        <w:t>ud fra følgende betragtninger:</w:t>
      </w:r>
    </w:p>
    <w:p w:rsidR="00613CC4" w:rsidRDefault="00613CC4">
      <w:pPr>
        <w:pStyle w:val="CRSeparator"/>
        <w:rPr>
          <w:noProof/>
        </w:rPr>
      </w:pPr>
    </w:p>
    <w:p w:rsidR="00613CC4" w:rsidRDefault="00950A85">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nyt</w:t>
      </w:r>
    </w:p>
    <w:p w:rsidR="00613CC4" w:rsidRDefault="00950A85">
      <w:pPr>
        <w:pStyle w:val="ManualConsidrant"/>
        <w:rPr>
          <w:noProof/>
          <w:highlight w:val="lightGray"/>
        </w:rPr>
      </w:pPr>
      <w:r>
        <w:rPr>
          <w:highlight w:val="lightGray"/>
        </w:rPr>
        <w:t>(1)</w:t>
      </w:r>
      <w:r>
        <w:rPr>
          <w:highlight w:val="lightGray"/>
        </w:rPr>
        <w:tab/>
      </w:r>
      <w:r>
        <w:rPr>
          <w:noProof/>
          <w:highlight w:val="lightGray"/>
        </w:rPr>
        <w:t>Rådets forordning (EF) nr. 377/2004</w:t>
      </w:r>
      <w:r>
        <w:rPr>
          <w:rStyle w:val="FootnoteReference"/>
          <w:noProof/>
          <w:highlight w:val="lightGray"/>
        </w:rPr>
        <w:footnoteReference w:id="15"/>
      </w:r>
      <w:r>
        <w:rPr>
          <w:noProof/>
          <w:highlight w:val="lightGray"/>
        </w:rPr>
        <w:t xml:space="preserve"> er blevet ændret væsentligt</w:t>
      </w:r>
      <w:r>
        <w:rPr>
          <w:rStyle w:val="FootnoteReference"/>
          <w:noProof/>
          <w:highlight w:val="lightGray"/>
        </w:rPr>
        <w:footnoteReference w:id="16"/>
      </w:r>
      <w:r>
        <w:rPr>
          <w:noProof/>
          <w:highlight w:val="lightGray"/>
        </w:rPr>
        <w:t>. Da der skal foretages yderligere ændringer, bør forordningen af klarhedsh</w:t>
      </w:r>
      <w:r>
        <w:rPr>
          <w:noProof/>
          <w:highlight w:val="lightGray"/>
        </w:rPr>
        <w:t>ensyn omarbejdes.</w:t>
      </w:r>
    </w:p>
    <w:p w:rsidR="00613CC4" w:rsidRDefault="00613CC4">
      <w:pPr>
        <w:pStyle w:val="CRSeparator"/>
        <w:rPr>
          <w:noProof/>
        </w:rPr>
      </w:pPr>
    </w:p>
    <w:p w:rsidR="00613CC4" w:rsidRDefault="00950A85">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betragtning 1 (tilpasset)</w:t>
      </w:r>
    </w:p>
    <w:p w:rsidR="00613CC4" w:rsidRDefault="00950A85">
      <w:pPr>
        <w:rPr>
          <w:noProof/>
        </w:rPr>
      </w:pPr>
      <w:r>
        <w:rPr>
          <w:rStyle w:val="CRDeleted"/>
          <w:noProof/>
        </w:rPr>
        <w:t xml:space="preserve">Ifølge planen for forvaltning af EU-medlemsstaternes ydre grænser, som Rådet nåede til enighed om på samlingen den 13. juni 2002, skal der oprettes et netværk af </w:t>
      </w:r>
      <w:r>
        <w:rPr>
          <w:rStyle w:val="CRDeleted"/>
          <w:noProof/>
        </w:rPr>
        <w:t>indvandringsforbindelsesofficerer, der er udsendt til tredjelande.</w:t>
      </w:r>
    </w:p>
    <w:p w:rsidR="00613CC4" w:rsidRDefault="00613CC4">
      <w:pPr>
        <w:pStyle w:val="CRSeparator"/>
        <w:rPr>
          <w:noProof/>
        </w:rPr>
      </w:pPr>
    </w:p>
    <w:p w:rsidR="00613CC4" w:rsidRDefault="00950A85">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betragtning 2 (tilpasset)</w:t>
      </w:r>
    </w:p>
    <w:p w:rsidR="00613CC4" w:rsidRDefault="00950A85">
      <w:pPr>
        <w:rPr>
          <w:noProof/>
        </w:rPr>
      </w:pPr>
      <w:r>
        <w:rPr>
          <w:rStyle w:val="CRDeleted"/>
          <w:noProof/>
        </w:rPr>
        <w:t>I konklusionerne fra mødet den 21.-22. juni 2002 anmodede Det Europæiske Råd i Sevilla om, at der oprettes et netværk af forbindelsesoffi</w:t>
      </w:r>
      <w:r>
        <w:rPr>
          <w:rStyle w:val="CRDeleted"/>
          <w:noProof/>
        </w:rPr>
        <w:t>cerer for indvandringsspørgsmål fra medlemsstaterne inden udgangen af 2002.</w:t>
      </w:r>
    </w:p>
    <w:p w:rsidR="00613CC4" w:rsidRDefault="00613CC4">
      <w:pPr>
        <w:pStyle w:val="CRSeparator"/>
        <w:rPr>
          <w:noProof/>
        </w:rPr>
      </w:pPr>
    </w:p>
    <w:p w:rsidR="00613CC4" w:rsidRDefault="00950A85">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betragtning 3 (tilpasset)</w:t>
      </w:r>
    </w:p>
    <w:p w:rsidR="00613CC4" w:rsidRDefault="00950A85">
      <w:pPr>
        <w:rPr>
          <w:noProof/>
        </w:rPr>
      </w:pPr>
      <w:r>
        <w:rPr>
          <w:rStyle w:val="CRDeleted"/>
          <w:noProof/>
        </w:rPr>
        <w:t xml:space="preserve">På samlingen den 28.-29. november 2002 vedtog Rådet konklusioner om forbedring af indvandringsforbindelsesofficerernes netværk, </w:t>
      </w:r>
      <w:r>
        <w:rPr>
          <w:rStyle w:val="CRDeleted"/>
          <w:noProof/>
        </w:rPr>
        <w:t>idet det noterede sig formandskabets rapport, som viser, at der findes et netværk af forbindelsesofficerer i de fleste af de lande, der er nævnt i rapporten, men også bemærker, at der er behov for at styrke netværket yderligere.</w:t>
      </w:r>
    </w:p>
    <w:p w:rsidR="00613CC4" w:rsidRDefault="00613CC4">
      <w:pPr>
        <w:pStyle w:val="CRSeparator"/>
        <w:rPr>
          <w:noProof/>
        </w:rPr>
      </w:pPr>
    </w:p>
    <w:p w:rsidR="00613CC4" w:rsidRDefault="00950A85">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b</w:t>
      </w:r>
      <w:r>
        <w:rPr>
          <w:noProof/>
        </w:rPr>
        <w:t>etragtning 4 (tilpasset)</w:t>
      </w:r>
    </w:p>
    <w:p w:rsidR="00613CC4" w:rsidRDefault="00950A85">
      <w:pPr>
        <w:rPr>
          <w:noProof/>
        </w:rPr>
      </w:pPr>
      <w:r>
        <w:rPr>
          <w:rStyle w:val="CRDeleted"/>
          <w:noProof/>
        </w:rPr>
        <w:t>Det Europæiske Råd understregede på mødet i Thessaloniki den 19.-20. juni 2003, at det er nødvendigt at fremskynde arbejdet med den relevante retsakt om formel oprettelse af netværket af indvandringsforbindelsesofficerer (ilo'er) i</w:t>
      </w:r>
      <w:r>
        <w:rPr>
          <w:rStyle w:val="CRDeleted"/>
          <w:noProof/>
        </w:rPr>
        <w:t xml:space="preserve"> tredjelande, så den kan blive vedtaget snarest muligt og inden udgangen af 2003. Det Europæiske Råd nævnte også betydningen af de oplysninger, der skal tilvejebringes af ilo-netværket, i forbindelse med udviklingen af en evalueringsmekanisme til overvågni</w:t>
      </w:r>
      <w:r>
        <w:rPr>
          <w:rStyle w:val="CRDeleted"/>
          <w:noProof/>
        </w:rPr>
        <w:t>ng af forbindelserne med tredjelande, som ikke samarbejder med Den Europæiske Union om bekæmpelse af ulovlig indvandring.</w:t>
      </w:r>
    </w:p>
    <w:p w:rsidR="00613CC4" w:rsidRDefault="00613CC4">
      <w:pPr>
        <w:pStyle w:val="CRSeparator"/>
        <w:rPr>
          <w:noProof/>
        </w:rPr>
      </w:pPr>
    </w:p>
    <w:p w:rsidR="00613CC4" w:rsidRDefault="00950A85">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betragtning 5 (tilpasset)</w:t>
      </w:r>
    </w:p>
    <w:p w:rsidR="00613CC4" w:rsidRDefault="00950A85">
      <w:pPr>
        <w:rPr>
          <w:rStyle w:val="CRDeleted"/>
          <w:noProof/>
        </w:rPr>
      </w:pPr>
      <w:r>
        <w:rPr>
          <w:rStyle w:val="CRDeleted"/>
          <w:noProof/>
        </w:rPr>
        <w:t>På baggrund af Det Europæiske Råds møde i Thessaloniki er det nødvendigt at formal</w:t>
      </w:r>
      <w:r>
        <w:rPr>
          <w:rStyle w:val="CRDeleted"/>
          <w:noProof/>
        </w:rPr>
        <w:t>isere eksistensen og funktionen af et sådant netværk — idet man bruger de erfaringer, der er gjort ved driften af løbende projekter, herunder det belgisk ledede ilo-netværksprojekt for det vestlige Balkan — i en retligt bindende akt, der fastlægger pligten</w:t>
      </w:r>
      <w:r>
        <w:rPr>
          <w:rStyle w:val="CRDeleted"/>
          <w:noProof/>
        </w:rPr>
        <w:t xml:space="preserve"> til at indføre visse former for samarbejde mellem medlemsstaternes indvandringsforbindelsesofficerer, målsætningerne for et sådant samarbejde, disse forbindelsesofficerers opgaver og relevante kvalifikationer samt deres ansvar over for værtslandet og udse</w:t>
      </w:r>
      <w:r>
        <w:rPr>
          <w:rStyle w:val="CRDeleted"/>
          <w:noProof/>
        </w:rPr>
        <w:t>ndelsesmedlemsstaten.</w:t>
      </w:r>
    </w:p>
    <w:p w:rsidR="00613CC4" w:rsidRDefault="00613CC4">
      <w:pPr>
        <w:pStyle w:val="CRSeparator"/>
        <w:rPr>
          <w:rStyle w:val="CRDeleted"/>
          <w:noProof/>
          <w:lang w:eastAsia="en-GB"/>
        </w:rPr>
      </w:pPr>
    </w:p>
    <w:p w:rsidR="00613CC4" w:rsidRDefault="00950A85">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betragtning 6 (tilpasset)</w:t>
      </w:r>
    </w:p>
    <w:p w:rsidR="00613CC4" w:rsidRDefault="00950A85">
      <w:pPr>
        <w:rPr>
          <w:noProof/>
        </w:rPr>
      </w:pPr>
      <w:r>
        <w:rPr>
          <w:rStyle w:val="CRDeleted"/>
          <w:noProof/>
        </w:rPr>
        <w:t>Det vil også være ønskeligt at formalisere den måde, hvorpå Fællesskabets relevante institutioner informeres om de aktiviteter, der udføres i netværket af indvandringsforbindelsesoff</w:t>
      </w:r>
      <w:r>
        <w:rPr>
          <w:rStyle w:val="CRDeleted"/>
          <w:noProof/>
        </w:rPr>
        <w:t>icerer, således at de kan træffe eller foreslå de foranstaltninger, der måtte være nødvendige for yderligere at forbedre den overordnede forvaltning af personkontrollen ved medlemsstaternes ydre grænser.</w:t>
      </w:r>
    </w:p>
    <w:p w:rsidR="00613CC4" w:rsidRDefault="00613CC4">
      <w:pPr>
        <w:pStyle w:val="CRSeparator"/>
        <w:rPr>
          <w:noProof/>
        </w:rPr>
      </w:pPr>
    </w:p>
    <w:p w:rsidR="00613CC4" w:rsidRDefault="00950A85">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betragtning 7 (tilpasset)</w:t>
      </w:r>
    </w:p>
    <w:p w:rsidR="00613CC4" w:rsidRDefault="00950A85">
      <w:pPr>
        <w:rPr>
          <w:noProof/>
        </w:rPr>
      </w:pPr>
      <w:r>
        <w:rPr>
          <w:rStyle w:val="CRDeleted"/>
          <w:noProof/>
        </w:rPr>
        <w:t>Der tages hensyn til Rådets afgørelse 2003/170/RIA af 27. februar 2003 om fælles benyttelse af forbindelsesofficerer udsendt af medlemsstaternes retshåndhævende myndigheder</w:t>
      </w:r>
      <w:r>
        <w:rPr>
          <w:rStyle w:val="CRMinorChangeDeleted"/>
          <w:noProof/>
          <w:vertAlign w:val="superscript"/>
        </w:rPr>
        <w:footnoteReference w:id="17"/>
      </w:r>
      <w:r>
        <w:rPr>
          <w:rStyle w:val="CRDeleted"/>
          <w:noProof/>
        </w:rPr>
        <w:t>.</w:t>
      </w:r>
    </w:p>
    <w:p w:rsidR="00613CC4" w:rsidRDefault="00613CC4">
      <w:pPr>
        <w:pStyle w:val="CRSeparator"/>
        <w:rPr>
          <w:noProof/>
        </w:rPr>
      </w:pPr>
    </w:p>
    <w:p w:rsidR="00613CC4" w:rsidRDefault="00950A85">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nyt</w:t>
      </w:r>
    </w:p>
    <w:p w:rsidR="00613CC4" w:rsidRDefault="00950A85">
      <w:pPr>
        <w:pStyle w:val="ManualConsidrant"/>
        <w:rPr>
          <w:noProof/>
          <w:highlight w:val="lightGray"/>
        </w:rPr>
      </w:pPr>
      <w:r>
        <w:rPr>
          <w:highlight w:val="lightGray"/>
        </w:rPr>
        <w:t>(2)</w:t>
      </w:r>
      <w:r>
        <w:rPr>
          <w:highlight w:val="lightGray"/>
        </w:rPr>
        <w:tab/>
      </w:r>
      <w:r>
        <w:rPr>
          <w:noProof/>
          <w:highlight w:val="lightGray"/>
        </w:rPr>
        <w:t xml:space="preserve">Den kraftige stigning i de blandede migrationsstrømme i </w:t>
      </w:r>
      <w:r>
        <w:rPr>
          <w:noProof/>
          <w:highlight w:val="lightGray"/>
        </w:rPr>
        <w:t>2015 og 2016 medførte et pres på migrations-, asyl- og grænseforvaltningssystemer og nødvendiggjorde en samordnet og effektiv europæisk reaktion.</w:t>
      </w:r>
    </w:p>
    <w:p w:rsidR="00613CC4" w:rsidRDefault="00950A85">
      <w:pPr>
        <w:pStyle w:val="ManualConsidrant"/>
        <w:rPr>
          <w:noProof/>
          <w:highlight w:val="lightGray"/>
        </w:rPr>
      </w:pPr>
      <w:r>
        <w:rPr>
          <w:highlight w:val="lightGray"/>
        </w:rPr>
        <w:t>(3)</w:t>
      </w:r>
      <w:r>
        <w:rPr>
          <w:highlight w:val="lightGray"/>
        </w:rPr>
        <w:tab/>
      </w:r>
      <w:r>
        <w:rPr>
          <w:noProof/>
          <w:highlight w:val="lightGray"/>
        </w:rPr>
        <w:t>Formålet med Unionens politik vedrørende migration er at erstatte irregulære og ukontrollerede strømme med</w:t>
      </w:r>
      <w:r>
        <w:rPr>
          <w:noProof/>
          <w:highlight w:val="lightGray"/>
        </w:rPr>
        <w:t xml:space="preserve"> sikre og velforvaltede adgangsveje gennem en omfattende tilgang, der tager fat på alle aspekter af indvandring.</w:t>
      </w:r>
    </w:p>
    <w:p w:rsidR="00613CC4" w:rsidRDefault="00950A85">
      <w:pPr>
        <w:pStyle w:val="ManualConsidrant"/>
        <w:rPr>
          <w:noProof/>
          <w:highlight w:val="lightGray"/>
        </w:rPr>
      </w:pPr>
      <w:r>
        <w:rPr>
          <w:highlight w:val="lightGray"/>
        </w:rPr>
        <w:t>(4)</w:t>
      </w:r>
      <w:r>
        <w:rPr>
          <w:highlight w:val="lightGray"/>
        </w:rPr>
        <w:tab/>
      </w:r>
      <w:r>
        <w:rPr>
          <w:noProof/>
          <w:highlight w:val="lightGray"/>
        </w:rPr>
        <w:t>Overholdelse af menneskerettighedsstandarder er fortsat et grundlæggende princip for Unionen i forbindelse med håndteringen af migrationskr</w:t>
      </w:r>
      <w:r>
        <w:rPr>
          <w:noProof/>
          <w:highlight w:val="lightGray"/>
        </w:rPr>
        <w:t>isen. Unionen er forpligtet til at beskytte menneskerettighederne og de grundlæggende frihedsrettigheder for alle migranter, uanset deres indvandrerstatus, i fuld overensstemmelse med folkeretten.</w:t>
      </w:r>
    </w:p>
    <w:p w:rsidR="00613CC4" w:rsidRDefault="00950A85">
      <w:pPr>
        <w:pStyle w:val="ManualConsidrant"/>
        <w:rPr>
          <w:noProof/>
          <w:highlight w:val="lightGray"/>
        </w:rPr>
      </w:pPr>
      <w:r>
        <w:rPr>
          <w:highlight w:val="lightGray"/>
        </w:rPr>
        <w:t>(5)</w:t>
      </w:r>
      <w:r>
        <w:rPr>
          <w:highlight w:val="lightGray"/>
        </w:rPr>
        <w:tab/>
      </w:r>
      <w:r>
        <w:rPr>
          <w:noProof/>
          <w:highlight w:val="lightGray"/>
        </w:rPr>
        <w:t>For at sikre den effektive gennemførelse af Unionens po</w:t>
      </w:r>
      <w:r>
        <w:rPr>
          <w:noProof/>
          <w:highlight w:val="lightGray"/>
        </w:rPr>
        <w:t>litikker vedrørende indvandring i alle deres aspekter bør der tilstræbes en konsekvent dialog og samarbejde med vigtige oprindelses- og transitlande for migranter og asylansøgere. Et sådant samarbejde burde sikre en bedre styring af migrationen, herunder a</w:t>
      </w:r>
      <w:r>
        <w:rPr>
          <w:noProof/>
          <w:highlight w:val="lightGray"/>
        </w:rPr>
        <w:t>frejser og tilbagesendelser, bidrage til stabiliseringen af migrantstrømmene, understøtte informationsindsamling og -deling, forebygge og bekæmpe smugling af migranter og menneskehandel samt understøtte asylansøgeres adgang til beskyttelse.</w:t>
      </w:r>
    </w:p>
    <w:p w:rsidR="00613CC4" w:rsidRDefault="00950A85">
      <w:pPr>
        <w:pStyle w:val="ManualConsidrant"/>
        <w:rPr>
          <w:noProof/>
          <w:highlight w:val="lightGray"/>
        </w:rPr>
      </w:pPr>
      <w:r>
        <w:rPr>
          <w:highlight w:val="lightGray"/>
        </w:rPr>
        <w:t>(6)</w:t>
      </w:r>
      <w:r>
        <w:rPr>
          <w:highlight w:val="lightGray"/>
        </w:rPr>
        <w:tab/>
      </w:r>
      <w:r>
        <w:rPr>
          <w:noProof/>
          <w:highlight w:val="lightGray"/>
        </w:rPr>
        <w:t xml:space="preserve">I lyset af </w:t>
      </w:r>
      <w:r>
        <w:rPr>
          <w:noProof/>
          <w:highlight w:val="lightGray"/>
        </w:rPr>
        <w:t>den stigende efterspørgsel efter efterretninger og oplysninger til støtte for evidensbaseret politisk beslutningstagning og operationelle tiltag er der et behov for, at indvandringsforbindelsesofficerer sikrer, at deres indsigt og viden bidrager fuldt ud t</w:t>
      </w:r>
      <w:r>
        <w:rPr>
          <w:noProof/>
          <w:highlight w:val="lightGray"/>
        </w:rPr>
        <w:t>il et samlet situationsbillede af tredjelande.</w:t>
      </w:r>
    </w:p>
    <w:p w:rsidR="00613CC4" w:rsidRDefault="00950A85">
      <w:pPr>
        <w:pStyle w:val="ManualConsidrant"/>
        <w:rPr>
          <w:noProof/>
          <w:highlight w:val="lightGray"/>
        </w:rPr>
      </w:pPr>
      <w:r>
        <w:rPr>
          <w:highlight w:val="lightGray"/>
        </w:rPr>
        <w:t>(7)</w:t>
      </w:r>
      <w:r>
        <w:rPr>
          <w:highlight w:val="lightGray"/>
        </w:rPr>
        <w:tab/>
      </w:r>
      <w:r>
        <w:rPr>
          <w:noProof/>
          <w:highlight w:val="lightGray"/>
        </w:rPr>
        <w:t>Udsendelsen af de nuværende europæiske migrationsforbindelsesofficerer til vigtige oprindelses- og transitlande som anbefalet af konklusionerne fra stats- og regeringschefernes særlige møde den 23. april 2</w:t>
      </w:r>
      <w:r>
        <w:rPr>
          <w:noProof/>
          <w:highlight w:val="lightGray"/>
        </w:rPr>
        <w:t>015 var et første skridt i retning af at forstærke engagementet i tredjelande for så vidt angår migrationsspørgsmål og øget samordning med indvandringsforbindelsesofficerer udsendt af medlemsstaterne. Med udgangspunkt i disse erfaringer forudses længerevar</w:t>
      </w:r>
      <w:r>
        <w:rPr>
          <w:noProof/>
          <w:highlight w:val="lightGray"/>
        </w:rPr>
        <w:t>ende udsendelse af indvandringsforbindelsesofficerer fra Kommissionen til tredjelande for at understøtte udviklingen og gennemførelsen samt maksimere virkningen af Unionens indsats på migrationsområdet.</w:t>
      </w:r>
    </w:p>
    <w:p w:rsidR="00613CC4" w:rsidRDefault="00950A85">
      <w:pPr>
        <w:pStyle w:val="ManualConsidrant"/>
        <w:rPr>
          <w:noProof/>
          <w:highlight w:val="lightGray"/>
        </w:rPr>
      </w:pPr>
      <w:r>
        <w:rPr>
          <w:highlight w:val="lightGray"/>
        </w:rPr>
        <w:t>(8)</w:t>
      </w:r>
      <w:r>
        <w:rPr>
          <w:highlight w:val="lightGray"/>
        </w:rPr>
        <w:tab/>
      </w:r>
      <w:r>
        <w:rPr>
          <w:noProof/>
          <w:highlight w:val="lightGray"/>
        </w:rPr>
        <w:t>Formålet med denne forordning er at sikre bedre s</w:t>
      </w:r>
      <w:r>
        <w:rPr>
          <w:noProof/>
          <w:highlight w:val="lightGray"/>
        </w:rPr>
        <w:t>amordning og optimere udnyttelsen af de indvandringsforbindelsesofficerer, som medlemsstaterne, Kommissionen og EU-agenturerne har udsendt til tredjelande, med sigte på en mere virkningsfuld gennemførelse af EU's prioriteter hvad angår forebyggelse og bekæ</w:t>
      </w:r>
      <w:r>
        <w:rPr>
          <w:noProof/>
          <w:highlight w:val="lightGray"/>
        </w:rPr>
        <w:t xml:space="preserve">mpelse af ulovlig indvandring og dermed forbundet grænseoverskridende kriminalitet såsom smugling af migranter og menneskehandel, lettere tilbagesendelse, tilbagetagelse og reintegrering, som bidrager til en integreret forvaltning af Unionens ydre grænser </w:t>
      </w:r>
      <w:r>
        <w:rPr>
          <w:noProof/>
          <w:highlight w:val="lightGray"/>
        </w:rPr>
        <w:t>og understøtter styringen af legal indvandring, herunder på området international beskyttelse, genbosættelse og integrationsforanstaltninger inden afrejse, der iværksættes af medlemsstaterne og Unionen.</w:t>
      </w:r>
    </w:p>
    <w:p w:rsidR="00613CC4" w:rsidRDefault="00950A85">
      <w:pPr>
        <w:pStyle w:val="ManualConsidrant"/>
        <w:rPr>
          <w:noProof/>
          <w:highlight w:val="lightGray"/>
        </w:rPr>
      </w:pPr>
      <w:r>
        <w:rPr>
          <w:highlight w:val="lightGray"/>
        </w:rPr>
        <w:t>(9)</w:t>
      </w:r>
      <w:r>
        <w:rPr>
          <w:highlight w:val="lightGray"/>
        </w:rPr>
        <w:tab/>
      </w:r>
      <w:r>
        <w:rPr>
          <w:noProof/>
          <w:highlight w:val="lightGray"/>
        </w:rPr>
        <w:t>Med udgangspunkt i Rådets forordning (EF) nr. 377</w:t>
      </w:r>
      <w:r>
        <w:rPr>
          <w:noProof/>
          <w:highlight w:val="lightGray"/>
        </w:rPr>
        <w:t>/2004 har nærværende forordning til formål at sikre, at indvandringsforbindelsesofficerer yder et bedre bidrag til funktionen af et europæisk netværk af indvandringsforbindelsesofficerer, først og fremmest ved at oprette en mekanisme, hvorigennem medlemsst</w:t>
      </w:r>
      <w:r>
        <w:rPr>
          <w:noProof/>
          <w:highlight w:val="lightGray"/>
        </w:rPr>
        <w:t xml:space="preserve">aterne, Kommissionen og EU-agenturerne kan samordne deres forbindelsesofficerers opgaver og roller på en mere systematisk måde. </w:t>
      </w:r>
    </w:p>
    <w:p w:rsidR="00613CC4" w:rsidRDefault="00950A85">
      <w:pPr>
        <w:pStyle w:val="ManualConsidrant"/>
        <w:rPr>
          <w:noProof/>
          <w:highlight w:val="lightGray"/>
        </w:rPr>
      </w:pPr>
      <w:r>
        <w:rPr>
          <w:highlight w:val="lightGray"/>
        </w:rPr>
        <w:t>(10)</w:t>
      </w:r>
      <w:r>
        <w:rPr>
          <w:highlight w:val="lightGray"/>
        </w:rPr>
        <w:tab/>
      </w:r>
      <w:r>
        <w:rPr>
          <w:noProof/>
          <w:highlight w:val="lightGray"/>
        </w:rPr>
        <w:t>Under hensyntagen til, at indvandringsforbindelsesofficerers mandat og opgaver kan være overlappende, bør der gøres en ind</w:t>
      </w:r>
      <w:r>
        <w:rPr>
          <w:noProof/>
          <w:highlight w:val="lightGray"/>
        </w:rPr>
        <w:t>sats for bedre at samordne det arbejde, der udføres af forbindelsesofficerer, der arbejder i samme tredjeland eller region. Hvis indvandringsforbindelsesofficerer er udsendt direkte til EU's diplomatiske missioner i et tredjeland af Kommissionen, bør de ta</w:t>
      </w:r>
      <w:r>
        <w:rPr>
          <w:noProof/>
          <w:highlight w:val="lightGray"/>
        </w:rPr>
        <w:t>ge initiativ til og lede indvandringsforbindelsesofficerernes netværk i det pågældende tredjeland.</w:t>
      </w:r>
    </w:p>
    <w:p w:rsidR="00613CC4" w:rsidRDefault="00950A85">
      <w:pPr>
        <w:pStyle w:val="ManualConsidrant"/>
        <w:rPr>
          <w:noProof/>
          <w:highlight w:val="lightGray"/>
        </w:rPr>
      </w:pPr>
      <w:r>
        <w:rPr>
          <w:highlight w:val="lightGray"/>
        </w:rPr>
        <w:t>(11)</w:t>
      </w:r>
      <w:r>
        <w:rPr>
          <w:highlight w:val="lightGray"/>
        </w:rPr>
        <w:tab/>
      </w:r>
      <w:r>
        <w:rPr>
          <w:noProof/>
          <w:highlight w:val="lightGray"/>
        </w:rPr>
        <w:t>Indførelsen af en robust forvaltningsmekanisme, som sikrer en bedre samordning mellem alle forbindelsesofficerer, der beskæftiger sig med indvandringssp</w:t>
      </w:r>
      <w:r>
        <w:rPr>
          <w:noProof/>
          <w:highlight w:val="lightGray"/>
        </w:rPr>
        <w:t xml:space="preserve">ørgsmål som led i deres arbejde, er væsentlig for at minimere informationslakuner og dobbeltarbejde og maksimere operationel kapacitet og effektivitet. Et styringsråd bør udstede retningslinjer i overensstemmelse med Unionens politiske prioriteter — under </w:t>
      </w:r>
      <w:r>
        <w:rPr>
          <w:noProof/>
          <w:highlight w:val="lightGray"/>
        </w:rPr>
        <w:t>hensyntagen til Unionens eksterne forbindelser — og bør have de nødvendige beføjelser til navnlig at vedtage toårige arbejdsprogrammer for aktiviteterne i indvandringsforbindelsesofficerernes netværk, tildele skræddersyede ad hoc-opgaver til indvandringsfo</w:t>
      </w:r>
      <w:r>
        <w:rPr>
          <w:noProof/>
          <w:highlight w:val="lightGray"/>
        </w:rPr>
        <w:t>rbindelsesofficerer vedrørende prioriteter og nye behov, der ikke allerede er omfattet af det toårige arbejdsprogram, allokere ressourcer til aftalte aktiviteter og være ansvarlig for deres gennemførelse.</w:t>
      </w:r>
    </w:p>
    <w:p w:rsidR="00613CC4" w:rsidRDefault="00950A85">
      <w:pPr>
        <w:pStyle w:val="ManualConsidrant"/>
        <w:rPr>
          <w:noProof/>
          <w:highlight w:val="lightGray"/>
        </w:rPr>
      </w:pPr>
      <w:r>
        <w:rPr>
          <w:highlight w:val="lightGray"/>
        </w:rPr>
        <w:t>(12)</w:t>
      </w:r>
      <w:r>
        <w:rPr>
          <w:highlight w:val="lightGray"/>
        </w:rPr>
        <w:tab/>
      </w:r>
      <w:r>
        <w:rPr>
          <w:noProof/>
          <w:highlight w:val="lightGray"/>
        </w:rPr>
        <w:t xml:space="preserve">Styringsrådet bør derfor opstille og jævnligt </w:t>
      </w:r>
      <w:r>
        <w:rPr>
          <w:noProof/>
          <w:highlight w:val="lightGray"/>
        </w:rPr>
        <w:t>ajourføre en liste over indvandringsforbindelsesofficerer, der er udsendt til tredjelande. Listen bør omfatte oplysninger om placering, sammensætning og aktiviteter for forskellige netværk, herunder kontaktoplysninger, og et resumé over de udsendte indvand</w:t>
      </w:r>
      <w:r>
        <w:rPr>
          <w:noProof/>
          <w:highlight w:val="lightGray"/>
        </w:rPr>
        <w:t>ringsforbindelsesofficerers opgaver.</w:t>
      </w:r>
    </w:p>
    <w:p w:rsidR="00613CC4" w:rsidRDefault="00950A85">
      <w:pPr>
        <w:pStyle w:val="ManualConsidrant"/>
        <w:rPr>
          <w:noProof/>
          <w:highlight w:val="lightGray"/>
        </w:rPr>
      </w:pPr>
      <w:r>
        <w:rPr>
          <w:highlight w:val="lightGray"/>
        </w:rPr>
        <w:t>(13)</w:t>
      </w:r>
      <w:r>
        <w:rPr>
          <w:highlight w:val="lightGray"/>
        </w:rPr>
        <w:tab/>
      </w:r>
      <w:r>
        <w:rPr>
          <w:noProof/>
          <w:highlight w:val="lightGray"/>
        </w:rPr>
        <w:t>Fælles udsendelse af forbindelsesofficerer bør fremmes med henblik på at forbedre det operationelle samarbejde og udvekslingen af information mellem medlemsstaterne samt for at imødekomme behovene på EU-plan, som f</w:t>
      </w:r>
      <w:r>
        <w:rPr>
          <w:noProof/>
          <w:highlight w:val="lightGray"/>
        </w:rPr>
        <w:t>astlagt af styringsrådet. Fælles udsendelse fra mindst to medlemsstater bør understøttes med EU-midler for at fremme engagementet og give merværdi til alle medlemsstater, herunder navnlig dem med små eller uden forbindelsesnetværk i tredjelande.</w:t>
      </w:r>
    </w:p>
    <w:p w:rsidR="00613CC4" w:rsidRDefault="00950A85">
      <w:pPr>
        <w:pStyle w:val="ManualConsidrant"/>
        <w:rPr>
          <w:noProof/>
          <w:highlight w:val="lightGray"/>
        </w:rPr>
      </w:pPr>
      <w:r>
        <w:rPr>
          <w:highlight w:val="lightGray"/>
        </w:rPr>
        <w:t>(14)</w:t>
      </w:r>
      <w:r>
        <w:rPr>
          <w:highlight w:val="lightGray"/>
        </w:rPr>
        <w:tab/>
      </w:r>
      <w:r>
        <w:rPr>
          <w:noProof/>
          <w:highlight w:val="lightGray"/>
        </w:rPr>
        <w:t>Der b</w:t>
      </w:r>
      <w:r>
        <w:rPr>
          <w:noProof/>
          <w:highlight w:val="lightGray"/>
        </w:rPr>
        <w:t>ør fastsættes særlige bestemmelser for en bredere EU-kapacitetsopbygningsindsats for indvandringsforbindelsesofficererne ved i samarbejde med de relevante EU-agenturer at udarbejde et fælles kernepensum og kurser før udsendelsen samt for støtte til styrkel</w:t>
      </w:r>
      <w:r>
        <w:rPr>
          <w:noProof/>
          <w:highlight w:val="lightGray"/>
        </w:rPr>
        <w:t>se af den operationelle kapacitet for indvandringsforbindelsesofficerers netværk.</w:t>
      </w:r>
    </w:p>
    <w:p w:rsidR="00613CC4" w:rsidRDefault="00950A85">
      <w:pPr>
        <w:pStyle w:val="ManualConsidrant"/>
        <w:rPr>
          <w:noProof/>
          <w:highlight w:val="lightGray"/>
        </w:rPr>
      </w:pPr>
      <w:r>
        <w:rPr>
          <w:highlight w:val="lightGray"/>
        </w:rPr>
        <w:t>(15)</w:t>
      </w:r>
      <w:r>
        <w:rPr>
          <w:highlight w:val="lightGray"/>
        </w:rPr>
        <w:tab/>
      </w:r>
      <w:r>
        <w:rPr>
          <w:noProof/>
          <w:highlight w:val="lightGray"/>
        </w:rPr>
        <w:t>Indvandringsforbindelsesofficerers netværk bør undgå overlapning med det arbejde, der udføres af EU's agenturer og andre EU-instrumenter og -strukturer og bør tilføre en</w:t>
      </w:r>
      <w:r>
        <w:rPr>
          <w:noProof/>
          <w:highlight w:val="lightGray"/>
        </w:rPr>
        <w:t xml:space="preserve"> merværdi til det, de allerede opnår i form af indsamling og udveksling af oplysninger om indvandring, navnlig ved at fokusere på de operationelle aspekter.  De bør fungere som formidlere og leverandører af oplysninger fra tredjelande til støtte for Unione</w:t>
      </w:r>
      <w:r>
        <w:rPr>
          <w:noProof/>
          <w:highlight w:val="lightGray"/>
        </w:rPr>
        <w:t>ns agenturer i deres funktioner og opgaver, navnlig hvis EU-agenturerne endnu ikke har etableret et samarbejde med tredjelande. Med sigte herpå bør der etableres et tættere samarbejde mellem indvandringsforbindelsesofficerers netværk og de relevante EU-age</w:t>
      </w:r>
      <w:r>
        <w:rPr>
          <w:noProof/>
          <w:highlight w:val="lightGray"/>
        </w:rPr>
        <w:t>nturer.</w:t>
      </w:r>
    </w:p>
    <w:p w:rsidR="00613CC4" w:rsidRDefault="00950A85">
      <w:pPr>
        <w:pStyle w:val="ManualConsidrant"/>
        <w:rPr>
          <w:noProof/>
          <w:highlight w:val="lightGray"/>
        </w:rPr>
      </w:pPr>
      <w:r>
        <w:rPr>
          <w:highlight w:val="lightGray"/>
        </w:rPr>
        <w:t>(16)</w:t>
      </w:r>
      <w:r>
        <w:rPr>
          <w:highlight w:val="lightGray"/>
        </w:rPr>
        <w:tab/>
      </w:r>
      <w:r>
        <w:rPr>
          <w:noProof/>
          <w:highlight w:val="lightGray"/>
        </w:rPr>
        <w:t>Medlemsstaternes myndigheder bør sikre, at strategiske og operative analyseprodukter fra EU-agenturerne vedrørende ulovlig indvandring, tilbagesendelse, grænseoverskridende kriminalitet eller international beskyttelse og genbosætning effektivt</w:t>
      </w:r>
      <w:r>
        <w:rPr>
          <w:noProof/>
          <w:highlight w:val="lightGray"/>
        </w:rPr>
        <w:t xml:space="preserve"> når indvandringsforbindelsesofficererne i tredjelande, og at oplysninger fra indvandringsforbindelsesofficerer deles med de relevante EU-agenturer - navnlig Det Europæiske Agentur for Grænse- og Kystbevogtning, Europol og Den Europæiske Unions Asylagentur</w:t>
      </w:r>
      <w:r>
        <w:rPr>
          <w:noProof/>
          <w:highlight w:val="lightGray"/>
        </w:rPr>
        <w:t xml:space="preserve"> inden for deres respektive retlige rammer.</w:t>
      </w:r>
    </w:p>
    <w:p w:rsidR="00613CC4" w:rsidRDefault="00950A85">
      <w:pPr>
        <w:pStyle w:val="ManualConsidrant"/>
        <w:rPr>
          <w:noProof/>
          <w:highlight w:val="lightGray"/>
        </w:rPr>
      </w:pPr>
      <w:r>
        <w:rPr>
          <w:highlight w:val="lightGray"/>
        </w:rPr>
        <w:t>(17)</w:t>
      </w:r>
      <w:r>
        <w:rPr>
          <w:highlight w:val="lightGray"/>
        </w:rPr>
        <w:tab/>
      </w:r>
      <w:r>
        <w:rPr>
          <w:noProof/>
          <w:highlight w:val="lightGray"/>
        </w:rPr>
        <w:t>For at sikre den mest effektive anvendelse af oplysninger, der indsamles af netværkene af indvandringsforbindelsesofficerer, bør sådanne oplysninger være tilgængelige via en sikret webbaseret platform til in</w:t>
      </w:r>
      <w:r>
        <w:rPr>
          <w:noProof/>
          <w:highlight w:val="lightGray"/>
        </w:rPr>
        <w:t>formationsudveksling.</w:t>
      </w:r>
    </w:p>
    <w:p w:rsidR="00613CC4" w:rsidRDefault="00950A85">
      <w:pPr>
        <w:pStyle w:val="ManualConsidrant"/>
        <w:rPr>
          <w:noProof/>
          <w:highlight w:val="lightGray"/>
        </w:rPr>
      </w:pPr>
      <w:r>
        <w:rPr>
          <w:highlight w:val="lightGray"/>
        </w:rPr>
        <w:t>(18)</w:t>
      </w:r>
      <w:r>
        <w:rPr>
          <w:highlight w:val="lightGray"/>
        </w:rPr>
        <w:tab/>
      </w:r>
      <w:r>
        <w:rPr>
          <w:noProof/>
          <w:highlight w:val="lightGray"/>
        </w:rPr>
        <w:t>Oplysninger, der indsamles af indvandringsforbindelsesofficerer bør understøtte gennemførelsen af den tekniske og operationelle europæiske integrerede grænseforvaltning, der er omhandlet i artikel 4 i Europa-Parlamentets og Rådet</w:t>
      </w:r>
      <w:r>
        <w:rPr>
          <w:noProof/>
          <w:highlight w:val="lightGray"/>
        </w:rPr>
        <w:t>s forordning (EU) 2016/1624</w:t>
      </w:r>
      <w:r>
        <w:rPr>
          <w:rStyle w:val="FootnoteReference"/>
          <w:noProof/>
          <w:highlight w:val="lightGray"/>
        </w:rPr>
        <w:footnoteReference w:id="18"/>
      </w:r>
      <w:r>
        <w:rPr>
          <w:noProof/>
          <w:highlight w:val="lightGray"/>
        </w:rPr>
        <w:t xml:space="preserve"> og bidrage til udvikling og opretholdelse af de nationale grænseovervågningssystemer i overensstemmelse med Europa-Parlamentets og Rådets forordning (EU) nr. 1052/2013</w:t>
      </w:r>
      <w:r>
        <w:rPr>
          <w:rStyle w:val="FootnoteReference"/>
          <w:noProof/>
          <w:highlight w:val="lightGray"/>
        </w:rPr>
        <w:footnoteReference w:id="19"/>
      </w:r>
      <w:r>
        <w:rPr>
          <w:noProof/>
          <w:highlight w:val="lightGray"/>
        </w:rPr>
        <w:t xml:space="preserve">.  </w:t>
      </w:r>
    </w:p>
    <w:p w:rsidR="00613CC4" w:rsidRDefault="00950A85">
      <w:pPr>
        <w:pStyle w:val="ManualConsidrant"/>
        <w:rPr>
          <w:noProof/>
          <w:highlight w:val="lightGray"/>
        </w:rPr>
      </w:pPr>
      <w:r>
        <w:rPr>
          <w:highlight w:val="lightGray"/>
        </w:rPr>
        <w:t>(19)</w:t>
      </w:r>
      <w:r>
        <w:rPr>
          <w:highlight w:val="lightGray"/>
        </w:rPr>
        <w:tab/>
      </w:r>
      <w:r>
        <w:rPr>
          <w:noProof/>
          <w:highlight w:val="lightGray"/>
        </w:rPr>
        <w:t>Det bør være muligt at anvende de tilgængelige res</w:t>
      </w:r>
      <w:r>
        <w:rPr>
          <w:noProof/>
          <w:highlight w:val="lightGray"/>
        </w:rPr>
        <w:t>sourcer i Europa-Parlamentets og Rådets forordning (EU) nr. 515/2014</w:t>
      </w:r>
      <w:r>
        <w:rPr>
          <w:rStyle w:val="FootnoteReference"/>
          <w:noProof/>
          <w:highlight w:val="lightGray"/>
        </w:rPr>
        <w:footnoteReference w:id="20"/>
      </w:r>
      <w:r>
        <w:rPr>
          <w:noProof/>
          <w:highlight w:val="lightGray"/>
        </w:rPr>
        <w:t xml:space="preserve"> til at understøtte aktiviteterne i et europæisk netværk af indvandringsforbindelsesofficerer samt til medlemsstaternes fælles udsendelse af forbindelsesofficerer.</w:t>
      </w:r>
    </w:p>
    <w:p w:rsidR="00613CC4" w:rsidRDefault="00950A85">
      <w:pPr>
        <w:pStyle w:val="ManualConsidrant"/>
        <w:rPr>
          <w:noProof/>
          <w:highlight w:val="lightGray"/>
        </w:rPr>
      </w:pPr>
      <w:r>
        <w:rPr>
          <w:highlight w:val="lightGray"/>
        </w:rPr>
        <w:t>(20)</w:t>
      </w:r>
      <w:r>
        <w:rPr>
          <w:highlight w:val="lightGray"/>
        </w:rPr>
        <w:tab/>
      </w:r>
      <w:r>
        <w:rPr>
          <w:noProof/>
          <w:highlight w:val="lightGray"/>
        </w:rPr>
        <w:t>Al behandling og o</w:t>
      </w:r>
      <w:r>
        <w:rPr>
          <w:noProof/>
          <w:highlight w:val="lightGray"/>
        </w:rPr>
        <w:t>verførsel af personoplysninger, som foretages af medlemsstaterne inden for rammerne af denne forordning, bør ske i overensstemmelse med Europa-Parlamentets og Rådets forordning (EU) 2016/679</w:t>
      </w:r>
      <w:r>
        <w:rPr>
          <w:rStyle w:val="FootnoteReference"/>
          <w:noProof/>
          <w:highlight w:val="lightGray"/>
        </w:rPr>
        <w:footnoteReference w:id="21"/>
      </w:r>
      <w:r>
        <w:rPr>
          <w:noProof/>
          <w:highlight w:val="lightGray"/>
        </w:rPr>
        <w:t xml:space="preserve"> og med de nationale bestemmelser, der gennemfører direktiv 2016/</w:t>
      </w:r>
      <w:r>
        <w:rPr>
          <w:noProof/>
          <w:highlight w:val="lightGray"/>
        </w:rPr>
        <w:t>680</w:t>
      </w:r>
      <w:r>
        <w:rPr>
          <w:rStyle w:val="FootnoteReference"/>
          <w:noProof/>
          <w:highlight w:val="lightGray"/>
        </w:rPr>
        <w:footnoteReference w:id="22"/>
      </w:r>
      <w:r>
        <w:rPr>
          <w:noProof/>
          <w:highlight w:val="lightGray"/>
        </w:rPr>
        <w:t>. Kommissionen og EU-agenturerne bør anvende Europa-Parlamentets og Rådets forordning (EF) nr. 45/2001</w:t>
      </w:r>
      <w:r>
        <w:rPr>
          <w:rStyle w:val="FootnoteReference"/>
          <w:noProof/>
          <w:highlight w:val="lightGray"/>
        </w:rPr>
        <w:footnoteReference w:id="23"/>
      </w:r>
      <w:r>
        <w:rPr>
          <w:noProof/>
          <w:highlight w:val="lightGray"/>
        </w:rPr>
        <w:t xml:space="preserve">, når de behandler personoplysninger. </w:t>
      </w:r>
    </w:p>
    <w:p w:rsidR="00613CC4" w:rsidRDefault="00950A85">
      <w:pPr>
        <w:pStyle w:val="ManualConsidrant"/>
        <w:rPr>
          <w:noProof/>
          <w:highlight w:val="lightGray"/>
        </w:rPr>
      </w:pPr>
      <w:r>
        <w:rPr>
          <w:highlight w:val="lightGray"/>
        </w:rPr>
        <w:t>(21)</w:t>
      </w:r>
      <w:r>
        <w:rPr>
          <w:highlight w:val="lightGray"/>
        </w:rPr>
        <w:tab/>
      </w:r>
      <w:r>
        <w:rPr>
          <w:noProof/>
          <w:highlight w:val="lightGray"/>
        </w:rPr>
        <w:t>Behandling af personoplysninger inden for rammerne af denne forordning bør ske med henblik på at yde assi</w:t>
      </w:r>
      <w:r>
        <w:rPr>
          <w:noProof/>
          <w:highlight w:val="lightGray"/>
        </w:rPr>
        <w:t>stance til tilbagesendelse af tredjelandsstatsborgere og lette genbosætning af personer med behov for international beskyttelse og gennemførelse af EU-foranstaltninger for så vidt angår indrejse af lovlige indvandrere. Der er derfor behov for retlige ramme</w:t>
      </w:r>
      <w:r>
        <w:rPr>
          <w:noProof/>
          <w:highlight w:val="lightGray"/>
        </w:rPr>
        <w:t>r, som anerkender indvandringsforbindelsesofficerernes rolle i denne forbindelse.</w:t>
      </w:r>
    </w:p>
    <w:p w:rsidR="00613CC4" w:rsidRDefault="00950A85">
      <w:pPr>
        <w:pStyle w:val="ManualConsidrant"/>
        <w:rPr>
          <w:noProof/>
          <w:highlight w:val="lightGray"/>
        </w:rPr>
      </w:pPr>
      <w:r>
        <w:rPr>
          <w:highlight w:val="lightGray"/>
        </w:rPr>
        <w:t>(22)</w:t>
      </w:r>
      <w:r>
        <w:rPr>
          <w:highlight w:val="lightGray"/>
        </w:rPr>
        <w:tab/>
      </w:r>
      <w:r>
        <w:rPr>
          <w:noProof/>
          <w:highlight w:val="lightGray"/>
        </w:rPr>
        <w:t>Tilbagesendelsen af tredjelandsstatsborgere, som ikke opfylder eller ikke længere opfylder betingelserne for indrejse, ophold eller bopæl i medlemsstaterne, jf. Europa-P</w:t>
      </w:r>
      <w:r>
        <w:rPr>
          <w:noProof/>
          <w:highlight w:val="lightGray"/>
        </w:rPr>
        <w:t>arlamentets og Rådets direktiv 2008/115/EF</w:t>
      </w:r>
      <w:r>
        <w:rPr>
          <w:rStyle w:val="FootnoteReference"/>
          <w:noProof/>
          <w:highlight w:val="lightGray"/>
        </w:rPr>
        <w:footnoteReference w:id="24"/>
      </w:r>
      <w:r>
        <w:rPr>
          <w:noProof/>
          <w:highlight w:val="lightGray"/>
        </w:rPr>
        <w:t xml:space="preserve">, er en væsentlig del af den omfattende indsats for at tackle ulovlig indvandring og er en vigtig årsag af væsentlig offentlig interesse. </w:t>
      </w:r>
    </w:p>
    <w:p w:rsidR="00613CC4" w:rsidRDefault="00950A85">
      <w:pPr>
        <w:pStyle w:val="ManualConsidrant"/>
        <w:rPr>
          <w:noProof/>
          <w:highlight w:val="lightGray"/>
        </w:rPr>
      </w:pPr>
      <w:r>
        <w:rPr>
          <w:highlight w:val="lightGray"/>
        </w:rPr>
        <w:t>(23)</w:t>
      </w:r>
      <w:r>
        <w:rPr>
          <w:highlight w:val="lightGray"/>
        </w:rPr>
        <w:tab/>
      </w:r>
      <w:r>
        <w:rPr>
          <w:noProof/>
          <w:highlight w:val="lightGray"/>
        </w:rPr>
        <w:t>Indvandringsforbindelsesofficerer er nødt til at behandle personoplys</w:t>
      </w:r>
      <w:r>
        <w:rPr>
          <w:noProof/>
          <w:highlight w:val="lightGray"/>
        </w:rPr>
        <w:t>ninger for at lette tilbagesendelser. De tredjelande, hvortil der sker tilbagesendelse, er ofte ikke genstand for afgørelser om tilstrækkeligt beskyttelsesniveau, der er vedtaget af Kommissionen i henhold til artikel 45 i forordning (EU) 2016/679 eller i h</w:t>
      </w:r>
      <w:r>
        <w:rPr>
          <w:noProof/>
          <w:highlight w:val="lightGray"/>
        </w:rPr>
        <w:t>enhold til artikel 36 i direktiv (EU) 2016/680, og de har ofte ikke indgået eller agter ikke at indgå en tilbagetagelsesaftale med EU eller på anden måde give tilstrækkelige garantier som omhandlet i artikel 46 i forordning (EU) 2016/679 eller i henhold ti</w:t>
      </w:r>
      <w:r>
        <w:rPr>
          <w:noProof/>
          <w:highlight w:val="lightGray"/>
        </w:rPr>
        <w:t>l de nationale bestemmelser til gennemførelse af artikel 37 i direktiv (EU) 2016/680. Til trods for Unionens omfattende bestræbelser på at samarbejde med de vigtigste oprindelseslande for tredjelandsstatsborgere med ulovligt ophold, der skal tilbagesendes,</w:t>
      </w:r>
      <w:r>
        <w:rPr>
          <w:noProof/>
          <w:highlight w:val="lightGray"/>
        </w:rPr>
        <w:t xml:space="preserve"> er det ikke altid muligt at sikre, at sådanne tredjelande systematisk opfylder de krav, der er fastsat i folkeretten vedrørende tilbagetagelse af egne statsborgere. Tilbagetagelsesaftaler, som er indgået eller er ved at blive forhandlet af Unionen eller m</w:t>
      </w:r>
      <w:r>
        <w:rPr>
          <w:noProof/>
          <w:highlight w:val="lightGray"/>
        </w:rPr>
        <w:t>edlemsstaterne og giver passende garantier for overførsel af personoplysninger til tredjelande i medfør af artikel 46 i forordning (EU) 2016/679 eller i medfør af de nationale bestemmelser til gennemførelse af artikel 36 i direktiv (EU) 2016/680, dækker ku</w:t>
      </w:r>
      <w:r>
        <w:rPr>
          <w:noProof/>
          <w:highlight w:val="lightGray"/>
        </w:rPr>
        <w:t>n et begrænset antal tredjelande.  I tilfælde, hvor der ikke findes sådanne aftaler, bør personoplysninger overføres af indvandringsforbindelsesofficerer med henblik på gennemførelse af Unionens tilbagesendelsesoperationer i overensstemmelse med de betinge</w:t>
      </w:r>
      <w:r>
        <w:rPr>
          <w:noProof/>
          <w:highlight w:val="lightGray"/>
        </w:rPr>
        <w:t>lser, der er fastsat i artikel 49, stk. 1, litra d), i forordning (EU) 2016/679 eller i de nationale bestemmelser til gennemførelse af artikel 38 i direktiv (EU) 2016/680.</w:t>
      </w:r>
    </w:p>
    <w:p w:rsidR="00613CC4" w:rsidRDefault="00950A85">
      <w:pPr>
        <w:pStyle w:val="ManualConsidrant"/>
        <w:rPr>
          <w:noProof/>
          <w:highlight w:val="lightGray"/>
        </w:rPr>
      </w:pPr>
      <w:r>
        <w:rPr>
          <w:highlight w:val="lightGray"/>
        </w:rPr>
        <w:t>(24)</w:t>
      </w:r>
      <w:r>
        <w:rPr>
          <w:highlight w:val="lightGray"/>
        </w:rPr>
        <w:tab/>
      </w:r>
      <w:r>
        <w:rPr>
          <w:noProof/>
          <w:highlight w:val="lightGray"/>
        </w:rPr>
        <w:t xml:space="preserve">I de berørte personers interesse bør indvandringsforbindelsesofficerer kunne </w:t>
      </w:r>
      <w:r>
        <w:rPr>
          <w:noProof/>
          <w:highlight w:val="lightGray"/>
        </w:rPr>
        <w:t>behandle personoplysninger om personer, der har behov for international beskyttelse og skal genbosættes, og personer, der ønsker at migrere lovligt i Unionen, med henblik på at bekræfte deres identitet og statsborgerskab.</w:t>
      </w:r>
    </w:p>
    <w:p w:rsidR="00613CC4" w:rsidRDefault="00950A85">
      <w:pPr>
        <w:pStyle w:val="ManualConsidrant"/>
        <w:rPr>
          <w:noProof/>
        </w:rPr>
      </w:pPr>
      <w:r>
        <w:rPr>
          <w:highlight w:val="lightGray"/>
        </w:rPr>
        <w:t>(25)</w:t>
      </w:r>
      <w:r>
        <w:rPr>
          <w:highlight w:val="lightGray"/>
        </w:rPr>
        <w:tab/>
      </w:r>
      <w:r>
        <w:rPr>
          <w:noProof/>
          <w:highlight w:val="lightGray"/>
        </w:rPr>
        <w:t xml:space="preserve">Målene med denne forordning, </w:t>
      </w:r>
      <w:r>
        <w:rPr>
          <w:noProof/>
          <w:highlight w:val="lightGray"/>
        </w:rPr>
        <w:t>nemlig at optimere udnyttelsen af de indvandringsforbindelsesofficerer, som medlemsstaterne, Kommissionen og EU-agenturerne har udsendt til tredjelande, med sigte på en mere virkningsfuld gennemførelse af EU's prioriteter hvad angår forebyggelse og bekæmpe</w:t>
      </w:r>
      <w:r>
        <w:rPr>
          <w:noProof/>
          <w:highlight w:val="lightGray"/>
        </w:rPr>
        <w:t>lse af ulovlig indvandring, lettere tilbagesendelse, tilbagetagelse og reintegrering, som bidrager til en integreret forvaltning af Unionens ydre grænser samt understøtte styringen af legal indvandring eller internationale beskyttelsesordninger, kan ikke i</w:t>
      </w:r>
      <w:r>
        <w:rPr>
          <w:noProof/>
          <w:highlight w:val="lightGray"/>
        </w:rPr>
        <w:t xml:space="preserve"> tilstrækkelig grad opfyldes af medlemsstaterne alene og kan derfor bedre nås på EU-plan; Unionen kan derfor træffe foranstaltninger i overensstemmelse med nærhedsprincippet, jf. artikel 5 i traktaten om Den Europæiske Union. I overensstemmelse med proport</w:t>
      </w:r>
      <w:r>
        <w:rPr>
          <w:noProof/>
          <w:highlight w:val="lightGray"/>
        </w:rPr>
        <w:t>ionalitetsprincippet, jf. nævnte artikel, går forordningen ikke ud over, hvad der er nødvendigt for at nå disse mål.</w:t>
      </w:r>
    </w:p>
    <w:p w:rsidR="00613CC4" w:rsidRDefault="00613CC4">
      <w:pPr>
        <w:pStyle w:val="CRSeparator"/>
        <w:rPr>
          <w:noProof/>
        </w:rPr>
      </w:pPr>
    </w:p>
    <w:p w:rsidR="00613CC4" w:rsidRDefault="00950A85">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betragtning 8 (tilpasset)</w:t>
      </w:r>
    </w:p>
    <w:p w:rsidR="00613CC4" w:rsidRDefault="00950A85">
      <w:pPr>
        <w:pStyle w:val="ManualConsidrant"/>
        <w:rPr>
          <w:noProof/>
        </w:rPr>
      </w:pPr>
      <w:r>
        <w:t>(26)</w:t>
      </w:r>
      <w:r>
        <w:tab/>
      </w:r>
      <w:r>
        <w:rPr>
          <w:noProof/>
        </w:rPr>
        <w:t xml:space="preserve">For så vidt angår Island og Norge er denne forordning en videreudvikling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af bestemmelser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 Schengen-reglerne som omhandlet i aftalen indgået mellem Rådet for Den Europæiske Union og Republikken Island og Kongeriget Norge om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sidstnævntes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disse to staters</w:t>
      </w:r>
      <w:r>
        <w:rPr>
          <w:noProof/>
        </w:rPr>
        <w:t xml:space="preserve"> associering i gennem</w:t>
      </w:r>
      <w:r>
        <w:rPr>
          <w:noProof/>
        </w:rPr>
        <w:t>førelsen, anvendelsen og udviklingen af Schengen-reglerne</w:t>
      </w:r>
      <w:r>
        <w:rPr>
          <w:rStyle w:val="FootnoteReference"/>
          <w:noProof/>
        </w:rPr>
        <w:footnoteReference w:id="25"/>
      </w:r>
      <w:r>
        <w:rPr>
          <w:noProof/>
        </w:rPr>
        <w:t xml:space="preserve">, </w:t>
      </w:r>
      <w:r>
        <w:rPr>
          <w:rStyle w:val="CRMinorChangeDeleted"/>
          <w:noProof/>
        </w:rPr>
        <w:t>,</w:t>
      </w:r>
      <w:r>
        <w:rPr>
          <w:noProof/>
        </w:rPr>
        <w:t>der hører ind under det område, der er omhandlet i artikel 1, litra A og E,</w:t>
      </w:r>
      <w:r>
        <w:rPr>
          <w:rStyle w:val="CRMinorChangeAdded"/>
          <w:noProof/>
        </w:rPr>
        <w:t>,</w:t>
      </w:r>
      <w:r>
        <w:rPr>
          <w:noProof/>
        </w:rPr>
        <w:t xml:space="preserve"> i Rådets afgørelse 1999/437/EF</w:t>
      </w:r>
      <w:r>
        <w:rPr>
          <w:rStyle w:val="CRMinorChangeDeleted"/>
          <w:noProof/>
        </w:rPr>
        <w:t xml:space="preserve"> af 17. maj 1999 om visse gennemførelsesbestemmelser til nævnte aftale</w:t>
      </w:r>
      <w:r>
        <w:rPr>
          <w:rStyle w:val="FootnoteReference"/>
          <w:noProof/>
        </w:rPr>
        <w:footnoteReference w:id="26"/>
      </w:r>
      <w:r>
        <w:rPr>
          <w:noProof/>
        </w:rPr>
        <w:t>.</w:t>
      </w:r>
    </w:p>
    <w:p w:rsidR="00613CC4" w:rsidRDefault="00613CC4">
      <w:pPr>
        <w:pStyle w:val="CRSeparator"/>
        <w:rPr>
          <w:noProof/>
        </w:rPr>
      </w:pPr>
    </w:p>
    <w:p w:rsidR="00613CC4" w:rsidRDefault="00950A85">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493/2011 betragtning 15</w:t>
      </w:r>
    </w:p>
    <w:p w:rsidR="00613CC4" w:rsidRDefault="00950A85">
      <w:pPr>
        <w:pStyle w:val="ManualConsidrant"/>
        <w:rPr>
          <w:noProof/>
        </w:rPr>
      </w:pPr>
      <w:r>
        <w:t>(27)</w:t>
      </w:r>
      <w:r>
        <w:tab/>
      </w:r>
      <w:r>
        <w:rPr>
          <w:noProof/>
        </w:rPr>
        <w:t>For så vidt angår Schweiz udgør denne forordning en udvikling af bestemmelser i Schengen-reglerne, jf. aftalen mellem Den Europæiske Union, Det Europæiske Fællesskab og Det Schweiziske Forbund om Det Schweiziske Forbunds asso</w:t>
      </w:r>
      <w:r>
        <w:rPr>
          <w:noProof/>
        </w:rPr>
        <w:t>ciering i gennemførelsen, anvendelsen og udviklingen af Schengen-reglerne</w:t>
      </w:r>
      <w:r>
        <w:rPr>
          <w:rStyle w:val="FootnoteReference"/>
          <w:iCs/>
          <w:noProof/>
        </w:rPr>
        <w:footnoteReference w:id="27"/>
      </w:r>
      <w:r>
        <w:rPr>
          <w:noProof/>
        </w:rPr>
        <w:t>, henhørende under det område, der er nævnt i artikel 1, litra A og E, i Rådets afgørelse 1999/437/EF sammenholdt med artikel 3 i Rådets afgørelse 2008/146/EF</w:t>
      </w:r>
      <w:r>
        <w:rPr>
          <w:rStyle w:val="FootnoteReference"/>
          <w:noProof/>
        </w:rPr>
        <w:footnoteReference w:id="28"/>
      </w:r>
      <w:r>
        <w:rPr>
          <w:noProof/>
        </w:rPr>
        <w:t>.</w:t>
      </w:r>
    </w:p>
    <w:p w:rsidR="00613CC4" w:rsidRDefault="00613CC4">
      <w:pPr>
        <w:pStyle w:val="CRSeparator"/>
        <w:rPr>
          <w:noProof/>
        </w:rPr>
      </w:pPr>
    </w:p>
    <w:p w:rsidR="00613CC4" w:rsidRDefault="00950A85">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493/</w:t>
      </w:r>
      <w:r>
        <w:rPr>
          <w:noProof/>
        </w:rPr>
        <w:t>2011 betragtning 16 (tilpasset)</w:t>
      </w:r>
    </w:p>
    <w:p w:rsidR="00613CC4" w:rsidRDefault="00950A85">
      <w:pPr>
        <w:pStyle w:val="ManualConsidrant"/>
        <w:rPr>
          <w:noProof/>
        </w:rPr>
      </w:pPr>
      <w:r>
        <w:t>(28)</w:t>
      </w:r>
      <w:r>
        <w:tab/>
      </w:r>
      <w:r>
        <w:rPr>
          <w:noProof/>
        </w:rPr>
        <w:t xml:space="preserve">For så vidt angår Liechtenstein udgør denne forordning en udvikling af de bestemmelser i Schengen-reglerne, jf. protokollen </w:t>
      </w:r>
      <w:r>
        <w:rPr>
          <w:rStyle w:val="CRDeleted"/>
          <w:noProof/>
        </w:rPr>
        <w:t>undertegnet</w:t>
      </w:r>
      <w:r>
        <w:rPr>
          <w:noProof/>
        </w:rPr>
        <w:t xml:space="preserve"> mellem Den Europæiske Union, Det Europæiske Fællesskab, Det Schweiziske Forbund og </w:t>
      </w:r>
      <w:r>
        <w:rPr>
          <w:noProof/>
        </w:rPr>
        <w:t>Fyrstendømmet Liechtenstein om Fyrstendømmet Liechtensteins tiltrædelse af aftalen mellem Den Europæiske Union, Det Europæiske Fællesskab og Det Schweiziske Forbund om Det Schweiziske Forbunds associering i gennemførelsen, anvendelsen og udviklingen af Sch</w:t>
      </w:r>
      <w:r>
        <w:rPr>
          <w:noProof/>
        </w:rPr>
        <w:t>engen-reglerne</w:t>
      </w:r>
      <w:r>
        <w:rPr>
          <w:rStyle w:val="FootnoteReference"/>
          <w:iCs/>
          <w:noProof/>
        </w:rPr>
        <w:footnoteReference w:id="29"/>
      </w:r>
      <w:r>
        <w:rPr>
          <w:noProof/>
        </w:rPr>
        <w:t>, der henhører under det område, der er nævnt i artikel 1, litra A og E i afgørelse 1999/437/EF sammenholdt med artikel 3 i Rådets afgørelse</w:t>
      </w:r>
      <w:r>
        <w:rPr>
          <w:rStyle w:val="CRMinorChangeDeleted"/>
          <w:noProof/>
          <w:color w:val="000000"/>
        </w:rPr>
        <w:t>2008/261/EF</w:t>
      </w:r>
      <w:r>
        <w:rPr>
          <w:noProof/>
        </w:rPr>
        <w:t xml:space="preserve"> </w:t>
      </w:r>
      <w:r>
        <w:rPr>
          <w:rStyle w:val="CRMinorChangeAdded"/>
          <w:noProof/>
        </w:rPr>
        <w:t>2011/350/EU</w:t>
      </w:r>
      <w:r>
        <w:rPr>
          <w:rStyle w:val="CRMinorChangeAdded"/>
          <w:noProof/>
          <w:vertAlign w:val="superscript"/>
        </w:rPr>
        <w:footnoteReference w:id="30"/>
      </w:r>
      <w:r>
        <w:rPr>
          <w:noProof/>
        </w:rPr>
        <w:t>.</w:t>
      </w:r>
    </w:p>
    <w:p w:rsidR="00613CC4" w:rsidRDefault="00613CC4">
      <w:pPr>
        <w:pStyle w:val="CRSeparator"/>
        <w:rPr>
          <w:noProof/>
        </w:rPr>
      </w:pPr>
    </w:p>
    <w:p w:rsidR="00613CC4" w:rsidRDefault="00950A85">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betragtning 9 (tilpasset)</w:t>
      </w:r>
    </w:p>
    <w:p w:rsidR="00613CC4" w:rsidRDefault="00950A85">
      <w:pPr>
        <w:pStyle w:val="ManualConsidrant"/>
        <w:rPr>
          <w:noProof/>
        </w:rPr>
      </w:pPr>
      <w:r>
        <w:t>(29)</w:t>
      </w:r>
      <w:r>
        <w:tab/>
      </w:r>
      <w:r>
        <w:rPr>
          <w:noProof/>
        </w:rPr>
        <w:t xml:space="preserve">I medfør af </w:t>
      </w:r>
      <w:r>
        <w:rPr>
          <w:noProof/>
        </w:rPr>
        <w:t>artikel 1 og 2 i protokol</w:t>
      </w:r>
      <w:r>
        <w:rPr>
          <w:rStyle w:val="CRDeleted"/>
          <w:noProof/>
        </w:rPr>
        <w:t>len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nr. 22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om Danmarks stilling, der er knyttet som bilag til traktaten om Den Europæiske Union og til traktaten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om Den Europæiske Unions funktionsmåde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om oprettelse a</w:t>
      </w:r>
      <w:r>
        <w:rPr>
          <w:rStyle w:val="CRDeleted"/>
          <w:noProof/>
        </w:rPr>
        <w:t>f Det Europæiske Fællesskab</w:t>
      </w:r>
      <w:r>
        <w:rPr>
          <w:noProof/>
        </w:rPr>
        <w:t>, deltager Danmark ikke i vedtagelsen af denne forordning, som derfor ikke er bindende for og ikke finder anvendelse i Danmark. Inden seks måneder efter, at Rådet har truffet afgørelse om denne forordning til udbygning af Schenge</w:t>
      </w:r>
      <w:r>
        <w:rPr>
          <w:noProof/>
        </w:rPr>
        <w:t>n-reglerne</w:t>
      </w:r>
      <w:r>
        <w:rPr>
          <w:rStyle w:val="CRDeleted"/>
          <w:noProof/>
        </w:rPr>
        <w:t xml:space="preserve"> efter bestemmelserne i afsnit IV i tredje del af traktaten om oprettelse af Det Europæiske Fællesskab</w:t>
      </w:r>
      <w:r>
        <w:rPr>
          <w:noProof/>
        </w:rPr>
        <w:t xml:space="preserve">, træffer Danmark afgørelse om, hvorvidt det vil gennemføre forordningen i sin nationale lovgivning, jf. artikel </w:t>
      </w:r>
      <w:r>
        <w:rPr>
          <w:rStyle w:val="CRDeleted"/>
          <w:noProof/>
        </w:rPr>
        <w:t>5</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4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 </w:t>
      </w:r>
      <w:r>
        <w:rPr>
          <w:rStyle w:val="CRDeleted"/>
          <w:noProof/>
        </w:rPr>
        <w:t>nævnte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den pågældende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protokol.</w:t>
      </w:r>
    </w:p>
    <w:p w:rsidR="00613CC4" w:rsidRDefault="00613CC4">
      <w:pPr>
        <w:pStyle w:val="CRSeparator"/>
        <w:rPr>
          <w:noProof/>
        </w:rPr>
      </w:pPr>
    </w:p>
    <w:p w:rsidR="00613CC4" w:rsidRDefault="00950A85">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betragtning 10 (tilpasset)</w:t>
      </w:r>
    </w:p>
    <w:p w:rsidR="00613CC4" w:rsidRDefault="00950A85">
      <w:pPr>
        <w:pStyle w:val="ManualConsidrant"/>
        <w:rPr>
          <w:noProof/>
        </w:rPr>
      </w:pPr>
      <w:r>
        <w:t>(30)</w:t>
      </w:r>
      <w:r>
        <w:tab/>
      </w:r>
      <w:r>
        <w:rPr>
          <w:noProof/>
        </w:rPr>
        <w:t>Det Forenede Kongerige deltager i denne forordning i henhold til artikel 5</w:t>
      </w:r>
      <w:r>
        <w:rPr>
          <w:rStyle w:val="CRMinorChangeAdded"/>
          <w:noProof/>
        </w:rPr>
        <w:t>, stk. 1,</w:t>
      </w:r>
      <w:r>
        <w:rPr>
          <w:noProof/>
        </w:rPr>
        <w:t xml:space="preserve"> i protokol</w:t>
      </w:r>
      <w:r>
        <w:rPr>
          <w:rStyle w:val="CRDeleted"/>
          <w:noProof/>
        </w:rPr>
        <w:t>len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shd w:val="clear" w:color="auto" w:fill="FFFFFF"/>
        </w:rPr>
        <w:t>nr. 19</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shd w:val="clear" w:color="auto" w:fill="FFFFFF"/>
        </w:rPr>
        <w:t xml:space="preserve"> </w:t>
      </w:r>
      <w:r>
        <w:rPr>
          <w:noProof/>
        </w:rPr>
        <w:t>om integration af Schengen-reglerne i</w:t>
      </w:r>
      <w:r>
        <w:rPr>
          <w:noProof/>
          <w:shd w:val="clear" w:color="auto" w:fill="FFFFFF"/>
        </w:rPr>
        <w:t xml:space="preserve"> </w:t>
      </w:r>
      <w:r>
        <w:rPr>
          <w:noProof/>
        </w:rPr>
        <w:t xml:space="preserve">Den Europæiske Union, der er knyttet til traktaten om Den Europæiske Union og traktaten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om Den Europæiske Unions funktionsmåde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om oprettelse af Det Europæiske Fællesskab</w:t>
      </w:r>
      <w:r>
        <w:rPr>
          <w:noProof/>
        </w:rPr>
        <w:t>,</w:t>
      </w:r>
      <w:r>
        <w:rPr>
          <w:noProof/>
        </w:rPr>
        <w:t xml:space="preserve"> og artikel 8, stk. 2, i Rådets afgørelse 2000/365/EF</w:t>
      </w:r>
      <w:r>
        <w:rPr>
          <w:rStyle w:val="CRMinorChangeDeleted"/>
          <w:noProof/>
        </w:rPr>
        <w:t xml:space="preserve"> af 29. maj 2000 om anmodningen fra Det Forenede Kongerige Storbritannien og Nordirland om at deltage i visse bestemmelser i Schengen-reglerne</w:t>
      </w:r>
      <w:r>
        <w:rPr>
          <w:rStyle w:val="FootnoteReference"/>
          <w:noProof/>
        </w:rPr>
        <w:footnoteReference w:id="31"/>
      </w:r>
      <w:r>
        <w:rPr>
          <w:noProof/>
        </w:rPr>
        <w:t>.</w:t>
      </w:r>
    </w:p>
    <w:p w:rsidR="00613CC4" w:rsidRDefault="00613CC4">
      <w:pPr>
        <w:pStyle w:val="CRSeparator"/>
        <w:rPr>
          <w:noProof/>
        </w:rPr>
      </w:pPr>
    </w:p>
    <w:p w:rsidR="00613CC4" w:rsidRDefault="00950A85">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betragtning 11 (tilpasset)</w:t>
      </w:r>
    </w:p>
    <w:p w:rsidR="00613CC4" w:rsidRDefault="00950A85">
      <w:pPr>
        <w:pStyle w:val="ManualConsidrant"/>
        <w:rPr>
          <w:noProof/>
        </w:rPr>
      </w:pPr>
      <w:r>
        <w:t>(31)</w:t>
      </w:r>
      <w:r>
        <w:tab/>
      </w:r>
      <w:r>
        <w:rPr>
          <w:noProof/>
        </w:rPr>
        <w:t>Irland deltager i denne forordning i henhold til artikel 5</w:t>
      </w:r>
      <w:r>
        <w:rPr>
          <w:rStyle w:val="CRMinorChangeAdded"/>
          <w:noProof/>
        </w:rPr>
        <w:t>, stk. 1,</w:t>
      </w:r>
      <w:r>
        <w:rPr>
          <w:noProof/>
        </w:rPr>
        <w:t xml:space="preserve"> i protokol</w:t>
      </w:r>
      <w:r>
        <w:rPr>
          <w:rStyle w:val="CRDeleted"/>
          <w:noProof/>
        </w:rPr>
        <w:t>len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shd w:val="clear" w:color="auto" w:fill="FFFFFF"/>
        </w:rPr>
        <w:t xml:space="preserve">nr. 19 </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om integration af Schengen-reglerne i Den Europæiske Union, der er knyttet til traktaten om Den Europæiske Union og traktaten </w:t>
      </w:r>
      <w:r>
        <w:rPr>
          <w:noProof/>
        </w:rPr>
        <w:fldChar w:fldCharType="begin"/>
      </w:r>
      <w:r>
        <w:rPr>
          <w:noProof/>
        </w:rPr>
        <w:instrText xml:space="preserve"> QUOTE </w:instrText>
      </w:r>
      <w:r>
        <w:rPr>
          <w:noProof/>
        </w:rPr>
        <w:instrText>"</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shd w:val="clear" w:color="auto" w:fill="FFFFFF"/>
        </w:rPr>
        <w:t>om Den Europæiske Unions funktionsmåde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oprettelse af Det Europæiske Fællesskab</w:t>
      </w:r>
      <w:r>
        <w:rPr>
          <w:noProof/>
        </w:rPr>
        <w:t>, og artikel 6, stk. 2, i Rådets afgørelse 2002/192/EF</w:t>
      </w:r>
      <w:r>
        <w:rPr>
          <w:rStyle w:val="CRMinorChangeDeleted"/>
          <w:noProof/>
        </w:rPr>
        <w:t xml:space="preserve"> af 28. februar 2002 om Irlands anmodning om at deltage i visse bestemmelser i Schengen-reglerne</w:t>
      </w:r>
      <w:r>
        <w:rPr>
          <w:rStyle w:val="FootnoteReference"/>
          <w:noProof/>
        </w:rPr>
        <w:footnoteReference w:id="32"/>
      </w:r>
      <w:r>
        <w:rPr>
          <w:noProof/>
        </w:rPr>
        <w:t>.</w:t>
      </w:r>
    </w:p>
    <w:p w:rsidR="00613CC4" w:rsidRDefault="00613CC4">
      <w:pPr>
        <w:pStyle w:val="CRSeparator"/>
        <w:rPr>
          <w:noProof/>
        </w:rPr>
      </w:pPr>
    </w:p>
    <w:p w:rsidR="00613CC4" w:rsidRDefault="00950A85">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betragtning 12 (tilpasset)</w:t>
      </w:r>
    </w:p>
    <w:p w:rsidR="00613CC4" w:rsidRDefault="00950A85">
      <w:pPr>
        <w:pStyle w:val="ManualConsidrant"/>
        <w:rPr>
          <w:noProof/>
        </w:rPr>
      </w:pPr>
      <w:r>
        <w:t>(32)</w:t>
      </w:r>
      <w:r>
        <w:tab/>
      </w:r>
      <w:r>
        <w:rPr>
          <w:noProof/>
        </w:rPr>
        <w:t>Det Forenede Kongeriges og Irlands deltagelse i denne forordning i henhold til artikel 8, stk. 2, i Rådets afgørelse 2000/365/EF</w:t>
      </w:r>
      <w:r>
        <w:rPr>
          <w:rStyle w:val="CRMinorChangeDeleted"/>
          <w:noProof/>
        </w:rPr>
        <w:t xml:space="preserve"> af 29. maj 2000</w:t>
      </w:r>
      <w:r>
        <w:rPr>
          <w:noProof/>
        </w:rPr>
        <w:t xml:space="preserve"> og artikel 6, stk. 2, i Rådets afgørelse 2002/192/EF</w:t>
      </w:r>
      <w:r>
        <w:rPr>
          <w:rStyle w:val="CRMinorChangeDeleted"/>
          <w:noProof/>
        </w:rPr>
        <w:t xml:space="preserve"> af 28. februar 2002</w:t>
      </w:r>
      <w:r>
        <w:rPr>
          <w:noProof/>
        </w:rPr>
        <w:t xml:space="preserve"> vedrører </w:t>
      </w:r>
      <w:r>
        <w:rPr>
          <w:rStyle w:val="CRDeleted"/>
          <w:noProof/>
        </w:rPr>
        <w:t>Fællesskabets</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Unionens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ansvar for at træffe foranstaltninger til udbygning af Schengen-reglerne om bekæmpelse af organiseret ulovlig indvandring, som Det Forenede Kongerige og Irland deltager i.</w:t>
      </w:r>
    </w:p>
    <w:p w:rsidR="00613CC4" w:rsidRDefault="00613CC4">
      <w:pPr>
        <w:pStyle w:val="CRSeparator"/>
        <w:rPr>
          <w:noProof/>
        </w:rPr>
      </w:pPr>
    </w:p>
    <w:p w:rsidR="00613CC4" w:rsidRDefault="00950A85">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betragtning 13 (tilpasset)</w:t>
      </w:r>
    </w:p>
    <w:p w:rsidR="00613CC4" w:rsidRDefault="00950A85">
      <w:pPr>
        <w:pStyle w:val="ManualConsidrant"/>
        <w:rPr>
          <w:noProof/>
        </w:rPr>
      </w:pPr>
      <w:r>
        <w:t>(33)</w:t>
      </w:r>
      <w:r>
        <w:tab/>
      </w:r>
      <w:r>
        <w:rPr>
          <w:noProof/>
        </w:rPr>
        <w:t xml:space="preserve">Denne forordning udgør en </w:t>
      </w:r>
      <w:r>
        <w:rPr>
          <w:rStyle w:val="CRDeleted"/>
          <w:noProof/>
        </w:rPr>
        <w:t>udbygning af</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retsakt, der bygger på eller på anden måde vedrører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Schengen-reglerne </w:t>
      </w:r>
      <w:r>
        <w:rPr>
          <w:rStyle w:val="CRDeleted"/>
          <w:noProof/>
        </w:rPr>
        <w:t>eller har på andre måder forbindelse hertil</w:t>
      </w:r>
      <w:r>
        <w:rPr>
          <w:noProof/>
        </w:rPr>
        <w:t xml:space="preserve"> i henhold ti</w:t>
      </w:r>
      <w:r>
        <w:rPr>
          <w:noProof/>
        </w:rPr>
        <w:t xml:space="preserve">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henholdsvis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artikel 3, stk. </w:t>
      </w:r>
      <w:r>
        <w:rPr>
          <w:rStyle w:val="CRMinorChangeAdded"/>
          <w:noProof/>
        </w:rPr>
        <w:t>2</w:t>
      </w:r>
      <w:r>
        <w:rPr>
          <w:rStyle w:val="CRMinorChangeDeleted"/>
          <w:noProof/>
        </w:rPr>
        <w:t>1</w:t>
      </w:r>
      <w:r>
        <w:rPr>
          <w:noProof/>
        </w:rPr>
        <w:t xml:space="preserve">, i tiltrædelsesakten af 2003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artikel 4, stk. 2, i tiltrædelsesakten af 2005 og artikel 4, stk. 2, i tiltrædelsesakten af 2011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p>
    <w:p w:rsidR="00613CC4" w:rsidRDefault="00613CC4">
      <w:pPr>
        <w:pStyle w:val="CRSeparator"/>
        <w:rPr>
          <w:noProof/>
        </w:rPr>
      </w:pPr>
    </w:p>
    <w:p w:rsidR="00613CC4" w:rsidRDefault="00950A85">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(ti</w:t>
      </w:r>
      <w:r>
        <w:rPr>
          <w:noProof/>
        </w:rPr>
        <w:t>lpasset)</w:t>
      </w:r>
    </w:p>
    <w:p w:rsidR="00613CC4" w:rsidRDefault="00950A85">
      <w:pPr>
        <w:pStyle w:val="Formuledadoption"/>
        <w:rPr>
          <w:noProof/>
        </w:rPr>
      </w:pPr>
      <w:r>
        <w:rPr>
          <w:noProof/>
        </w:rPr>
        <w:t>VEDTAGET DENNE FORORDNING:</w:t>
      </w:r>
    </w:p>
    <w:p w:rsidR="00613CC4" w:rsidRDefault="00950A85">
      <w:pPr>
        <w:pStyle w:val="Titrearticle"/>
        <w:rPr>
          <w:noProof/>
        </w:rPr>
      </w:pPr>
      <w:r>
        <w:rPr>
          <w:rStyle w:val="CRMinorChangeAdded"/>
          <w:noProof/>
        </w:rPr>
        <w:t>Artikel 1</w:t>
      </w:r>
    </w:p>
    <w:p w:rsidR="00613CC4" w:rsidRDefault="00950A85">
      <w:pPr>
        <w:jc w:val="center"/>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noProof/>
        </w:rPr>
        <w:t>Anvendelsesområde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613CC4" w:rsidRDefault="00613CC4">
      <w:pPr>
        <w:pStyle w:val="CRSeparator"/>
        <w:rPr>
          <w:noProof/>
        </w:rPr>
      </w:pPr>
    </w:p>
    <w:p w:rsidR="00613CC4" w:rsidRDefault="00950A85">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nyt</w:t>
      </w:r>
    </w:p>
    <w:p w:rsidR="00613CC4" w:rsidRDefault="00950A85">
      <w:pPr>
        <w:pStyle w:val="ManualNumPar1"/>
        <w:rPr>
          <w:noProof/>
          <w:highlight w:val="lightGray"/>
        </w:rPr>
      </w:pPr>
      <w:r>
        <w:rPr>
          <w:noProof/>
          <w:highlight w:val="lightGray"/>
        </w:rPr>
        <w:t>1.</w:t>
      </w:r>
      <w:r>
        <w:rPr>
          <w:noProof/>
          <w:highlight w:val="lightGray"/>
        </w:rPr>
        <w:tab/>
      </w:r>
      <w:r>
        <w:rPr>
          <w:noProof/>
          <w:highlight w:val="lightGray"/>
        </w:rPr>
        <w:t>Ved denne forordning fastsættes bestemmelser, som skal forbedre samordningen af indvandringsforbindelsesofficerer, der er udsendt til tredjelande af medlemsstaterne, Kommissionen og EU-agenturerne, gennem oprettelsen af et europæisk netværk af indvandrings</w:t>
      </w:r>
      <w:r>
        <w:rPr>
          <w:noProof/>
          <w:highlight w:val="lightGray"/>
        </w:rPr>
        <w:t xml:space="preserve">forbindelsesofficerer. </w:t>
      </w:r>
    </w:p>
    <w:p w:rsidR="00613CC4" w:rsidRDefault="00613CC4">
      <w:pPr>
        <w:pStyle w:val="CRSeparator"/>
        <w:rPr>
          <w:noProof/>
        </w:rPr>
      </w:pPr>
    </w:p>
    <w:p w:rsidR="00613CC4" w:rsidRDefault="00950A85">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(tilpasset)</w:t>
      </w:r>
    </w:p>
    <w:p w:rsidR="00613CC4" w:rsidRDefault="00950A85">
      <w:pPr>
        <w:pStyle w:val="CRReference"/>
        <w:rPr>
          <w:rStyle w:val="CRMinorChangeAdded"/>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nyt</w:t>
      </w:r>
    </w:p>
    <w:p w:rsidR="00613CC4" w:rsidRDefault="00950A85">
      <w:pPr>
        <w:pStyle w:val="ManualNumPar1"/>
        <w:rPr>
          <w:noProof/>
        </w:rPr>
      </w:pPr>
      <w:r>
        <w:rPr>
          <w:rStyle w:val="CRMinorChangeAdded"/>
          <w:noProof/>
        </w:rPr>
        <w:t>2</w:t>
      </w:r>
      <w:r>
        <w:rPr>
          <w:rStyle w:val="CRMinorChangeDeleted"/>
          <w:noProof/>
        </w:rPr>
        <w:t>4</w:t>
      </w:r>
      <w:r>
        <w:rPr>
          <w:noProof/>
        </w:rPr>
        <w:t>.</w:t>
      </w:r>
      <w:r>
        <w:rPr>
          <w:noProof/>
        </w:rPr>
        <w:tab/>
        <w:t xml:space="preserve">Denne forordning berører ikke de opgaver, som indvandringsforbindelsesofficerer udfører inden for rammerne af deres beføjelser i overensstemmelse med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EU-r</w:t>
      </w:r>
      <w:r>
        <w:rPr>
          <w:noProof/>
        </w:rPr>
        <w:t>etten og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national lov, national politik og nationale procedurer eller særlige aftaler med værtslandet eller internationale organisationer.</w:t>
      </w:r>
    </w:p>
    <w:p w:rsidR="00613CC4" w:rsidRDefault="00950A85">
      <w:pPr>
        <w:pStyle w:val="Titrearticle"/>
        <w:rPr>
          <w:noProof/>
        </w:rPr>
      </w:pPr>
      <w:r>
        <w:rPr>
          <w:noProof/>
        </w:rPr>
        <w:t xml:space="preserve">Artikel </w:t>
      </w:r>
      <w:r>
        <w:rPr>
          <w:rStyle w:val="CRMinorChangeAdded"/>
          <w:noProof/>
        </w:rPr>
        <w:t>2</w:t>
      </w:r>
      <w:r>
        <w:rPr>
          <w:rStyle w:val="CRMinorChangeDeleted"/>
          <w:noProof/>
        </w:rPr>
        <w:t>1</w:t>
      </w:r>
    </w:p>
    <w:p w:rsidR="00613CC4" w:rsidRDefault="00950A85">
      <w:pPr>
        <w:jc w:val="center"/>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noProof/>
        </w:rPr>
        <w:t>Definitioner</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613CC4" w:rsidRDefault="00950A85">
      <w:pPr>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I denne forordning forstås </w:t>
      </w:r>
      <w:r>
        <w:rPr>
          <w:noProof/>
        </w:rPr>
        <w:t>ved: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613CC4" w:rsidRDefault="00950A85">
      <w:pPr>
        <w:pStyle w:val="ManualNumPar1"/>
        <w:rPr>
          <w:noProof/>
        </w:rPr>
      </w:pPr>
      <w:r>
        <w:rPr>
          <w:rStyle w:val="CRMinorChangeAdded"/>
          <w:noProof/>
        </w:rPr>
        <w:t>1.</w:t>
      </w:r>
      <w:r>
        <w:rPr>
          <w:rStyle w:val="CRMinorChangeAdded"/>
          <w:noProof/>
        </w:rPr>
        <w:tab/>
      </w:r>
      <w:r>
        <w:rPr>
          <w:rStyle w:val="CRDeleted"/>
          <w:noProof/>
        </w:rPr>
        <w:t>I denne forordning forstås ved</w:t>
      </w:r>
      <w:r>
        <w:rPr>
          <w:noProof/>
        </w:rPr>
        <w:t xml:space="preserve"> "indvandringsforbindelsesofficer"</w:t>
      </w:r>
      <w:r>
        <w:rPr>
          <w:rStyle w:val="CRMinorChangeAdded"/>
          <w:noProof/>
        </w:rPr>
        <w:t>:</w:t>
      </w:r>
    </w:p>
    <w:p w:rsidR="00613CC4" w:rsidRDefault="00950A85">
      <w:pPr>
        <w:pStyle w:val="Point1letter"/>
        <w:numPr>
          <w:ilvl w:val="3"/>
          <w:numId w:val="23"/>
        </w:numPr>
        <w:rPr>
          <w:rStyle w:val="CRMinorChangeDeleted"/>
          <w:noProof/>
        </w:rPr>
      </w:pPr>
      <w:r>
        <w:rPr>
          <w:noProof/>
        </w:rPr>
        <w:t xml:space="preserve">en repræsentant for en af medlemsstaterne, som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er udsendt af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indrejsekontrollen</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retshåndhævende myndigheder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eller en anden kompetent myndighed </w:t>
      </w:r>
      <w:r>
        <w:rPr>
          <w:rStyle w:val="CRDeleted"/>
          <w:noProof/>
        </w:rPr>
        <w:t>udsender</w:t>
      </w:r>
      <w:r>
        <w:rPr>
          <w:noProof/>
        </w:rPr>
        <w:t xml:space="preserve">  for at etablere og opretholde kontakt med </w:t>
      </w:r>
      <w:r>
        <w:rPr>
          <w:rStyle w:val="CRRefonteDeleted"/>
          <w:noProof/>
          <w:highlight w:val="lightGray"/>
        </w:rPr>
        <w:t>værtslandets</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et tredjelands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myndigheder med henblik på at bidrage til forebyggelse og bekæmpelse af ulovlig indvandring, tilbagese</w:t>
      </w:r>
      <w:r>
        <w:rPr>
          <w:noProof/>
        </w:rPr>
        <w:t xml:space="preserve">ndelse af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tredjelandsstatsborgere med ulovligt ophold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ulovlige indvandrere</w:t>
      </w:r>
      <w:r>
        <w:rPr>
          <w:noProof/>
        </w:rPr>
        <w:t xml:space="preserve"> og håndtering af lovlig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indvandring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migration</w:t>
      </w:r>
      <w:r>
        <w:rPr>
          <w:rStyle w:val="CRMinorChangeDeleted"/>
          <w:noProof/>
        </w:rPr>
        <w:t>.</w:t>
      </w:r>
    </w:p>
    <w:p w:rsidR="00613CC4" w:rsidRDefault="00613CC4">
      <w:pPr>
        <w:pStyle w:val="CRSeparator"/>
        <w:rPr>
          <w:noProof/>
        </w:rPr>
      </w:pPr>
    </w:p>
    <w:p w:rsidR="00613CC4" w:rsidRDefault="00950A85">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nyt</w:t>
      </w:r>
    </w:p>
    <w:p w:rsidR="00613CC4" w:rsidRDefault="00950A85">
      <w:pPr>
        <w:pStyle w:val="Point1letter"/>
        <w:rPr>
          <w:noProof/>
          <w:highlight w:val="lightGray"/>
        </w:rPr>
      </w:pPr>
      <w:r>
        <w:rPr>
          <w:noProof/>
          <w:highlight w:val="lightGray"/>
        </w:rPr>
        <w:t xml:space="preserve">de forbindelsesofficerer, der er udsendt af </w:t>
      </w:r>
      <w:r>
        <w:rPr>
          <w:noProof/>
          <w:highlight w:val="lightGray"/>
        </w:rPr>
        <w:t>Kommissionen for at etablere og opretholde kontakten med tredjelandets myndigheder om indvandringsrelaterede spørgsmål</w:t>
      </w:r>
    </w:p>
    <w:p w:rsidR="00613CC4" w:rsidRDefault="00950A85">
      <w:pPr>
        <w:pStyle w:val="Point1letter"/>
        <w:rPr>
          <w:noProof/>
          <w:highlight w:val="lightGray"/>
        </w:rPr>
      </w:pPr>
      <w:r>
        <w:rPr>
          <w:noProof/>
          <w:highlight w:val="lightGray"/>
        </w:rPr>
        <w:t xml:space="preserve">de forbindelsesofficerer, der er udsendt af EU-agenturer i henhold til disses respektive retsgrundlag, og håndterer </w:t>
      </w:r>
      <w:r>
        <w:rPr>
          <w:noProof/>
          <w:highlight w:val="lightGray"/>
        </w:rPr>
        <w:t>indvandringsrelaterede spørgsmål</w:t>
      </w:r>
    </w:p>
    <w:p w:rsidR="00613CC4" w:rsidRDefault="00613CC4">
      <w:pPr>
        <w:pStyle w:val="CRSeparator"/>
        <w:rPr>
          <w:noProof/>
        </w:rPr>
      </w:pPr>
    </w:p>
    <w:p w:rsidR="00613CC4" w:rsidRDefault="00950A85">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w:t>
      </w:r>
    </w:p>
    <w:p w:rsidR="00613CC4" w:rsidRDefault="00950A85">
      <w:pPr>
        <w:pStyle w:val="Point0letter"/>
        <w:rPr>
          <w:rStyle w:val="CRMinorChangeDeleted"/>
          <w:noProof/>
          <w:highlight w:val="lightGray"/>
        </w:rPr>
      </w:pPr>
      <w:r>
        <w:rPr>
          <w:rStyle w:val="CRRefonteDeleted"/>
          <w:noProof/>
          <w:highlight w:val="lightGray"/>
        </w:rPr>
        <w:t>2.</w:t>
      </w:r>
      <w:r>
        <w:rPr>
          <w:rStyle w:val="CRRefonteDeleted"/>
          <w:noProof/>
          <w:highlight w:val="lightGray"/>
        </w:rPr>
        <w:tab/>
        <w:t>I denne forordning betragtes også som indvandringsforbindelsesofficerer forbindelsesofficerer, der beskæftiger sig med indvandringsspørgsmål som en del af deres opgaver.</w:t>
      </w:r>
    </w:p>
    <w:p w:rsidR="00613CC4" w:rsidRDefault="00613CC4">
      <w:pPr>
        <w:pStyle w:val="CRSeparator"/>
        <w:rPr>
          <w:noProof/>
        </w:rPr>
      </w:pPr>
    </w:p>
    <w:p w:rsidR="00613CC4" w:rsidRDefault="00950A85">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nyt</w:t>
      </w:r>
    </w:p>
    <w:p w:rsidR="00613CC4" w:rsidRDefault="00950A85">
      <w:pPr>
        <w:pStyle w:val="ManualNumPar1"/>
        <w:rPr>
          <w:noProof/>
          <w:highlight w:val="lightGray"/>
        </w:rPr>
      </w:pPr>
      <w:r>
        <w:rPr>
          <w:noProof/>
          <w:highlight w:val="lightGray"/>
        </w:rPr>
        <w:t>2.</w:t>
      </w:r>
      <w:r>
        <w:rPr>
          <w:noProof/>
          <w:highlight w:val="lightGray"/>
        </w:rPr>
        <w:tab/>
      </w:r>
      <w:r>
        <w:rPr>
          <w:noProof/>
          <w:highlight w:val="lightGray"/>
        </w:rPr>
        <w:t>"udsendt": udsendt i et rimeligt tidsrum, der fastlægges af den kompetente myndighed, til en af følgende:</w:t>
      </w:r>
    </w:p>
    <w:p w:rsidR="00613CC4" w:rsidRDefault="00950A85">
      <w:pPr>
        <w:pStyle w:val="Point1letter"/>
        <w:numPr>
          <w:ilvl w:val="3"/>
          <w:numId w:val="17"/>
        </w:numPr>
        <w:rPr>
          <w:noProof/>
          <w:highlight w:val="lightGray"/>
        </w:rPr>
      </w:pPr>
      <w:r>
        <w:rPr>
          <w:noProof/>
          <w:highlight w:val="lightGray"/>
        </w:rPr>
        <w:t>en medlemsstats konsulære myndigheder i et tredjeland</w:t>
      </w:r>
    </w:p>
    <w:p w:rsidR="00613CC4" w:rsidRDefault="00950A85">
      <w:pPr>
        <w:pStyle w:val="Point1letter"/>
        <w:rPr>
          <w:noProof/>
          <w:highlight w:val="lightGray"/>
        </w:rPr>
      </w:pPr>
      <w:r>
        <w:rPr>
          <w:noProof/>
          <w:highlight w:val="lightGray"/>
        </w:rPr>
        <w:t>et tredjelands kompetente myndigheder</w:t>
      </w:r>
    </w:p>
    <w:p w:rsidR="00613CC4" w:rsidRDefault="00950A85">
      <w:pPr>
        <w:pStyle w:val="Point1letter"/>
        <w:rPr>
          <w:noProof/>
          <w:highlight w:val="lightGray"/>
        </w:rPr>
      </w:pPr>
      <w:r>
        <w:rPr>
          <w:noProof/>
          <w:highlight w:val="lightGray"/>
        </w:rPr>
        <w:t>en international organisation</w:t>
      </w:r>
    </w:p>
    <w:p w:rsidR="00613CC4" w:rsidRDefault="00950A85">
      <w:pPr>
        <w:pStyle w:val="Point1letter"/>
        <w:rPr>
          <w:noProof/>
          <w:highlight w:val="lightGray"/>
        </w:rPr>
      </w:pPr>
      <w:r>
        <w:rPr>
          <w:noProof/>
          <w:highlight w:val="lightGray"/>
        </w:rPr>
        <w:t xml:space="preserve">en af Unionens diplomatiske </w:t>
      </w:r>
      <w:r>
        <w:rPr>
          <w:noProof/>
          <w:highlight w:val="lightGray"/>
        </w:rPr>
        <w:t>missioner.</w:t>
      </w:r>
    </w:p>
    <w:p w:rsidR="00613CC4" w:rsidRDefault="00613CC4">
      <w:pPr>
        <w:pStyle w:val="CRSeparator"/>
        <w:rPr>
          <w:noProof/>
        </w:rPr>
      </w:pPr>
    </w:p>
    <w:p w:rsidR="00613CC4" w:rsidRDefault="00950A85">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w:t>
      </w:r>
    </w:p>
    <w:p w:rsidR="00613CC4" w:rsidRDefault="00950A85">
      <w:pPr>
        <w:pStyle w:val="ManualNumPar1"/>
        <w:rPr>
          <w:noProof/>
        </w:rPr>
      </w:pPr>
      <w:r>
        <w:rPr>
          <w:rStyle w:val="CRRefonteDeleted"/>
          <w:noProof/>
          <w:highlight w:val="lightGray"/>
        </w:rPr>
        <w:t>3.</w:t>
      </w:r>
      <w:r>
        <w:rPr>
          <w:rStyle w:val="CRRefonteDeleted"/>
          <w:noProof/>
          <w:highlight w:val="lightGray"/>
        </w:rPr>
        <w:tab/>
        <w:t>Indvandringsforbindelsesofficerer kan ikke blot udsendes til medlemsstaternes nationale konsulære myndigheder i tredjelande eller andre medlemsstaters relevante myndigheder, men også til tredjelandes kompetente myndi</w:t>
      </w:r>
      <w:r>
        <w:rPr>
          <w:rStyle w:val="CRRefonteDeleted"/>
          <w:noProof/>
          <w:highlight w:val="lightGray"/>
        </w:rPr>
        <w:t>gheder samt internationale organisationer, i et rimeligt tidsrum, der fastlægges af udsendelsesmedlemsstaten.</w:t>
      </w:r>
    </w:p>
    <w:p w:rsidR="00613CC4" w:rsidRDefault="00613CC4">
      <w:pPr>
        <w:pStyle w:val="CRSeparator"/>
        <w:rPr>
          <w:noProof/>
        </w:rPr>
      </w:pPr>
    </w:p>
    <w:p w:rsidR="00613CC4" w:rsidRDefault="00950A85">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nyt</w:t>
      </w:r>
    </w:p>
    <w:p w:rsidR="00613CC4" w:rsidRDefault="00950A85">
      <w:pPr>
        <w:pStyle w:val="ManualNumPar1"/>
        <w:rPr>
          <w:noProof/>
          <w:highlight w:val="lightGray"/>
        </w:rPr>
      </w:pPr>
      <w:r>
        <w:rPr>
          <w:noProof/>
          <w:highlight w:val="lightGray"/>
        </w:rPr>
        <w:t>3.</w:t>
      </w:r>
      <w:r>
        <w:rPr>
          <w:noProof/>
          <w:highlight w:val="lightGray"/>
        </w:rPr>
        <w:tab/>
        <w:t>"personoplysninger": personoplysninger som defineret i artikel 4, nr. 1), i forordning (EU) 2016/679</w:t>
      </w:r>
    </w:p>
    <w:p w:rsidR="00613CC4" w:rsidRDefault="00950A85">
      <w:pPr>
        <w:pStyle w:val="ManualNumPar1"/>
        <w:rPr>
          <w:noProof/>
          <w:highlight w:val="lightGray"/>
        </w:rPr>
      </w:pPr>
      <w:r>
        <w:rPr>
          <w:noProof/>
          <w:highlight w:val="lightGray"/>
        </w:rPr>
        <w:t>4.</w:t>
      </w:r>
      <w:r>
        <w:rPr>
          <w:noProof/>
          <w:highlight w:val="lightGray"/>
        </w:rPr>
        <w:tab/>
        <w:t>"tilbagesendelse":</w:t>
      </w:r>
      <w:r>
        <w:rPr>
          <w:noProof/>
          <w:highlight w:val="lightGray"/>
        </w:rPr>
        <w:t xml:space="preserve"> tilbagesendelse som defineret i artikel 3, nr. 3), i direktiv 2008/115/EF.</w:t>
      </w:r>
    </w:p>
    <w:p w:rsidR="00613CC4" w:rsidRDefault="00613CC4">
      <w:pPr>
        <w:pStyle w:val="CRSeparator"/>
        <w:rPr>
          <w:noProof/>
        </w:rPr>
      </w:pPr>
    </w:p>
    <w:p w:rsidR="00613CC4" w:rsidRDefault="00950A85">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(tilpasset)</w:t>
      </w:r>
    </w:p>
    <w:p w:rsidR="00613CC4" w:rsidRDefault="00950A85">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nyt</w:t>
      </w:r>
    </w:p>
    <w:p w:rsidR="00613CC4" w:rsidRDefault="00950A85">
      <w:pPr>
        <w:pStyle w:val="Titrearticle"/>
        <w:rPr>
          <w:noProof/>
        </w:rPr>
      </w:pPr>
      <w:r>
        <w:rPr>
          <w:noProof/>
        </w:rPr>
        <w:t xml:space="preserve">Artikel </w:t>
      </w:r>
      <w:r>
        <w:rPr>
          <w:rStyle w:val="CRMinorChangeAdded"/>
          <w:noProof/>
        </w:rPr>
        <w:t>3</w:t>
      </w:r>
      <w:r>
        <w:rPr>
          <w:rStyle w:val="CRMinorChangeDeleted"/>
          <w:noProof/>
        </w:rPr>
        <w:t>2</w:t>
      </w:r>
    </w:p>
    <w:p w:rsidR="00613CC4" w:rsidRDefault="00950A85">
      <w:pPr>
        <w:jc w:val="center"/>
        <w:rPr>
          <w:b/>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noProof/>
        </w:rPr>
        <w:t>Indvandringsforbindelsesofficerers opgaver</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613CC4" w:rsidRDefault="00950A85">
      <w:pPr>
        <w:pStyle w:val="ManualNumPar1"/>
        <w:rPr>
          <w:noProof/>
        </w:rPr>
      </w:pPr>
      <w:r>
        <w:rPr>
          <w:noProof/>
        </w:rPr>
        <w:t>1.</w:t>
      </w:r>
      <w:r>
        <w:rPr>
          <w:noProof/>
        </w:rPr>
        <w:tab/>
      </w:r>
      <w:r>
        <w:rPr>
          <w:rStyle w:val="CRDeleted"/>
          <w:noProof/>
        </w:rPr>
        <w:t xml:space="preserve">Hver medlemsstat sørger for, at </w:t>
      </w:r>
      <w:r>
        <w:rPr>
          <w:rStyle w:val="CRDeleted"/>
          <w:noProof/>
        </w:rPr>
        <w:t>deres</w:t>
      </w:r>
      <w:r>
        <w:rPr>
          <w:noProof/>
        </w:rPr>
        <w:t xml:space="preserve"> </w:t>
      </w:r>
      <w:r>
        <w:rPr>
          <w:rStyle w:val="CRMinorChangeAdded"/>
          <w:noProof/>
        </w:rPr>
        <w:t>I</w:t>
      </w:r>
      <w:r>
        <w:rPr>
          <w:rStyle w:val="CRMinorChangeDeleted"/>
          <w:noProof/>
        </w:rPr>
        <w:t>i</w:t>
      </w:r>
      <w:r>
        <w:rPr>
          <w:noProof/>
        </w:rPr>
        <w:t xml:space="preserve">ndvandringsforbindelsesofficerer etablerer og opretholder direkte kontakt med de kompetente myndigheder i </w:t>
      </w:r>
      <w:r>
        <w:rPr>
          <w:rStyle w:val="CRRefonteDeleted"/>
          <w:noProof/>
          <w:highlight w:val="lightGray"/>
        </w:rPr>
        <w:t>værtslandet</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tredjelandet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og alle relevante organisationer i </w:t>
      </w:r>
      <w:r>
        <w:rPr>
          <w:rStyle w:val="CRRefonteDeleted"/>
          <w:noProof/>
          <w:highlight w:val="lightGray"/>
        </w:rPr>
        <w:t>værtslandet</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tredjelandet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med henblik på </w:t>
      </w:r>
      <w:r>
        <w:rPr>
          <w:rStyle w:val="CRRefonteDeleted"/>
          <w:noProof/>
          <w:highlight w:val="lightGray"/>
        </w:rPr>
        <w:t>at fremme og fremskynde indsamling og udveksling af oplysninger</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gennemførelsen af denne forordning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w:t>
      </w:r>
    </w:p>
    <w:p w:rsidR="00613CC4" w:rsidRDefault="00950A85">
      <w:pPr>
        <w:pStyle w:val="ManualNumPar1"/>
        <w:rPr>
          <w:noProof/>
        </w:rPr>
      </w:pPr>
      <w:r>
        <w:rPr>
          <w:noProof/>
        </w:rPr>
        <w:t>2.</w:t>
      </w:r>
      <w:r>
        <w:rPr>
          <w:noProof/>
        </w:rPr>
        <w:tab/>
      </w:r>
      <w:r>
        <w:rPr>
          <w:noProof/>
        </w:rPr>
        <w:t xml:space="preserve">Indvandringsforbindelsesofficerer indsamler oplysninger til brug på enten operationelt plan eller strategisk plan eller begge dele.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Disse oplysninger må ikke indeholde nogen personoplysninger.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Disse oplysninger vedrører især</w:t>
      </w:r>
      <w:r>
        <w:rPr>
          <w:noProof/>
        </w:rPr>
        <w:t xml:space="preserve"> følgende spørgsmål:</w:t>
      </w:r>
    </w:p>
    <w:p w:rsidR="00613CC4" w:rsidRDefault="00950A85">
      <w:pPr>
        <w:pStyle w:val="Point1"/>
        <w:rPr>
          <w:noProof/>
        </w:rPr>
      </w:pPr>
      <w:r>
        <w:rPr>
          <w:rStyle w:val="CRMinorChangeAdded"/>
          <w:noProof/>
        </w:rPr>
        <w:t>a)</w:t>
      </w:r>
      <w:r>
        <w:rPr>
          <w:rStyle w:val="CRMinorChangeAdded"/>
          <w:noProof/>
        </w:rP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rStyle w:val="CRMinorChangeAdded"/>
          <w:noProof/>
        </w:rPr>
        <w:t>migrations</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strømme </w:t>
      </w:r>
      <w:r>
        <w:rPr>
          <w:rStyle w:val="CRDeleted"/>
          <w:noProof/>
        </w:rPr>
        <w:t>af ulovlige indvandrere</w:t>
      </w:r>
      <w:r>
        <w:rPr>
          <w:noProof/>
        </w:rPr>
        <w:t xml:space="preserve">, der kommer fra eller bevæger sig i transit gennem </w:t>
      </w:r>
      <w:r>
        <w:rPr>
          <w:rStyle w:val="CRDeleted"/>
          <w:noProof/>
        </w:rPr>
        <w:t>værts</w:t>
      </w:r>
      <w:r>
        <w:rPr>
          <w:noProof/>
        </w:rPr>
        <w:t>landet</w:t>
      </w:r>
    </w:p>
    <w:p w:rsidR="00613CC4" w:rsidRDefault="00950A85">
      <w:pPr>
        <w:pStyle w:val="Point1"/>
        <w:rPr>
          <w:rStyle w:val="CRMinorChangeDeleted"/>
          <w:noProof/>
        </w:rPr>
      </w:pPr>
      <w:r>
        <w:rPr>
          <w:rStyle w:val="CRMinorChangeAdded"/>
          <w:noProof/>
        </w:rPr>
        <w:t>b)</w:t>
      </w:r>
      <w:r>
        <w:rPr>
          <w:rStyle w:val="CRMinorChangeAdded"/>
          <w:noProof/>
        </w:rPr>
        <w:tab/>
      </w:r>
      <w:r>
        <w:rPr>
          <w:noProof/>
        </w:rPr>
        <w:t xml:space="preserve"> de ruter, som disse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migrations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strømme</w:t>
      </w:r>
      <w:r>
        <w:rPr>
          <w:rStyle w:val="CRDeleted"/>
          <w:noProof/>
        </w:rPr>
        <w:t xml:space="preserve"> af ulovlige indvandrere</w:t>
      </w:r>
      <w:r>
        <w:rPr>
          <w:noProof/>
        </w:rPr>
        <w:t xml:space="preserve"> </w:t>
      </w:r>
      <w:r>
        <w:rPr>
          <w:rStyle w:val="CRDeleted"/>
          <w:noProof/>
        </w:rPr>
        <w:t>følger</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anvender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for at nå medlemsstaternes områder</w:t>
      </w:r>
    </w:p>
    <w:p w:rsidR="00613CC4" w:rsidRDefault="00950A85">
      <w:pPr>
        <w:pStyle w:val="Point1"/>
        <w:rPr>
          <w:noProof/>
          <w:highlight w:val="green"/>
        </w:rPr>
      </w:pPr>
      <w:r>
        <w:rPr>
          <w:noProof/>
        </w:rPr>
        <w:t>c)</w:t>
      </w:r>
      <w:r>
        <w:rPr>
          <w:noProof/>
        </w:rPr>
        <w:tab/>
        <w:t xml:space="preserve">eksistensen af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og aktiviteter og fremgangsmåder for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kriminelle organisationer, der er involveret i menneskesmugling</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og menneskehandel langs migrationsruterne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rsidR="00613CC4" w:rsidRDefault="00950A85">
      <w:pPr>
        <w:pStyle w:val="Tiret0"/>
        <w:numPr>
          <w:ilvl w:val="0"/>
          <w:numId w:val="18"/>
        </w:numPr>
        <w:rPr>
          <w:rStyle w:val="CRRefonteDeleted"/>
          <w:dstrike w:val="0"/>
          <w:noProof/>
          <w:highlight w:val="lightGray"/>
        </w:rPr>
      </w:pPr>
      <w:r>
        <w:rPr>
          <w:rStyle w:val="CRRefonteDeleted"/>
          <w:noProof/>
          <w:highlight w:val="lightGray"/>
        </w:rPr>
        <w:t>— de forskellige »modi operandi«, herunder det anvendte transportmiddel, inddragelse af mellemmænd, osv.</w:t>
      </w:r>
    </w:p>
    <w:p w:rsidR="00613CC4" w:rsidRDefault="00950A85">
      <w:pPr>
        <w:pStyle w:val="Tiret0"/>
        <w:rPr>
          <w:noProof/>
          <w:highlight w:val="lightGray"/>
        </w:rPr>
      </w:pPr>
      <w:r>
        <w:rPr>
          <w:rStyle w:val="CRRefonteDeleted"/>
          <w:noProof/>
          <w:highlight w:val="lightGray"/>
        </w:rPr>
        <w:t xml:space="preserve">eksistensen </w:t>
      </w:r>
      <w:r>
        <w:rPr>
          <w:rStyle w:val="CRRefonteDeleted"/>
          <w:noProof/>
          <w:highlight w:val="lightGray"/>
        </w:rPr>
        <w:t>af kriminelle organisationer, der er involveret i menneskesmugling, og disses aktiviteter</w:t>
      </w:r>
    </w:p>
    <w:p w:rsidR="00613CC4" w:rsidRDefault="00950A85">
      <w:pPr>
        <w:pStyle w:val="Point1"/>
        <w:rPr>
          <w:noProof/>
        </w:rPr>
      </w:pPr>
      <w:r>
        <w:rPr>
          <w:rStyle w:val="CRMinorChangeAdded"/>
          <w:noProof/>
        </w:rPr>
        <w:t>d)</w:t>
      </w:r>
      <w:r>
        <w:rPr>
          <w:rStyle w:val="CRMinorChangeAdded"/>
          <w:noProof/>
        </w:rPr>
        <w:tab/>
      </w:r>
      <w:r>
        <w:rPr>
          <w:noProof/>
        </w:rPr>
        <w:t xml:space="preserve">hændelser og begivenheder, der kan være eller kan blive årsagen til nye udviklingstendenser 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migrations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strømmene</w:t>
      </w:r>
      <w:r>
        <w:rPr>
          <w:rStyle w:val="CRDeleted"/>
          <w:noProof/>
        </w:rPr>
        <w:t xml:space="preserve"> af ulovlige indva</w:t>
      </w:r>
      <w:r>
        <w:rPr>
          <w:rStyle w:val="CRDeleted"/>
          <w:noProof/>
        </w:rPr>
        <w:t>ndrere</w:t>
      </w:r>
    </w:p>
    <w:p w:rsidR="00613CC4" w:rsidRDefault="00950A85">
      <w:pPr>
        <w:pStyle w:val="Point1"/>
        <w:rPr>
          <w:noProof/>
        </w:rPr>
      </w:pPr>
      <w:r>
        <w:rPr>
          <w:rStyle w:val="CRMinorChangeAdded"/>
          <w:noProof/>
        </w:rPr>
        <w:t>e)</w:t>
      </w:r>
      <w:r>
        <w:rPr>
          <w:rStyle w:val="CRMinorChangeAdded"/>
          <w:noProof/>
        </w:rPr>
        <w:tab/>
      </w:r>
      <w:r>
        <w:rPr>
          <w:noProof/>
        </w:rPr>
        <w:t>metoder til eftergørelse eller forfalskning af identitetspapirer og rejselegitimation</w:t>
      </w:r>
    </w:p>
    <w:p w:rsidR="00613CC4" w:rsidRDefault="00950A85">
      <w:pPr>
        <w:pStyle w:val="Point1"/>
        <w:rPr>
          <w:noProof/>
        </w:rPr>
      </w:pPr>
      <w:r>
        <w:rPr>
          <w:rStyle w:val="CRMinorChangeAdded"/>
          <w:noProof/>
        </w:rPr>
        <w:t>f)</w:t>
      </w:r>
      <w:r>
        <w:rPr>
          <w:rStyle w:val="CRMinorChangeAdded"/>
          <w:noProof/>
        </w:rPr>
        <w:tab/>
      </w:r>
      <w:r>
        <w:rPr>
          <w:noProof/>
        </w:rPr>
        <w:t xml:space="preserve">måder og midler til at bistå myndighederne i </w:t>
      </w:r>
      <w:r>
        <w:rPr>
          <w:rStyle w:val="CRRefonteDeleted"/>
          <w:noProof/>
          <w:highlight w:val="lightGray"/>
        </w:rPr>
        <w:t>værts</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tredje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landene med at forebygge ulovlige indvandringsstrømme, der kommer fra</w:t>
      </w:r>
      <w:r>
        <w:rPr>
          <w:noProof/>
        </w:rPr>
        <w:t xml:space="preserve"> eller bevæger sig i transit gennem deres områder</w:t>
      </w:r>
    </w:p>
    <w:p w:rsidR="00613CC4" w:rsidRDefault="00950A85">
      <w:pPr>
        <w:pStyle w:val="Point1"/>
        <w:rPr>
          <w:rStyle w:val="CRMinorChangeDeleted"/>
          <w:noProof/>
        </w:rPr>
      </w:pPr>
      <w:r>
        <w:rPr>
          <w:rStyle w:val="CRMinorChangeAdded"/>
          <w:noProof/>
        </w:rPr>
        <w:t>g)</w:t>
      </w:r>
      <w:r>
        <w:rPr>
          <w:rStyle w:val="CRMinorChangeAdded"/>
          <w:noProof/>
        </w:rPr>
        <w:tab/>
      </w:r>
      <w:r>
        <w:rPr>
          <w:noProof/>
        </w:rPr>
        <w:t>måder og midler til at lette tilbagesendelse</w:t>
      </w:r>
      <w:r>
        <w:rPr>
          <w:rStyle w:val="CRMinorChangeAdded"/>
          <w:noProof/>
        </w:rPr>
        <w:t>,</w:t>
      </w:r>
      <w:r>
        <w:rPr>
          <w:rStyle w:val="CRDeleted"/>
          <w:noProof/>
        </w:rPr>
        <w:t xml:space="preserve"> og repatriering</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tilbagetagelse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og reintegration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rStyle w:val="CRDeleted"/>
          <w:noProof/>
        </w:rPr>
        <w:t>af ulovlige indvandrere</w:t>
      </w:r>
      <w:r>
        <w:rPr>
          <w:noProof/>
        </w:rPr>
        <w:t xml:space="preserve"> </w:t>
      </w:r>
      <w:r>
        <w:rPr>
          <w:rStyle w:val="CRDeleted"/>
          <w:noProof/>
        </w:rPr>
        <w:t>til deres hjemlande</w:t>
      </w:r>
    </w:p>
    <w:p w:rsidR="00613CC4" w:rsidRDefault="00613CC4">
      <w:pPr>
        <w:pStyle w:val="CRSeparator"/>
        <w:rPr>
          <w:noProof/>
        </w:rPr>
      </w:pPr>
    </w:p>
    <w:p w:rsidR="00613CC4" w:rsidRDefault="00950A85">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nyt</w:t>
      </w:r>
    </w:p>
    <w:p w:rsidR="00613CC4" w:rsidRDefault="00950A85">
      <w:pPr>
        <w:pStyle w:val="Point1"/>
        <w:rPr>
          <w:noProof/>
          <w:highlight w:val="lightGray"/>
        </w:rPr>
      </w:pPr>
      <w:r>
        <w:rPr>
          <w:noProof/>
          <w:highlight w:val="lightGray"/>
        </w:rPr>
        <w:t>h)</w:t>
      </w:r>
      <w:r>
        <w:rPr>
          <w:noProof/>
          <w:highlight w:val="lightGray"/>
        </w:rPr>
        <w:tab/>
        <w:t xml:space="preserve">asylansøgeres adgang til beskyttelse i tredjelande </w:t>
      </w:r>
    </w:p>
    <w:p w:rsidR="00613CC4" w:rsidRDefault="00950A85">
      <w:pPr>
        <w:pStyle w:val="Point1"/>
        <w:rPr>
          <w:noProof/>
          <w:highlight w:val="lightGray"/>
        </w:rPr>
      </w:pPr>
      <w:r>
        <w:rPr>
          <w:noProof/>
          <w:highlight w:val="lightGray"/>
        </w:rPr>
        <w:t>i)</w:t>
      </w:r>
      <w:r>
        <w:rPr>
          <w:noProof/>
          <w:highlight w:val="lightGray"/>
        </w:rPr>
        <w:tab/>
        <w:t>mulige lovlige indvandringsstrategier og -kanaler mellem EU og tredjelande, herunder genbosættelse og andre beskyttelsesværktøjer samt kvalifikationer og arbejdsmarkedsbehov</w:t>
      </w:r>
    </w:p>
    <w:p w:rsidR="00613CC4" w:rsidRDefault="00950A85">
      <w:pPr>
        <w:pStyle w:val="Point1"/>
        <w:rPr>
          <w:noProof/>
        </w:rPr>
      </w:pPr>
      <w:r>
        <w:rPr>
          <w:noProof/>
          <w:highlight w:val="lightGray"/>
        </w:rPr>
        <w:t>j)</w:t>
      </w:r>
      <w:r>
        <w:rPr>
          <w:noProof/>
          <w:highlight w:val="lightGray"/>
        </w:rPr>
        <w:tab/>
        <w:t>f</w:t>
      </w:r>
      <w:r>
        <w:rPr>
          <w:noProof/>
          <w:highlight w:val="lightGray"/>
        </w:rPr>
        <w:t>oranstaltninger forud for afrejsen til rådighed for indvandrere i oprindelses- eller værtslande, som understøtter en vellykket integration efter lovlig indrejse i en medlemsstat</w:t>
      </w:r>
    </w:p>
    <w:p w:rsidR="00613CC4" w:rsidRDefault="00613CC4">
      <w:pPr>
        <w:pStyle w:val="CRSeparator"/>
        <w:rPr>
          <w:noProof/>
        </w:rPr>
      </w:pPr>
    </w:p>
    <w:p w:rsidR="00613CC4" w:rsidRDefault="00950A85">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(tilpasset)</w:t>
      </w:r>
    </w:p>
    <w:p w:rsidR="00613CC4" w:rsidRDefault="00950A85">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nyt</w:t>
      </w:r>
    </w:p>
    <w:p w:rsidR="00613CC4" w:rsidRDefault="00950A85">
      <w:pPr>
        <w:pStyle w:val="Point1"/>
        <w:rPr>
          <w:noProof/>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k)</w:t>
      </w:r>
      <w:r>
        <w:rPr>
          <w:noProof/>
          <w:highlight w:val="lightGray"/>
        </w:rPr>
        <w:tab/>
        <w:t>k</w:t>
      </w:r>
      <w:r>
        <w:rPr>
          <w:noProof/>
          <w:highlight w:val="lightGray"/>
        </w:rPr>
        <w:t>apacitet, evner, politiske strategier,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lovgivning og retspraksis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i tredjelande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der er relevant for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 i litra a)-j) omhandlede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ovennævnte</w:t>
      </w:r>
      <w:r>
        <w:rPr>
          <w:noProof/>
        </w:rPr>
        <w:t xml:space="preserve"> spørgsmål</w:t>
      </w:r>
      <w:r>
        <w:rPr>
          <w:rStyle w:val="CRMinorChangeAdded"/>
          <w:noProof/>
        </w:rPr>
        <w:t>.</w:t>
      </w:r>
    </w:p>
    <w:p w:rsidR="00613CC4" w:rsidRDefault="00950A85">
      <w:pPr>
        <w:pStyle w:val="Tiret0"/>
        <w:numPr>
          <w:ilvl w:val="0"/>
          <w:numId w:val="11"/>
        </w:numPr>
        <w:ind w:left="851"/>
        <w:rPr>
          <w:rStyle w:val="CRRefonteDeleted"/>
          <w:noProof/>
          <w:highlight w:val="lightGray"/>
        </w:rPr>
      </w:pPr>
      <w:r>
        <w:rPr>
          <w:rStyle w:val="CRRefonteDeleted"/>
          <w:noProof/>
          <w:highlight w:val="lightGray"/>
        </w:rPr>
        <w:t xml:space="preserve">oplysninger fremsendt via </w:t>
      </w:r>
      <w:r>
        <w:rPr>
          <w:rStyle w:val="CRRefonteDeleted"/>
          <w:noProof/>
          <w:highlight w:val="lightGray"/>
        </w:rPr>
        <w:t>varslingssystemet.</w:t>
      </w:r>
    </w:p>
    <w:p w:rsidR="00613CC4" w:rsidRDefault="00613CC4">
      <w:pPr>
        <w:pStyle w:val="CRSeparator"/>
        <w:rPr>
          <w:noProof/>
        </w:rPr>
      </w:pPr>
    </w:p>
    <w:p w:rsidR="00613CC4" w:rsidRDefault="00950A85">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nyt</w:t>
      </w:r>
    </w:p>
    <w:p w:rsidR="00613CC4" w:rsidRDefault="00950A85">
      <w:pPr>
        <w:pStyle w:val="ManualNumPar1"/>
        <w:rPr>
          <w:noProof/>
        </w:rPr>
      </w:pPr>
      <w:r>
        <w:rPr>
          <w:noProof/>
          <w:highlight w:val="lightGray"/>
        </w:rPr>
        <w:t>3.</w:t>
      </w:r>
      <w:r>
        <w:rPr>
          <w:noProof/>
          <w:highlight w:val="lightGray"/>
        </w:rPr>
        <w:tab/>
        <w:t>Indvandringsforbindelsesofficerer samordner med hinanden og med relevante interesseparter i tilfælde af tilrådighedsstillelse af kapacitetsopbygningsaktiviteter til myndigheder og andre interesseparter i tredjelan</w:t>
      </w:r>
      <w:r>
        <w:rPr>
          <w:noProof/>
          <w:highlight w:val="lightGray"/>
        </w:rPr>
        <w:t xml:space="preserve">de. </w:t>
      </w:r>
    </w:p>
    <w:p w:rsidR="00613CC4" w:rsidRDefault="00613CC4">
      <w:pPr>
        <w:pStyle w:val="CRSeparator"/>
        <w:rPr>
          <w:noProof/>
        </w:rPr>
      </w:pPr>
    </w:p>
    <w:p w:rsidR="00613CC4" w:rsidRDefault="00950A85">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(tilpasset)</w:t>
      </w:r>
    </w:p>
    <w:p w:rsidR="00613CC4" w:rsidRDefault="00950A85">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nyt</w:t>
      </w:r>
    </w:p>
    <w:p w:rsidR="00613CC4" w:rsidRDefault="00950A85">
      <w:pPr>
        <w:pStyle w:val="ManualNumPar1"/>
        <w:rPr>
          <w:rStyle w:val="CRMinorChangeAdded"/>
          <w:noProof/>
        </w:rPr>
      </w:pPr>
      <w:r>
        <w:rPr>
          <w:rStyle w:val="CRMinorChangeAdded"/>
          <w:noProof/>
        </w:rPr>
        <w:t>4</w:t>
      </w:r>
      <w:r>
        <w:rPr>
          <w:rStyle w:val="CRMinorChangeDeleted"/>
          <w:noProof/>
        </w:rPr>
        <w:t>3</w:t>
      </w:r>
      <w:r>
        <w:rPr>
          <w:noProof/>
        </w:rPr>
        <w:t>.</w:t>
      </w:r>
      <w:r>
        <w:rPr>
          <w:noProof/>
        </w:rPr>
        <w:tab/>
        <w:t xml:space="preserve">Indvandringsforbindelsesofficerer </w:t>
      </w:r>
      <w:r>
        <w:rPr>
          <w:rStyle w:val="CRDeleted"/>
          <w:noProof/>
        </w:rPr>
        <w:t>har også ret til at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kan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yde bistand med</w:t>
      </w:r>
      <w:r>
        <w:rPr>
          <w:rStyle w:val="CRMinorChangeAdded"/>
          <w:noProof/>
        </w:rPr>
        <w:t>:</w:t>
      </w:r>
    </w:p>
    <w:p w:rsidR="00613CC4" w:rsidRDefault="00950A85">
      <w:pPr>
        <w:pStyle w:val="Point1"/>
        <w:rPr>
          <w:rStyle w:val="CRMinorChangeDeleted"/>
          <w:noProof/>
        </w:rPr>
      </w:pPr>
      <w:r>
        <w:rPr>
          <w:rStyle w:val="CRMinorChangeAdded"/>
          <w:noProof/>
        </w:rPr>
        <w:t>a)</w:t>
      </w:r>
      <w:r>
        <w:rPr>
          <w:noProof/>
        </w:rPr>
        <w:t xml:space="preserve"> at fastslå identiteten af tredjelandsstatsborgere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med ulovligt</w:t>
      </w:r>
      <w:r>
        <w:rPr>
          <w:noProof/>
          <w:highlight w:val="lightGray"/>
        </w:rPr>
        <w:t xml:space="preserve"> ophold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og lette deres tilbagesendelse</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jf. direktiv 2008/115/EF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Style w:val="CRDeleted"/>
          <w:noProof/>
        </w:rPr>
        <w:t xml:space="preserve"> til hjemlandet</w:t>
      </w:r>
    </w:p>
    <w:p w:rsidR="00613CC4" w:rsidRDefault="00613CC4">
      <w:pPr>
        <w:pStyle w:val="CRSeparator"/>
        <w:rPr>
          <w:noProof/>
        </w:rPr>
      </w:pPr>
    </w:p>
    <w:p w:rsidR="00613CC4" w:rsidRDefault="00950A85">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nyt</w:t>
      </w:r>
    </w:p>
    <w:p w:rsidR="00613CC4" w:rsidRDefault="00950A85">
      <w:pPr>
        <w:pStyle w:val="Point1"/>
        <w:rPr>
          <w:noProof/>
          <w:highlight w:val="lightGray"/>
        </w:rPr>
      </w:pPr>
      <w:r>
        <w:rPr>
          <w:noProof/>
          <w:highlight w:val="lightGray"/>
        </w:rPr>
        <w:t xml:space="preserve">b) bekræfte deres identitet og lette genbosætning af personer med behov for international beskyttelse i </w:t>
      </w:r>
      <w:r>
        <w:rPr>
          <w:noProof/>
          <w:highlight w:val="lightGray"/>
        </w:rPr>
        <w:t>Unionen</w:t>
      </w:r>
    </w:p>
    <w:p w:rsidR="00613CC4" w:rsidRDefault="00950A85">
      <w:pPr>
        <w:pStyle w:val="Point1"/>
        <w:rPr>
          <w:noProof/>
        </w:rPr>
      </w:pPr>
      <w:r>
        <w:rPr>
          <w:noProof/>
          <w:highlight w:val="lightGray"/>
        </w:rPr>
        <w:t>c) bekræfte deres identitet og lette gennemførelsen af Unionens foranstaltninger vedrørende lovlige indvandreres indrejse.</w:t>
      </w:r>
    </w:p>
    <w:p w:rsidR="00613CC4" w:rsidRDefault="00613CC4">
      <w:pPr>
        <w:pStyle w:val="CRSeparator"/>
        <w:rPr>
          <w:noProof/>
        </w:rPr>
      </w:pPr>
    </w:p>
    <w:p w:rsidR="00613CC4" w:rsidRDefault="00950A85">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(tilpasset)</w:t>
      </w:r>
    </w:p>
    <w:p w:rsidR="00613CC4" w:rsidRDefault="00950A85">
      <w:pPr>
        <w:pStyle w:val="CRReference"/>
        <w:rPr>
          <w:rStyle w:val="CRMinorChangeAdded"/>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nyt</w:t>
      </w:r>
    </w:p>
    <w:p w:rsidR="00613CC4" w:rsidRDefault="00950A85">
      <w:pPr>
        <w:pStyle w:val="ManualNumPar1"/>
        <w:rPr>
          <w:noProof/>
        </w:rPr>
      </w:pPr>
      <w:r>
        <w:rPr>
          <w:rStyle w:val="CRMinorChangeAdded"/>
          <w:noProof/>
        </w:rPr>
        <w:t>5</w:t>
      </w:r>
      <w:r>
        <w:rPr>
          <w:rStyle w:val="CRMinorChangeDeleted"/>
          <w:noProof/>
        </w:rPr>
        <w:t>4</w:t>
      </w:r>
      <w:r>
        <w:rPr>
          <w:noProof/>
        </w:rPr>
        <w:t>.</w:t>
      </w:r>
      <w:r>
        <w:rPr>
          <w:noProof/>
        </w:rPr>
        <w:tab/>
      </w:r>
      <w:r>
        <w:rPr>
          <w:rStyle w:val="CRDeleted"/>
          <w:noProof/>
        </w:rPr>
        <w:t>Medlemsstaterne sikrer, at deres</w:t>
      </w:r>
      <w:r>
        <w:rPr>
          <w:noProof/>
        </w:rPr>
        <w:t xml:space="preserve"> </w:t>
      </w:r>
      <w:r>
        <w:rPr>
          <w:rStyle w:val="CRMinorChangeAdded"/>
          <w:noProof/>
        </w:rPr>
        <w:t>I</w:t>
      </w:r>
      <w:r>
        <w:rPr>
          <w:rStyle w:val="CRMinorChangeDeleted"/>
          <w:noProof/>
        </w:rPr>
        <w:t>i</w:t>
      </w:r>
      <w:r>
        <w:rPr>
          <w:noProof/>
        </w:rPr>
        <w:t>ndvandringsforbindelsesoffic</w:t>
      </w:r>
      <w:r>
        <w:rPr>
          <w:noProof/>
        </w:rPr>
        <w:t xml:space="preserve">erer udfører deres opgaver inden for deres ansvarsområde og i henhold til de bestemmelser, herunder bestemmelserne om beskyttelse af personoplysninger, der er fastsat 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EU-retten og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national lov og i eventuelle aftaler eller</w:t>
      </w:r>
      <w:r>
        <w:rPr>
          <w:noProof/>
        </w:rPr>
        <w:t xml:space="preserve"> arrangementer med </w:t>
      </w:r>
      <w:r>
        <w:rPr>
          <w:rStyle w:val="CRRefonteDeleted"/>
          <w:noProof/>
          <w:highlight w:val="lightGray"/>
        </w:rPr>
        <w:t>værts</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tredje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landene eller internationale organisationer.</w:t>
      </w:r>
    </w:p>
    <w:p w:rsidR="00613CC4" w:rsidRDefault="00950A85">
      <w:pPr>
        <w:pStyle w:val="Titrearticle"/>
        <w:rPr>
          <w:noProof/>
        </w:rPr>
      </w:pPr>
      <w:r>
        <w:rPr>
          <w:noProof/>
        </w:rPr>
        <w:t xml:space="preserve">Artikel </w:t>
      </w:r>
      <w:r>
        <w:rPr>
          <w:rStyle w:val="CRMinorChangeAdded"/>
          <w:noProof/>
        </w:rPr>
        <w:t>4</w:t>
      </w:r>
      <w:r>
        <w:rPr>
          <w:rStyle w:val="CRMinorChangeDeleted"/>
          <w:noProof/>
        </w:rPr>
        <w:t>3</w:t>
      </w:r>
    </w:p>
    <w:p w:rsidR="00613CC4" w:rsidRDefault="00950A85">
      <w:pPr>
        <w:keepNext/>
        <w:jc w:val="center"/>
        <w:rPr>
          <w:b/>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noProof/>
        </w:rPr>
        <w:t>Underretning om udsendelse af indvandringsforbindelsesofficerer</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613CC4" w:rsidRDefault="00950A85">
      <w:pPr>
        <w:pStyle w:val="ManualNumPar1"/>
        <w:rPr>
          <w:noProof/>
        </w:rPr>
      </w:pPr>
      <w:r>
        <w:rPr>
          <w:noProof/>
        </w:rPr>
        <w:t>1.</w:t>
      </w:r>
      <w:r>
        <w:rPr>
          <w:noProof/>
        </w:rPr>
        <w:tab/>
        <w:t>Medlemsstaterne</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 </w:t>
      </w:r>
      <w:r>
        <w:rPr>
          <w:noProof/>
          <w:highlight w:val="lightGray"/>
        </w:rPr>
        <w:t>Kommissionen og EU-agenturerne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orienterer </w:t>
      </w:r>
      <w:r>
        <w:rPr>
          <w:rStyle w:val="CRRefonteDeleted"/>
          <w:noProof/>
          <w:highlight w:val="lightGray"/>
        </w:rPr>
        <w:t>systematisk og omgående</w:t>
      </w:r>
      <w:r>
        <w:rPr>
          <w:noProof/>
        </w:rPr>
        <w:t xml:space="preserve"> </w:t>
      </w:r>
      <w:r>
        <w:rPr>
          <w:rStyle w:val="CRRefonteDeleted"/>
          <w:noProof/>
          <w:highlight w:val="lightGray"/>
        </w:rPr>
        <w:t>hinanden, Rådet og Kommissionen</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styringsrådet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om deres </w:t>
      </w:r>
      <w:r>
        <w:rPr>
          <w:rStyle w:val="CRRefonteDeleted"/>
          <w:noProof/>
          <w:highlight w:val="lightGray"/>
        </w:rPr>
        <w:t>udstationeringer</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planer for udsendelse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af indvandringsfo</w:t>
      </w:r>
      <w:r>
        <w:rPr>
          <w:noProof/>
        </w:rPr>
        <w:t xml:space="preserve">rbindelsesofficerer, med en beskrivelse af deres pligter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og angivelse af varigheden af deres udsendelse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rsidR="00613CC4" w:rsidRDefault="00950A85">
      <w:pPr>
        <w:pStyle w:val="ManualNumPar1"/>
        <w:rPr>
          <w:noProof/>
          <w:highlight w:val="lightGray"/>
        </w:rPr>
      </w:pPr>
      <w:r>
        <w:rPr>
          <w:rStyle w:val="CRRefonteDeleted"/>
          <w:noProof/>
          <w:highlight w:val="lightGray"/>
        </w:rPr>
        <w:t>2.</w:t>
      </w:r>
      <w:r>
        <w:rPr>
          <w:rStyle w:val="CRRefonteDeleted"/>
          <w:noProof/>
          <w:highlight w:val="lightGray"/>
        </w:rPr>
        <w:tab/>
        <w:t xml:space="preserve">Hver medlemsstat orienterer også de øvrige medlemsstater om sine planer om udstationering af </w:t>
      </w:r>
      <w:r>
        <w:rPr>
          <w:rStyle w:val="CRRefonteDeleted"/>
          <w:noProof/>
          <w:highlight w:val="lightGray"/>
        </w:rPr>
        <w:t>indvandringsforbindelsesofficerer i tredjelande for at give dem mulighed for at vise interesse for at indgå en samarbejdsaftale med den pågældende medlemsstat om denne udstationering, jf. artikel 5.</w:t>
      </w:r>
    </w:p>
    <w:p w:rsidR="00613CC4" w:rsidRDefault="00613CC4">
      <w:pPr>
        <w:pStyle w:val="CRSeparator"/>
        <w:rPr>
          <w:noProof/>
        </w:rPr>
      </w:pPr>
    </w:p>
    <w:p w:rsidR="00613CC4" w:rsidRDefault="00950A85">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493/2011, artikel 1, stk. 1, litra b)</w:t>
      </w:r>
    </w:p>
    <w:p w:rsidR="00613CC4" w:rsidRDefault="00950A85">
      <w:pPr>
        <w:pStyle w:val="CRReference"/>
        <w:rPr>
          <w:rStyle w:val="CRMinorChangeAdded"/>
          <w:noProof/>
          <w:highlight w:val="lightGray"/>
        </w:rPr>
      </w:pPr>
      <w:r>
        <w:rPr>
          <w:noProof/>
          <w:highlight w:val="lightGray"/>
        </w:rPr>
        <w:fldChar w:fldCharType="begin"/>
      </w:r>
      <w:r>
        <w:rPr>
          <w:noProof/>
          <w:highlight w:val="lightGray"/>
        </w:rPr>
        <w:instrText xml:space="preserve"> Q</w:instrText>
      </w:r>
      <w:r>
        <w:rPr>
          <w:noProof/>
          <w:highlight w:val="lightGray"/>
        </w:rPr>
        <w:instrText>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nyt</w:t>
      </w:r>
    </w:p>
    <w:p w:rsidR="00613CC4" w:rsidRDefault="00950A85">
      <w:pPr>
        <w:pStyle w:val="ManualNumPar1"/>
        <w:rPr>
          <w:noProof/>
        </w:rPr>
      </w:pPr>
      <w:r>
        <w:rPr>
          <w:rStyle w:val="CRMinorChangeAdded"/>
          <w:noProof/>
        </w:rPr>
        <w:t>2</w:t>
      </w:r>
      <w:r>
        <w:rPr>
          <w:rStyle w:val="CRMinorChangeDeleted"/>
          <w:noProof/>
        </w:rPr>
        <w:t>3</w:t>
      </w:r>
      <w:r>
        <w:rPr>
          <w:noProof/>
        </w:rPr>
        <w:t>.</w:t>
      </w:r>
      <w:r>
        <w:rPr>
          <w:noProof/>
        </w:rPr>
        <w:tab/>
        <w:t xml:space="preserve">De i stk. 1 </w:t>
      </w:r>
      <w:r>
        <w:rPr>
          <w:rStyle w:val="CRRefonteDeleted"/>
          <w:noProof/>
          <w:highlight w:val="lightGray"/>
        </w:rPr>
        <w:t>og 2</w:t>
      </w:r>
      <w:r>
        <w:rPr>
          <w:noProof/>
        </w:rPr>
        <w:t xml:space="preserve"> omhandlede oplysninger stilles til rådighed på den sikre webbaserede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platform til informationsudveksling, der er oprettet i henhold til artikel 9.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 xml:space="preserve">informations- og koordineringsnet for </w:t>
      </w:r>
      <w:r>
        <w:rPr>
          <w:rStyle w:val="CRRefonteDeleted"/>
          <w:noProof/>
          <w:highlight w:val="lightGray"/>
        </w:rPr>
        <w:t>medlemsstaternes indvandringsmyndigheder, der oprettedes ved Rådets beslutning 2005/267/EF</w:t>
      </w:r>
      <w:r>
        <w:rPr>
          <w:rStyle w:val="CRRefonteDeleted"/>
          <w:noProof/>
          <w:highlight w:val="lightGray"/>
          <w:vertAlign w:val="superscript"/>
          <w:lang w:eastAsia="en-GB"/>
        </w:rPr>
        <w:footnoteReference w:id="33"/>
      </w:r>
      <w:r>
        <w:rPr>
          <w:rStyle w:val="CRRefonteDeleted"/>
          <w:noProof/>
          <w:highlight w:val="lightGray"/>
        </w:rPr>
        <w:t xml:space="preserve"> (»ICONet«), under den sektion der er afsat til indvandringsforbindelsesofficerernes netværk</w:t>
      </w:r>
      <w:r>
        <w:rPr>
          <w:noProof/>
        </w:rPr>
        <w:t xml:space="preserve">. </w:t>
      </w:r>
      <w:r>
        <w:rPr>
          <w:rStyle w:val="CRRefonteDeleted"/>
          <w:noProof/>
          <w:highlight w:val="lightGray"/>
        </w:rPr>
        <w:t>Kommissionen videregiver også disse oplysninger til Rådet.</w:t>
      </w:r>
    </w:p>
    <w:p w:rsidR="00613CC4" w:rsidRDefault="00613CC4">
      <w:pPr>
        <w:pStyle w:val="CRSeparator"/>
        <w:rPr>
          <w:noProof/>
        </w:rPr>
      </w:pPr>
    </w:p>
    <w:p w:rsidR="00613CC4" w:rsidRDefault="00950A85">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(tilpasset)</w:t>
      </w:r>
    </w:p>
    <w:p w:rsidR="00613CC4" w:rsidRDefault="00950A85">
      <w:pPr>
        <w:pStyle w:val="Titrearticle"/>
        <w:rPr>
          <w:noProof/>
        </w:rPr>
      </w:pPr>
      <w:r>
        <w:rPr>
          <w:noProof/>
        </w:rPr>
        <w:t xml:space="preserve">Artikel </w:t>
      </w:r>
      <w:r>
        <w:rPr>
          <w:rStyle w:val="CRMinorChangeAdded"/>
          <w:noProof/>
        </w:rPr>
        <w:t>5</w:t>
      </w:r>
      <w:r>
        <w:rPr>
          <w:rStyle w:val="CRMinorChangeDeleted"/>
          <w:noProof/>
        </w:rPr>
        <w:t>4</w:t>
      </w:r>
    </w:p>
    <w:p w:rsidR="00613CC4" w:rsidRDefault="00950A85">
      <w:pPr>
        <w:keepNext/>
        <w:jc w:val="center"/>
        <w:rPr>
          <w:b/>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noProof/>
        </w:rPr>
        <w:t>Oprettelse af lokale eller regionale netværk af indvandringsforbindelsesofficerer</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613CC4" w:rsidRDefault="00950A85">
      <w:pPr>
        <w:pStyle w:val="ManualNumPar1"/>
        <w:rPr>
          <w:noProof/>
        </w:rPr>
      </w:pPr>
      <w:r>
        <w:rPr>
          <w:noProof/>
        </w:rPr>
        <w:t>1.</w:t>
      </w:r>
      <w:r>
        <w:rPr>
          <w:noProof/>
        </w:rPr>
        <w:tab/>
      </w:r>
      <w:r>
        <w:rPr>
          <w:rStyle w:val="CRDeleted"/>
          <w:noProof/>
        </w:rPr>
        <w:t>Medlemsstaterne sørger for, at deres</w:t>
      </w:r>
      <w:r>
        <w:rPr>
          <w:noProof/>
        </w:rPr>
        <w:t xml:space="preserve"> </w:t>
      </w:r>
      <w:r>
        <w:rPr>
          <w:rStyle w:val="CRMinorChangeAdded"/>
          <w:noProof/>
        </w:rPr>
        <w:t>I</w:t>
      </w:r>
      <w:r>
        <w:rPr>
          <w:rStyle w:val="CRMinorChangeDeleted"/>
          <w:noProof/>
        </w:rPr>
        <w:t>i</w:t>
      </w:r>
      <w:r>
        <w:rPr>
          <w:noProof/>
        </w:rPr>
        <w:t>ndvandringsforbindelsesofficerer, der er udsendt til samme tredjelande eller regioner, opretter lokale eller regionale samarbejdsnetværk</w:t>
      </w:r>
      <w:r>
        <w:rPr>
          <w:rStyle w:val="CRDeleted"/>
          <w:noProof/>
        </w:rPr>
        <w:t xml:space="preserve"> indbyrdes</w:t>
      </w:r>
      <w:r>
        <w:rPr>
          <w:noProof/>
        </w:rPr>
        <w:t>. Inden for disse netværk skal indvandringsforbindelsesofficererne bl.a.:</w:t>
      </w:r>
    </w:p>
    <w:p w:rsidR="00613CC4" w:rsidRDefault="00950A85">
      <w:pPr>
        <w:pStyle w:val="Point1"/>
        <w:rPr>
          <w:noProof/>
        </w:rPr>
      </w:pPr>
      <w:r>
        <w:rPr>
          <w:rStyle w:val="CRMinorChangeAdded"/>
          <w:noProof/>
        </w:rPr>
        <w:t>a)</w:t>
      </w:r>
      <w:r>
        <w:rPr>
          <w:noProof/>
        </w:rPr>
        <w:tab/>
        <w:t>mødes regelmæssigt, og når det er</w:t>
      </w:r>
      <w:r>
        <w:rPr>
          <w:noProof/>
        </w:rPr>
        <w:t xml:space="preserve"> nødvendigt</w:t>
      </w:r>
    </w:p>
    <w:p w:rsidR="00613CC4" w:rsidRDefault="00613CC4">
      <w:pPr>
        <w:pStyle w:val="CRSeparator"/>
        <w:rPr>
          <w:noProof/>
        </w:rPr>
      </w:pPr>
    </w:p>
    <w:p w:rsidR="00613CC4" w:rsidRDefault="00950A85">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493/2011, artikel 1, stk. 2, litra a)</w:t>
      </w:r>
    </w:p>
    <w:p w:rsidR="00613CC4" w:rsidRDefault="00950A85">
      <w:pPr>
        <w:pStyle w:val="CRReference"/>
        <w:rPr>
          <w:rStyle w:val="CRMinorChangeAdded"/>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nyt</w:t>
      </w:r>
    </w:p>
    <w:p w:rsidR="00613CC4" w:rsidRDefault="00950A85">
      <w:pPr>
        <w:pStyle w:val="Point1"/>
        <w:rPr>
          <w:noProof/>
        </w:rPr>
      </w:pPr>
      <w:r>
        <w:rPr>
          <w:rStyle w:val="CRMinorChangeAdded"/>
          <w:noProof/>
        </w:rPr>
        <w:t>b)</w:t>
      </w:r>
      <w:r>
        <w:rPr>
          <w:noProof/>
        </w:rPr>
        <w:tab/>
        <w:t xml:space="preserve">udveksle oplysninger og praktiske erfaringer, navnlig på møder og via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den sikre webbaserede platform til informationsudveksling, der er oprettet i hen</w:t>
      </w:r>
      <w:r>
        <w:rPr>
          <w:noProof/>
          <w:highlight w:val="lightGray"/>
        </w:rPr>
        <w:t>hold til artikel 9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ICONet</w:t>
      </w:r>
    </w:p>
    <w:p w:rsidR="00613CC4" w:rsidRDefault="00950A85">
      <w:pPr>
        <w:pStyle w:val="Point1"/>
        <w:rPr>
          <w:noProof/>
        </w:rPr>
      </w:pPr>
      <w:r>
        <w:rPr>
          <w:rStyle w:val="CRMinorChangeAdded"/>
          <w:noProof/>
        </w:rPr>
        <w:t>c)</w:t>
      </w:r>
      <w:r>
        <w:rPr>
          <w:noProof/>
        </w:rPr>
        <w:tab/>
        <w:t>udveksle oplysninger efter behov om erfaringer med asylansøgeres adgang til beskyttelse</w:t>
      </w:r>
    </w:p>
    <w:p w:rsidR="00613CC4" w:rsidRDefault="00613CC4">
      <w:pPr>
        <w:pStyle w:val="CRSeparator"/>
        <w:rPr>
          <w:noProof/>
        </w:rPr>
      </w:pPr>
    </w:p>
    <w:p w:rsidR="00613CC4" w:rsidRDefault="00950A85">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(tilpasset)</w:t>
      </w:r>
    </w:p>
    <w:p w:rsidR="00613CC4" w:rsidRDefault="00950A85">
      <w:pPr>
        <w:pStyle w:val="CRReference"/>
        <w:rPr>
          <w:rStyle w:val="CRMinorChangeAdded"/>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nyt</w:t>
      </w:r>
    </w:p>
    <w:p w:rsidR="00613CC4" w:rsidRDefault="00950A85">
      <w:pPr>
        <w:pStyle w:val="Point1"/>
        <w:rPr>
          <w:noProof/>
        </w:rPr>
      </w:pPr>
      <w:r>
        <w:rPr>
          <w:rStyle w:val="CRMinorChangeAdded"/>
          <w:noProof/>
        </w:rPr>
        <w:t>d)</w:t>
      </w:r>
      <w:r>
        <w:rPr>
          <w:noProof/>
        </w:rPr>
        <w:tab/>
        <w:t xml:space="preserve">samordne de holdninger, der skal indtages i kontakter med </w:t>
      </w:r>
      <w:r>
        <w:rPr>
          <w:noProof/>
        </w:rPr>
        <w:t>kommercielle transportselskaber, efter behov</w:t>
      </w:r>
    </w:p>
    <w:p w:rsidR="00613CC4" w:rsidRDefault="00950A85">
      <w:pPr>
        <w:pStyle w:val="Point1"/>
        <w:rPr>
          <w:noProof/>
        </w:rPr>
      </w:pPr>
      <w:r>
        <w:rPr>
          <w:rStyle w:val="CRMinorChangeAdded"/>
          <w:noProof/>
        </w:rPr>
        <w:t>e)</w:t>
      </w:r>
      <w:r>
        <w:rPr>
          <w:noProof/>
        </w:rPr>
        <w:tab/>
        <w:t>deltage i fælles, specialiserede uddannelseskurser efter behov</w:t>
      </w:r>
    </w:p>
    <w:p w:rsidR="00613CC4" w:rsidRDefault="00950A85">
      <w:pPr>
        <w:pStyle w:val="Point1"/>
        <w:rPr>
          <w:noProof/>
        </w:rPr>
      </w:pPr>
      <w:r>
        <w:rPr>
          <w:rStyle w:val="CRMinorChangeAdded"/>
          <w:noProof/>
        </w:rPr>
        <w:t>f)</w:t>
      </w:r>
      <w:r>
        <w:rPr>
          <w:noProof/>
        </w:rPr>
        <w:tab/>
        <w:t xml:space="preserve">tilrettelægge oplysningsmøder og uddannelseskurser for det diplomatiske og konsulære personale ved medlemsstaternes missioner i </w:t>
      </w:r>
      <w:r>
        <w:rPr>
          <w:rStyle w:val="CRRefonteDeleted"/>
          <w:noProof/>
          <w:highlight w:val="lightGray"/>
        </w:rPr>
        <w:t>værts</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tredje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landet efter behov</w:t>
      </w:r>
    </w:p>
    <w:p w:rsidR="00613CC4" w:rsidRDefault="00950A85">
      <w:pPr>
        <w:pStyle w:val="Point1"/>
        <w:rPr>
          <w:noProof/>
        </w:rPr>
      </w:pPr>
      <w:r>
        <w:rPr>
          <w:rStyle w:val="CRMinorChangeAdded"/>
          <w:noProof/>
        </w:rPr>
        <w:t>g)</w:t>
      </w:r>
      <w:r>
        <w:rPr>
          <w:noProof/>
        </w:rPr>
        <w:tab/>
        <w:t>vedtage fælles indstillinger til metoderne for indsamling og rapportering af strategisk relevante oplysninger, herunder risikoanalyser</w:t>
      </w:r>
      <w:r>
        <w:rPr>
          <w:rStyle w:val="CRDeleted"/>
          <w:noProof/>
        </w:rPr>
        <w:t>, til udsendelsesmedlemsstaternes kompetente myndigheder</w:t>
      </w:r>
    </w:p>
    <w:p w:rsidR="00613CC4" w:rsidRDefault="00950A85">
      <w:pPr>
        <w:pStyle w:val="Tiret0"/>
        <w:ind w:left="851"/>
        <w:rPr>
          <w:rStyle w:val="CRRefonteDeleted"/>
          <w:noProof/>
          <w:highlight w:val="lightGray"/>
        </w:rPr>
      </w:pPr>
      <w:r>
        <w:rPr>
          <w:rStyle w:val="CRRefonteDeleted"/>
          <w:noProof/>
          <w:highlight w:val="lightGray"/>
        </w:rPr>
        <w:t>bidrage til de</w:t>
      </w:r>
      <w:r>
        <w:rPr>
          <w:rStyle w:val="CRRefonteDeleted"/>
          <w:noProof/>
          <w:highlight w:val="lightGray"/>
        </w:rPr>
        <w:t xml:space="preserve"> halvårlige rapporter om deres fælles aktiviteter, der udarbejdes i henhold til artikel 6, stk. 1</w:t>
      </w:r>
    </w:p>
    <w:p w:rsidR="00613CC4" w:rsidRDefault="00950A85">
      <w:pPr>
        <w:pStyle w:val="Point1"/>
        <w:rPr>
          <w:noProof/>
        </w:rPr>
      </w:pPr>
      <w:r>
        <w:rPr>
          <w:rStyle w:val="CRMinorChangeAdded"/>
          <w:noProof/>
        </w:rPr>
        <w:t>h)</w:t>
      </w:r>
      <w:r>
        <w:rPr>
          <w:noProof/>
        </w:rPr>
        <w:tab/>
        <w:t xml:space="preserve">etablere regelmæssige kontakter med tilsvarende netværk i </w:t>
      </w:r>
      <w:r>
        <w:rPr>
          <w:rStyle w:val="CRRefonteDeleted"/>
          <w:noProof/>
          <w:highlight w:val="lightGray"/>
        </w:rPr>
        <w:t>værts</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tredje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landet og i de tilgrænsende tredjelande, hvis det er h</w:t>
      </w:r>
      <w:r>
        <w:rPr>
          <w:noProof/>
        </w:rPr>
        <w:t>ensigtsmæssigt.</w:t>
      </w:r>
    </w:p>
    <w:p w:rsidR="00613CC4" w:rsidRDefault="00613CC4">
      <w:pPr>
        <w:pStyle w:val="CRSeparator"/>
        <w:rPr>
          <w:noProof/>
        </w:rPr>
      </w:pPr>
    </w:p>
    <w:p w:rsidR="00613CC4" w:rsidRDefault="00950A85">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nyt</w:t>
      </w:r>
    </w:p>
    <w:p w:rsidR="00613CC4" w:rsidRDefault="00950A85">
      <w:pPr>
        <w:pStyle w:val="ManualNumPar1"/>
        <w:rPr>
          <w:noProof/>
          <w:highlight w:val="lightGray"/>
        </w:rPr>
      </w:pPr>
      <w:r>
        <w:rPr>
          <w:noProof/>
          <w:highlight w:val="lightGray"/>
        </w:rPr>
        <w:t>2.</w:t>
      </w:r>
      <w:r>
        <w:rPr>
          <w:noProof/>
          <w:highlight w:val="lightGray"/>
        </w:rPr>
        <w:tab/>
        <w:t>Indvandringsforbindelsesofficerer udsendt af Kommissionen koordinerer de netværk, der er omhandlet i stk. 1. På steder, hvor Kommissionen ikke udsender indvandringsforbindelsesofficerer, varetages koordineringen af n</w:t>
      </w:r>
      <w:r>
        <w:rPr>
          <w:noProof/>
          <w:highlight w:val="lightGray"/>
        </w:rPr>
        <w:t>etværket af en indvandringsforbindelsesofficer, som aftales blandt netværkets medlemmer.</w:t>
      </w:r>
    </w:p>
    <w:p w:rsidR="00613CC4" w:rsidRDefault="00950A85">
      <w:pPr>
        <w:pStyle w:val="ManualNumPar1"/>
        <w:rPr>
          <w:noProof/>
        </w:rPr>
      </w:pPr>
      <w:r>
        <w:rPr>
          <w:noProof/>
          <w:highlight w:val="lightGray"/>
        </w:rPr>
        <w:t>3.</w:t>
      </w:r>
      <w:r>
        <w:rPr>
          <w:noProof/>
          <w:highlight w:val="lightGray"/>
        </w:rPr>
        <w:tab/>
        <w:t>Styringsrådet underrettes om udpegelsen af netværkskoordinatoren af koordinatoren.</w:t>
      </w:r>
    </w:p>
    <w:p w:rsidR="00613CC4" w:rsidRDefault="00613CC4">
      <w:pPr>
        <w:pStyle w:val="CRSeparator"/>
        <w:rPr>
          <w:noProof/>
        </w:rPr>
      </w:pPr>
    </w:p>
    <w:p w:rsidR="00613CC4" w:rsidRDefault="00950A85">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493/2011, artikel 1, stk. 2, litra b)</w:t>
      </w:r>
    </w:p>
    <w:p w:rsidR="00613CC4" w:rsidRDefault="00950A85">
      <w:pPr>
        <w:rPr>
          <w:noProof/>
          <w:highlight w:val="lightGray"/>
        </w:rPr>
      </w:pPr>
      <w:r>
        <w:rPr>
          <w:rStyle w:val="CRRefonteDeleted"/>
          <w:noProof/>
          <w:highlight w:val="lightGray"/>
        </w:rPr>
        <w:t>2.</w:t>
      </w:r>
      <w:r>
        <w:rPr>
          <w:rStyle w:val="CRRefonteDeleted"/>
          <w:noProof/>
          <w:highlight w:val="lightGray"/>
        </w:rPr>
        <w:tab/>
      </w:r>
      <w:r>
        <w:rPr>
          <w:rStyle w:val="CRRefonteDeleted"/>
          <w:noProof/>
          <w:highlight w:val="lightGray"/>
        </w:rPr>
        <w:t>Repræsentanter for Kommissionen og for Det Europæiske Agentur for Forvaltning af det Operative Samarbejde ved EU-medlemsstaternes Ydre Grænser (Frontex), der er oprettet ved Rådets forordning (EF) nr. 2007/2004</w:t>
      </w:r>
      <w:r>
        <w:rPr>
          <w:rStyle w:val="CRRefonteDeleted"/>
          <w:noProof/>
          <w:highlight w:val="lightGray"/>
          <w:vertAlign w:val="superscript"/>
          <w:lang w:eastAsia="en-GB"/>
        </w:rPr>
        <w:footnoteReference w:id="34"/>
      </w:r>
      <w:r>
        <w:rPr>
          <w:rStyle w:val="CRRefonteDeleted"/>
          <w:noProof/>
          <w:highlight w:val="lightGray"/>
        </w:rPr>
        <w:t xml:space="preserve"> kan deltage i de møder, der tilrettelægges i</w:t>
      </w:r>
      <w:r>
        <w:rPr>
          <w:rStyle w:val="CRRefonteDeleted"/>
          <w:noProof/>
          <w:highlight w:val="lightGray"/>
        </w:rPr>
        <w:t>nden for netværket af indvandringsforbindelsesofficerer, idet der dog også kan holdes møder uden deltagelse af disse repræsentanter, hvis det er påkrævet af operationelle hensyn. Andre organer og myndigheder kan også indbydes, hvis det er hensigtsmæssigt.</w:t>
      </w:r>
    </w:p>
    <w:p w:rsidR="00613CC4" w:rsidRDefault="00613CC4">
      <w:pPr>
        <w:pStyle w:val="CRSeparator"/>
        <w:rPr>
          <w:noProof/>
        </w:rPr>
      </w:pPr>
    </w:p>
    <w:p w:rsidR="00613CC4" w:rsidRDefault="00950A85">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493/2011, artikel 1, stk. 2, litra c)</w:t>
      </w:r>
    </w:p>
    <w:p w:rsidR="00613CC4" w:rsidRDefault="00950A85">
      <w:pPr>
        <w:rPr>
          <w:noProof/>
          <w:highlight w:val="lightGray"/>
        </w:rPr>
      </w:pPr>
      <w:r>
        <w:rPr>
          <w:rStyle w:val="CRRefonteDeleted"/>
          <w:noProof/>
          <w:highlight w:val="lightGray"/>
        </w:rPr>
        <w:t>3.</w:t>
      </w:r>
      <w:r>
        <w:rPr>
          <w:rStyle w:val="CRRefonteDeleted"/>
          <w:noProof/>
          <w:highlight w:val="lightGray"/>
        </w:rPr>
        <w:tab/>
        <w:t>Den medlemsstat, der varetager formandskabet for Rådet for Den Europæiske Union, tager initiativet til at holde sådanne møder. Hvis denne medlemsstat ikke er repræsenteret i det pågældende land elle</w:t>
      </w:r>
      <w:r>
        <w:rPr>
          <w:rStyle w:val="CRRefonteDeleted"/>
          <w:noProof/>
          <w:highlight w:val="lightGray"/>
        </w:rPr>
        <w:t>r den pågældende region, er det den medlemsstat, der midlertidigt varetager formandskabet, der tager initiativet til at holde mødet. Sådanne møder kan også holdes på initiativ af andre medlemsstater.</w:t>
      </w:r>
    </w:p>
    <w:p w:rsidR="00613CC4" w:rsidRDefault="00613CC4">
      <w:pPr>
        <w:pStyle w:val="CRSeparator"/>
        <w:rPr>
          <w:noProof/>
        </w:rPr>
      </w:pPr>
    </w:p>
    <w:p w:rsidR="00613CC4" w:rsidRDefault="00950A85">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(tilpasset)</w:t>
      </w:r>
    </w:p>
    <w:p w:rsidR="00613CC4" w:rsidRDefault="00950A85">
      <w:pPr>
        <w:pStyle w:val="Titrearticle"/>
        <w:rPr>
          <w:noProof/>
        </w:rPr>
      </w:pPr>
      <w:r>
        <w:rPr>
          <w:noProof/>
        </w:rPr>
        <w:t xml:space="preserve">Artikel </w:t>
      </w:r>
      <w:r>
        <w:rPr>
          <w:rStyle w:val="CRMinorChangeAdded"/>
          <w:noProof/>
        </w:rPr>
        <w:t>6</w:t>
      </w:r>
      <w:r>
        <w:rPr>
          <w:rStyle w:val="CRMinorChangeDeleted"/>
          <w:noProof/>
        </w:rPr>
        <w:t>5</w:t>
      </w:r>
    </w:p>
    <w:p w:rsidR="00613CC4" w:rsidRDefault="00950A85">
      <w:pPr>
        <w:keepNext/>
        <w:jc w:val="center"/>
        <w:rPr>
          <w:b/>
          <w:noProof/>
        </w:rPr>
      </w:pPr>
      <w:r>
        <w:rPr>
          <w:noProof/>
        </w:rPr>
        <w:fldChar w:fldCharType="begin"/>
      </w:r>
      <w:r>
        <w:rPr>
          <w:noProof/>
        </w:rPr>
        <w:instrText xml:space="preserve"> QUOTE </w:instrText>
      </w:r>
      <w:r>
        <w:rPr>
          <w:noProof/>
        </w:rPr>
        <w:instrText>"</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noProof/>
        </w:rPr>
        <w:t>Fælles udsendelse af indvandringsforbindelsesofficerer</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613CC4" w:rsidRDefault="00950A85">
      <w:pPr>
        <w:pStyle w:val="ManualNumPar1"/>
        <w:rPr>
          <w:noProof/>
        </w:rPr>
      </w:pPr>
      <w:r>
        <w:rPr>
          <w:noProof/>
        </w:rPr>
        <w:t>1.</w:t>
      </w:r>
      <w:r>
        <w:rPr>
          <w:noProof/>
        </w:rPr>
        <w:tab/>
        <w:t>Medlemsstaterne kan bilateralt eller multilateralt aftale, at indvandringsforbindelsesofficerer, der er udsendt af en medlemsstat til et tredjeland eller en international or</w:t>
      </w:r>
      <w:r>
        <w:rPr>
          <w:noProof/>
        </w:rPr>
        <w:t>ganisation, tillige varetager en eller flere andre medlemsstaters interesser.</w:t>
      </w:r>
    </w:p>
    <w:p w:rsidR="00613CC4" w:rsidRDefault="00950A85">
      <w:pPr>
        <w:pStyle w:val="ManualNumPar1"/>
        <w:rPr>
          <w:noProof/>
        </w:rPr>
      </w:pPr>
      <w:r>
        <w:rPr>
          <w:noProof/>
        </w:rPr>
        <w:t>2.</w:t>
      </w:r>
      <w:r>
        <w:rPr>
          <w:noProof/>
        </w:rPr>
        <w:tab/>
        <w:t>Medlemsstaterne kan også aftale, at deres indvandringsforbindelsesofficerer fordeler visse opgaver imellem sig.</w:t>
      </w:r>
    </w:p>
    <w:p w:rsidR="00613CC4" w:rsidRDefault="00613CC4">
      <w:pPr>
        <w:pStyle w:val="CRSeparator"/>
        <w:rPr>
          <w:noProof/>
        </w:rPr>
      </w:pPr>
    </w:p>
    <w:p w:rsidR="00613CC4" w:rsidRDefault="00950A85">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nyt</w:t>
      </w:r>
    </w:p>
    <w:p w:rsidR="00613CC4" w:rsidRDefault="00950A85">
      <w:pPr>
        <w:pStyle w:val="ManualNumPar1"/>
        <w:rPr>
          <w:noProof/>
          <w:highlight w:val="lightGray"/>
        </w:rPr>
      </w:pPr>
      <w:r>
        <w:rPr>
          <w:noProof/>
          <w:highlight w:val="lightGray"/>
        </w:rPr>
        <w:t>3.</w:t>
      </w:r>
      <w:r>
        <w:rPr>
          <w:noProof/>
          <w:highlight w:val="lightGray"/>
        </w:rPr>
        <w:tab/>
        <w:t xml:space="preserve">Hvis to eller flere medlemsstater i </w:t>
      </w:r>
      <w:r>
        <w:rPr>
          <w:noProof/>
          <w:highlight w:val="lightGray"/>
        </w:rPr>
        <w:t>fællesskab udsender en indvandringsforbindelsesofficer, kan disse medlemsstater modtager finansiel støtte fra Unionen i henhold til forordning (EU) nr. 515/2014.</w:t>
      </w:r>
    </w:p>
    <w:p w:rsidR="00613CC4" w:rsidRDefault="00950A85">
      <w:pPr>
        <w:pStyle w:val="Titrearticle"/>
        <w:rPr>
          <w:noProof/>
          <w:highlight w:val="lightGray"/>
        </w:rPr>
      </w:pPr>
      <w:r>
        <w:rPr>
          <w:noProof/>
          <w:highlight w:val="lightGray"/>
        </w:rPr>
        <w:t>Artikel 7</w:t>
      </w:r>
    </w:p>
    <w:p w:rsidR="00613CC4" w:rsidRDefault="00950A85">
      <w:pPr>
        <w:jc w:val="center"/>
        <w:rPr>
          <w:b/>
          <w:noProof/>
          <w:highlight w:val="lightGray"/>
        </w:rPr>
      </w:pPr>
      <w:r>
        <w:rPr>
          <w:b/>
          <w:noProof/>
          <w:highlight w:val="lightGray"/>
        </w:rPr>
        <w:t xml:space="preserve">Styringsrådet </w:t>
      </w:r>
    </w:p>
    <w:p w:rsidR="00613CC4" w:rsidRDefault="00950A85">
      <w:pPr>
        <w:pStyle w:val="ManualNumPar1"/>
        <w:rPr>
          <w:noProof/>
          <w:highlight w:val="lightGray"/>
        </w:rPr>
      </w:pPr>
      <w:r>
        <w:rPr>
          <w:noProof/>
          <w:color w:val="000000"/>
          <w:highlight w:val="lightGray"/>
        </w:rPr>
        <w:t>1.</w:t>
      </w:r>
      <w:r>
        <w:rPr>
          <w:noProof/>
          <w:color w:val="000000"/>
          <w:highlight w:val="lightGray"/>
        </w:rPr>
        <w:tab/>
      </w:r>
      <w:r>
        <w:rPr>
          <w:noProof/>
          <w:highlight w:val="lightGray"/>
        </w:rPr>
        <w:t xml:space="preserve">Der oprettes et styringsråd for et europæisk netværk af </w:t>
      </w:r>
      <w:r>
        <w:rPr>
          <w:noProof/>
          <w:highlight w:val="lightGray"/>
        </w:rPr>
        <w:t>indvandringsforbindelsesofficerer ("styringsrådet").</w:t>
      </w:r>
    </w:p>
    <w:p w:rsidR="00613CC4" w:rsidRDefault="00950A85">
      <w:pPr>
        <w:pStyle w:val="ManualNumPar1"/>
        <w:rPr>
          <w:noProof/>
          <w:highlight w:val="lightGray"/>
        </w:rPr>
      </w:pPr>
      <w:r>
        <w:rPr>
          <w:noProof/>
          <w:highlight w:val="lightGray"/>
        </w:rPr>
        <w:t>2.</w:t>
      </w:r>
      <w:r>
        <w:rPr>
          <w:noProof/>
          <w:highlight w:val="lightGray"/>
        </w:rPr>
        <w:tab/>
        <w:t>Styringsrådet består af en repræsentant for hver medlemsstat, to repræsentanter for Kommissionen og en repræsentant for Det Europæiske Agentur for Grænse- og Kystbevogtning, en repræsentant for Europo</w:t>
      </w:r>
      <w:r>
        <w:rPr>
          <w:noProof/>
          <w:highlight w:val="lightGray"/>
        </w:rPr>
        <w:t>l og en repræsentant for Den Europæiske Unions Asylagentur. Styringsrådets medlemmer udpeges på grundlag af deres relevante erfaring og ekspertise inden for ledelse af forbindelsesofficerers netværk.</w:t>
      </w:r>
    </w:p>
    <w:p w:rsidR="00613CC4" w:rsidRDefault="00950A85">
      <w:pPr>
        <w:pStyle w:val="ManualNumPar1"/>
        <w:rPr>
          <w:noProof/>
          <w:highlight w:val="lightGray"/>
        </w:rPr>
      </w:pPr>
      <w:r>
        <w:rPr>
          <w:noProof/>
          <w:highlight w:val="lightGray"/>
        </w:rPr>
        <w:t>3.</w:t>
      </w:r>
      <w:r>
        <w:rPr>
          <w:noProof/>
          <w:highlight w:val="lightGray"/>
        </w:rPr>
        <w:tab/>
        <w:t xml:space="preserve">Repræsentanter for de tredjelande, der er associeret </w:t>
      </w:r>
      <w:r>
        <w:rPr>
          <w:noProof/>
          <w:highlight w:val="lightGray"/>
        </w:rPr>
        <w:t>i gennemførelsen, anvendelsen og udviklingen af Schengen-reglerne, deltager i styringsrådet som observatører.</w:t>
      </w:r>
    </w:p>
    <w:p w:rsidR="00613CC4" w:rsidRDefault="00950A85">
      <w:pPr>
        <w:pStyle w:val="ManualNumPar1"/>
        <w:rPr>
          <w:noProof/>
          <w:highlight w:val="lightGray"/>
        </w:rPr>
      </w:pPr>
      <w:r>
        <w:rPr>
          <w:noProof/>
          <w:highlight w:val="lightGray"/>
        </w:rPr>
        <w:t>4.</w:t>
      </w:r>
      <w:r>
        <w:rPr>
          <w:noProof/>
          <w:highlight w:val="lightGray"/>
        </w:rPr>
        <w:tab/>
        <w:t>Eksperter, repræsentanter for nationale myndigheder, internationale organisationer og relevante EU-institutioner, -organer, -kontorer og -agent</w:t>
      </w:r>
      <w:r>
        <w:rPr>
          <w:noProof/>
          <w:highlight w:val="lightGray"/>
        </w:rPr>
        <w:t>urer, som ikke er medlemmer af styringsrådet kan inviteres til at deltage i styringsrådets møder som observatører. Fælles møder med andre netværk eller organisationer kan også arrangeres.</w:t>
      </w:r>
    </w:p>
    <w:p w:rsidR="00613CC4" w:rsidRDefault="00950A85">
      <w:pPr>
        <w:pStyle w:val="ManualNumPar1"/>
        <w:rPr>
          <w:noProof/>
          <w:highlight w:val="lightGray"/>
        </w:rPr>
      </w:pPr>
      <w:r>
        <w:rPr>
          <w:noProof/>
          <w:highlight w:val="lightGray"/>
        </w:rPr>
        <w:t>5.</w:t>
      </w:r>
      <w:r>
        <w:rPr>
          <w:noProof/>
          <w:highlight w:val="lightGray"/>
        </w:rPr>
        <w:tab/>
        <w:t>Kommissionen fungerer som formand for styringsrådet. Formanden sk</w:t>
      </w:r>
      <w:r>
        <w:rPr>
          <w:noProof/>
          <w:highlight w:val="lightGray"/>
        </w:rPr>
        <w:t>al:</w:t>
      </w:r>
    </w:p>
    <w:p w:rsidR="00613CC4" w:rsidRDefault="00950A85">
      <w:pPr>
        <w:pStyle w:val="Point1letter"/>
        <w:numPr>
          <w:ilvl w:val="3"/>
          <w:numId w:val="22"/>
        </w:numPr>
        <w:rPr>
          <w:noProof/>
          <w:highlight w:val="lightGray"/>
        </w:rPr>
      </w:pPr>
      <w:r>
        <w:rPr>
          <w:noProof/>
          <w:highlight w:val="lightGray"/>
        </w:rPr>
        <w:t>sikre kontinuiteten af og tilrettelægge styringsrådets arbejde, herunder ved at understøtte udarbejdelsen af det toårige arbejdsprogram og den toårige aktivitetsrapport</w:t>
      </w:r>
    </w:p>
    <w:p w:rsidR="00613CC4" w:rsidRDefault="00950A85">
      <w:pPr>
        <w:pStyle w:val="Point1letter"/>
        <w:rPr>
          <w:noProof/>
          <w:highlight w:val="lightGray"/>
        </w:rPr>
      </w:pPr>
      <w:r>
        <w:rPr>
          <w:noProof/>
          <w:highlight w:val="lightGray"/>
        </w:rPr>
        <w:t xml:space="preserve">sikre, at de fælles aktiviteter, som er aftalt af styringsrådet, er sammenhængende </w:t>
      </w:r>
      <w:r>
        <w:rPr>
          <w:noProof/>
          <w:highlight w:val="lightGray"/>
        </w:rPr>
        <w:t xml:space="preserve">og samordnet med de relevante EU-instrumenter og </w:t>
      </w:r>
      <w:r>
        <w:rPr>
          <w:noProof/>
          <w:highlight w:val="lightGray"/>
        </w:rPr>
        <w:noBreakHyphen/>
        <w:t>strukturer og afspejler EU's prioriteter inden for migration</w:t>
      </w:r>
    </w:p>
    <w:p w:rsidR="00613CC4" w:rsidRDefault="00950A85">
      <w:pPr>
        <w:pStyle w:val="Point1letter"/>
        <w:rPr>
          <w:noProof/>
          <w:highlight w:val="lightGray"/>
        </w:rPr>
      </w:pPr>
      <w:r>
        <w:rPr>
          <w:noProof/>
          <w:highlight w:val="lightGray"/>
        </w:rPr>
        <w:t>indkalde til møder i styringsrådet.</w:t>
      </w:r>
    </w:p>
    <w:p w:rsidR="00613CC4" w:rsidRDefault="00950A85">
      <w:pPr>
        <w:pStyle w:val="Text1"/>
        <w:rPr>
          <w:noProof/>
          <w:highlight w:val="lightGray"/>
        </w:rPr>
      </w:pPr>
      <w:r>
        <w:rPr>
          <w:noProof/>
          <w:highlight w:val="lightGray"/>
        </w:rPr>
        <w:t>Med henblik på at nå styringsrådets mål bistås formanden af et sekretariat.</w:t>
      </w:r>
    </w:p>
    <w:p w:rsidR="00613CC4" w:rsidRDefault="00950A85">
      <w:pPr>
        <w:pStyle w:val="ManualNumPar1"/>
        <w:rPr>
          <w:noProof/>
          <w:highlight w:val="lightGray"/>
        </w:rPr>
      </w:pPr>
      <w:r>
        <w:rPr>
          <w:noProof/>
          <w:highlight w:val="lightGray"/>
        </w:rPr>
        <w:t>6.</w:t>
      </w:r>
      <w:r>
        <w:rPr>
          <w:noProof/>
          <w:highlight w:val="lightGray"/>
        </w:rPr>
        <w:tab/>
        <w:t>Bestyrelsen holder mindst to m</w:t>
      </w:r>
      <w:r>
        <w:rPr>
          <w:noProof/>
          <w:highlight w:val="lightGray"/>
        </w:rPr>
        <w:t>øder om året.</w:t>
      </w:r>
    </w:p>
    <w:p w:rsidR="00613CC4" w:rsidRDefault="00950A85">
      <w:pPr>
        <w:pStyle w:val="Titrearticle"/>
        <w:rPr>
          <w:noProof/>
          <w:highlight w:val="lightGray"/>
        </w:rPr>
      </w:pPr>
      <w:r>
        <w:rPr>
          <w:noProof/>
          <w:highlight w:val="lightGray"/>
        </w:rPr>
        <w:t>Artikel 8</w:t>
      </w:r>
    </w:p>
    <w:p w:rsidR="00613CC4" w:rsidRDefault="00950A85">
      <w:pPr>
        <w:jc w:val="center"/>
        <w:rPr>
          <w:b/>
          <w:noProof/>
          <w:highlight w:val="lightGray"/>
        </w:rPr>
      </w:pPr>
      <w:r>
        <w:rPr>
          <w:b/>
          <w:noProof/>
          <w:highlight w:val="lightGray"/>
        </w:rPr>
        <w:t xml:space="preserve">Styringsrådets opgaver </w:t>
      </w:r>
    </w:p>
    <w:p w:rsidR="00613CC4" w:rsidRDefault="00950A85">
      <w:pPr>
        <w:pStyle w:val="ManualNumPar1"/>
        <w:rPr>
          <w:noProof/>
          <w:highlight w:val="lightGray"/>
        </w:rPr>
      </w:pPr>
      <w:r>
        <w:rPr>
          <w:noProof/>
          <w:highlight w:val="lightGray"/>
        </w:rPr>
        <w:t>1.</w:t>
      </w:r>
      <w:r>
        <w:rPr>
          <w:noProof/>
          <w:highlight w:val="lightGray"/>
        </w:rPr>
        <w:tab/>
        <w:t>Styringsrådet fastsætter selv sin forretningsorden på grundlag af et forslag fra formanden senest tre måneder efter dets første møde. Forretningsordenen skal fastsætte afstemningsregler.</w:t>
      </w:r>
    </w:p>
    <w:p w:rsidR="00613CC4" w:rsidRDefault="00950A85">
      <w:pPr>
        <w:pStyle w:val="ManualNumPar1"/>
        <w:rPr>
          <w:noProof/>
          <w:highlight w:val="lightGray"/>
        </w:rPr>
      </w:pPr>
      <w:r>
        <w:rPr>
          <w:noProof/>
          <w:highlight w:val="lightGray"/>
        </w:rPr>
        <w:t>2.</w:t>
      </w:r>
      <w:r>
        <w:rPr>
          <w:noProof/>
          <w:highlight w:val="lightGray"/>
        </w:rPr>
        <w:tab/>
        <w:t>Med tanke på Un</w:t>
      </w:r>
      <w:r>
        <w:rPr>
          <w:noProof/>
          <w:highlight w:val="lightGray"/>
        </w:rPr>
        <w:t>ionens prioriteter på indvandringsområdet og inden for rammerne af indvandringsforbindelsesofficerernes opgaver som defineret i denne forordning udfører styringsrådet følgende aktiviteter:</w:t>
      </w:r>
    </w:p>
    <w:p w:rsidR="00613CC4" w:rsidRDefault="00950A85">
      <w:pPr>
        <w:pStyle w:val="Point1letter"/>
        <w:numPr>
          <w:ilvl w:val="3"/>
          <w:numId w:val="21"/>
        </w:numPr>
        <w:rPr>
          <w:noProof/>
          <w:highlight w:val="lightGray"/>
        </w:rPr>
      </w:pPr>
      <w:r>
        <w:rPr>
          <w:noProof/>
          <w:highlight w:val="lightGray"/>
        </w:rPr>
        <w:t>opstiller prioriteter og aktiviteter ved at vedtage et toårigt arbe</w:t>
      </w:r>
      <w:r>
        <w:rPr>
          <w:noProof/>
          <w:highlight w:val="lightGray"/>
        </w:rPr>
        <w:t>jdsprogram med angivelse af de nødvendige ressourcer til støtte for arbejdet</w:t>
      </w:r>
    </w:p>
    <w:p w:rsidR="00613CC4" w:rsidRDefault="00950A85">
      <w:pPr>
        <w:pStyle w:val="Point1letter"/>
        <w:rPr>
          <w:noProof/>
          <w:highlight w:val="lightGray"/>
        </w:rPr>
      </w:pPr>
      <w:r>
        <w:rPr>
          <w:noProof/>
          <w:highlight w:val="lightGray"/>
        </w:rPr>
        <w:t>følger gennemførelsen af aktiviteter, der indgår i det toårige arbejdsprogram, udnævnelsen af netværkskoordinatorer og de fremskridt, der gøres af netværk af indvandringsforbindel</w:t>
      </w:r>
      <w:r>
        <w:rPr>
          <w:noProof/>
          <w:highlight w:val="lightGray"/>
        </w:rPr>
        <w:t>sesofficerer, i deres samarbejde med kompetente myndigheder i tredjelande</w:t>
      </w:r>
    </w:p>
    <w:p w:rsidR="00613CC4" w:rsidRDefault="00950A85">
      <w:pPr>
        <w:pStyle w:val="Point1letter"/>
        <w:rPr>
          <w:noProof/>
          <w:highlight w:val="lightGray"/>
        </w:rPr>
      </w:pPr>
      <w:r>
        <w:rPr>
          <w:noProof/>
          <w:highlight w:val="lightGray"/>
        </w:rPr>
        <w:t>vedtager den toårige aktivitetsrapport</w:t>
      </w:r>
    </w:p>
    <w:p w:rsidR="00613CC4" w:rsidRDefault="00950A85">
      <w:pPr>
        <w:pStyle w:val="Point1letter"/>
        <w:rPr>
          <w:noProof/>
          <w:highlight w:val="lightGray"/>
        </w:rPr>
      </w:pPr>
      <w:r>
        <w:rPr>
          <w:noProof/>
          <w:highlight w:val="lightGray"/>
        </w:rPr>
        <w:t>ajourfører listen over udsendelse af indvandringsforbindelsesofficerer inden hvert styringsrådsmøde</w:t>
      </w:r>
    </w:p>
    <w:p w:rsidR="00613CC4" w:rsidRDefault="00950A85">
      <w:pPr>
        <w:pStyle w:val="Point1letter"/>
        <w:rPr>
          <w:noProof/>
          <w:highlight w:val="lightGray"/>
        </w:rPr>
      </w:pPr>
      <w:r>
        <w:rPr>
          <w:noProof/>
          <w:highlight w:val="lightGray"/>
        </w:rPr>
        <w:t xml:space="preserve">afdækker huller i udsendelsen og anbefaler </w:t>
      </w:r>
      <w:r>
        <w:rPr>
          <w:noProof/>
          <w:highlight w:val="lightGray"/>
        </w:rPr>
        <w:t>udsendelse af indvandringsforbindelsesofficerer.</w:t>
      </w:r>
    </w:p>
    <w:p w:rsidR="00613CC4" w:rsidRDefault="00950A85">
      <w:pPr>
        <w:pStyle w:val="ManualNumPar1"/>
        <w:rPr>
          <w:noProof/>
          <w:highlight w:val="lightGray"/>
        </w:rPr>
      </w:pPr>
      <w:r>
        <w:rPr>
          <w:noProof/>
          <w:highlight w:val="lightGray"/>
        </w:rPr>
        <w:t>3.</w:t>
      </w:r>
      <w:r>
        <w:rPr>
          <w:noProof/>
          <w:highlight w:val="lightGray"/>
        </w:rPr>
        <w:tab/>
        <w:t>Med tanke på Unionens operationelle behov på indvandringsområdet og inden for rammerne af indvandringsforbindelsesofficerernes opgaver som defineret i denne forordning udfører styringsrådet følgende aktiv</w:t>
      </w:r>
      <w:r>
        <w:rPr>
          <w:noProof/>
          <w:highlight w:val="lightGray"/>
        </w:rPr>
        <w:t>iteter:</w:t>
      </w:r>
    </w:p>
    <w:p w:rsidR="00613CC4" w:rsidRDefault="00950A85">
      <w:pPr>
        <w:pStyle w:val="Point1letter"/>
        <w:numPr>
          <w:ilvl w:val="3"/>
          <w:numId w:val="12"/>
        </w:numPr>
        <w:rPr>
          <w:noProof/>
          <w:highlight w:val="lightGray"/>
        </w:rPr>
      </w:pPr>
      <w:r>
        <w:rPr>
          <w:noProof/>
          <w:highlight w:val="lightGray"/>
        </w:rPr>
        <w:t xml:space="preserve">aftaler ad hoc-opgaver for netværkene af indvandringsforbindelsesofficerer </w:t>
      </w:r>
    </w:p>
    <w:p w:rsidR="00613CC4" w:rsidRDefault="00950A85">
      <w:pPr>
        <w:pStyle w:val="Point1letter"/>
        <w:numPr>
          <w:ilvl w:val="3"/>
          <w:numId w:val="12"/>
        </w:numPr>
        <w:rPr>
          <w:noProof/>
          <w:highlight w:val="lightGray"/>
        </w:rPr>
      </w:pPr>
      <w:r>
        <w:rPr>
          <w:noProof/>
          <w:highlight w:val="lightGray"/>
        </w:rPr>
        <w:t>overvåger tilgængeligheden af oplysninger mellem indvandringsforbindelsesofficerer og EU-agenturer og kommer med anbefalinger til nødvendige tiltag, hvis det er påkrævet</w:t>
      </w:r>
    </w:p>
    <w:p w:rsidR="00613CC4" w:rsidRDefault="00950A85">
      <w:pPr>
        <w:pStyle w:val="Point1letter"/>
        <w:numPr>
          <w:ilvl w:val="3"/>
          <w:numId w:val="12"/>
        </w:numPr>
        <w:rPr>
          <w:noProof/>
          <w:highlight w:val="lightGray"/>
        </w:rPr>
      </w:pPr>
      <w:r>
        <w:rPr>
          <w:noProof/>
          <w:highlight w:val="lightGray"/>
        </w:rPr>
        <w:t xml:space="preserve">understøtter udviklingen af indvandringsforbindelsesofficerernes kvalifikationer, herunder gennem udvikling af et fælles kernepensum, kurser før udsendelsen og tilrettelæggelse af fælles seminarer om de emner, der er omhandlet i artikel 3, stk. 2 </w:t>
      </w:r>
    </w:p>
    <w:p w:rsidR="00613CC4" w:rsidRDefault="00950A85">
      <w:pPr>
        <w:pStyle w:val="Point1letter"/>
        <w:numPr>
          <w:ilvl w:val="3"/>
          <w:numId w:val="12"/>
        </w:numPr>
        <w:rPr>
          <w:noProof/>
          <w:highlight w:val="lightGray"/>
        </w:rPr>
      </w:pPr>
      <w:r>
        <w:rPr>
          <w:noProof/>
          <w:highlight w:val="lightGray"/>
        </w:rPr>
        <w:t xml:space="preserve">sikrer, </w:t>
      </w:r>
      <w:r>
        <w:rPr>
          <w:noProof/>
          <w:highlight w:val="lightGray"/>
        </w:rPr>
        <w:t xml:space="preserve">at oplysninger udveksles via den webbaserede platform til informationsudveksling, der er oprettet i henhold til artikel 9. </w:t>
      </w:r>
    </w:p>
    <w:p w:rsidR="00613CC4" w:rsidRDefault="00950A85">
      <w:pPr>
        <w:pStyle w:val="ManualNumPar1"/>
        <w:rPr>
          <w:noProof/>
          <w:highlight w:val="lightGray"/>
        </w:rPr>
      </w:pPr>
      <w:r>
        <w:rPr>
          <w:noProof/>
          <w:highlight w:val="lightGray"/>
        </w:rPr>
        <w:t>4.</w:t>
      </w:r>
      <w:r>
        <w:rPr>
          <w:noProof/>
          <w:highlight w:val="lightGray"/>
        </w:rPr>
        <w:tab/>
        <w:t xml:space="preserve">Med henblik på gennemførelse af de aktiviteter, der er omhandlet i stk. 2 og 3, kan medlemsstaterne modtage finansiel støtte fra </w:t>
      </w:r>
      <w:r>
        <w:rPr>
          <w:noProof/>
          <w:highlight w:val="lightGray"/>
        </w:rPr>
        <w:t>Unionen i henhold til forordning (EU) nr. 515/2014.</w:t>
      </w:r>
    </w:p>
    <w:p w:rsidR="00613CC4" w:rsidRDefault="00950A85">
      <w:pPr>
        <w:pStyle w:val="Titrearticle"/>
        <w:rPr>
          <w:noProof/>
          <w:highlight w:val="lightGray"/>
        </w:rPr>
      </w:pPr>
      <w:r>
        <w:rPr>
          <w:noProof/>
          <w:highlight w:val="lightGray"/>
        </w:rPr>
        <w:t>Artikel 9</w:t>
      </w:r>
    </w:p>
    <w:p w:rsidR="00613CC4" w:rsidRDefault="00950A85">
      <w:pPr>
        <w:jc w:val="center"/>
        <w:rPr>
          <w:b/>
          <w:noProof/>
          <w:highlight w:val="lightGray"/>
        </w:rPr>
      </w:pPr>
      <w:r>
        <w:rPr>
          <w:b/>
          <w:noProof/>
          <w:highlight w:val="lightGray"/>
        </w:rPr>
        <w:t>Platform til informationsudveksling</w:t>
      </w:r>
    </w:p>
    <w:p w:rsidR="00613CC4" w:rsidRDefault="00950A85">
      <w:pPr>
        <w:pStyle w:val="ManualNumPar1"/>
        <w:rPr>
          <w:noProof/>
          <w:highlight w:val="lightGray"/>
        </w:rPr>
      </w:pPr>
      <w:r>
        <w:rPr>
          <w:noProof/>
          <w:highlight w:val="lightGray"/>
        </w:rPr>
        <w:t>1.</w:t>
      </w:r>
      <w:r>
        <w:rPr>
          <w:noProof/>
          <w:highlight w:val="lightGray"/>
        </w:rPr>
        <w:tab/>
        <w:t>Indvandringsforbindelsesofficerer og medlemmer af styringsrådet sikrer, at alle relevante oplysninger og statistikker uploades og udveksles via den sikrede</w:t>
      </w:r>
      <w:r>
        <w:rPr>
          <w:noProof/>
          <w:highlight w:val="lightGray"/>
        </w:rPr>
        <w:t xml:space="preserve"> webbaserede platform til informationsudveksling, der oprettes og vedligeholdes af Kommissionen. Disse oplysninger skal som minimum omfatte følgende:</w:t>
      </w:r>
    </w:p>
    <w:p w:rsidR="00613CC4" w:rsidRDefault="00950A85">
      <w:pPr>
        <w:pStyle w:val="Point1letter"/>
        <w:numPr>
          <w:ilvl w:val="3"/>
          <w:numId w:val="20"/>
        </w:numPr>
        <w:rPr>
          <w:noProof/>
          <w:highlight w:val="lightGray"/>
        </w:rPr>
      </w:pPr>
      <w:r>
        <w:rPr>
          <w:noProof/>
          <w:highlight w:val="lightGray"/>
        </w:rPr>
        <w:t>relevante dokumenter, rapporter og analyseprodukter om indvandring, herunder navnlig faktuelle oplysninger</w:t>
      </w:r>
      <w:r>
        <w:rPr>
          <w:noProof/>
          <w:highlight w:val="lightGray"/>
        </w:rPr>
        <w:t xml:space="preserve"> om lande eller regioner, hvor indvandringsforbindelsesofficerer er udsendt</w:t>
      </w:r>
    </w:p>
    <w:p w:rsidR="00613CC4" w:rsidRDefault="00950A85">
      <w:pPr>
        <w:pStyle w:val="Point1letter"/>
        <w:rPr>
          <w:noProof/>
          <w:highlight w:val="lightGray"/>
        </w:rPr>
      </w:pPr>
      <w:r>
        <w:rPr>
          <w:noProof/>
          <w:highlight w:val="lightGray"/>
        </w:rPr>
        <w:t xml:space="preserve">toårige arbejdsprogrammer, toårige aktivitetsrapporter og resultater af aktiviteter og ad hoc-opgaver udført af netværk af indvandringsforbindelsesofficerer, jf. artikel 8, stk. 2 </w:t>
      </w:r>
      <w:r>
        <w:rPr>
          <w:noProof/>
          <w:highlight w:val="lightGray"/>
        </w:rPr>
        <w:t>og 3</w:t>
      </w:r>
    </w:p>
    <w:p w:rsidR="00613CC4" w:rsidRDefault="00950A85">
      <w:pPr>
        <w:pStyle w:val="Point1letter"/>
        <w:rPr>
          <w:noProof/>
          <w:highlight w:val="lightGray"/>
        </w:rPr>
      </w:pPr>
      <w:r>
        <w:rPr>
          <w:noProof/>
          <w:highlight w:val="lightGray"/>
        </w:rPr>
        <w:t>en ajourført liste over medlemmer af styringsrådet</w:t>
      </w:r>
    </w:p>
    <w:p w:rsidR="00613CC4" w:rsidRDefault="00950A85">
      <w:pPr>
        <w:pStyle w:val="Point1letter"/>
        <w:rPr>
          <w:noProof/>
          <w:highlight w:val="lightGray"/>
        </w:rPr>
      </w:pPr>
      <w:r>
        <w:rPr>
          <w:noProof/>
          <w:highlight w:val="lightGray"/>
        </w:rPr>
        <w:t>en ajourført liste over indvandringsforbindelsesofficerer, der er udsendt til tredjelande, herunder deres navne, placeringer, telefonnumre og e-mailadresser</w:t>
      </w:r>
    </w:p>
    <w:p w:rsidR="00613CC4" w:rsidRDefault="00950A85">
      <w:pPr>
        <w:pStyle w:val="Point1letter"/>
        <w:rPr>
          <w:noProof/>
          <w:highlight w:val="lightGray"/>
        </w:rPr>
      </w:pPr>
      <w:r>
        <w:rPr>
          <w:noProof/>
          <w:highlight w:val="lightGray"/>
        </w:rPr>
        <w:t>andre relevante dokumenter vedrørende styri</w:t>
      </w:r>
      <w:r>
        <w:rPr>
          <w:noProof/>
          <w:highlight w:val="lightGray"/>
        </w:rPr>
        <w:t>ngsrådets aktiviteter og beslutninger.</w:t>
      </w:r>
    </w:p>
    <w:p w:rsidR="00613CC4" w:rsidRDefault="00950A85">
      <w:pPr>
        <w:pStyle w:val="ManualNumPar1"/>
        <w:rPr>
          <w:noProof/>
          <w:highlight w:val="lightGray"/>
        </w:rPr>
      </w:pPr>
      <w:r>
        <w:rPr>
          <w:noProof/>
          <w:highlight w:val="lightGray"/>
        </w:rPr>
        <w:t>2.</w:t>
      </w:r>
      <w:r>
        <w:rPr>
          <w:noProof/>
          <w:highlight w:val="lightGray"/>
        </w:rPr>
        <w:tab/>
        <w:t>Med undtagelse af de oplysninger, der er omhandlet i stk. 1, litra c) og d), må de oplysninger, der udveksles via platformen, ikke indeholde personoplysninger eller links, hvorigennem sådanne personoplysninger er d</w:t>
      </w:r>
      <w:r>
        <w:rPr>
          <w:noProof/>
          <w:highlight w:val="lightGray"/>
        </w:rPr>
        <w:t>irekte eller indirekte tilgængelige. Adgang til de oplysninger, der er omhandlet i stk. 1, litra c) og d), skal være begrænset til indvandringsforbindelsesofficerer og medlemmer af styringsrådet med henblik på gennemførelsen af denne forordning.</w:t>
      </w:r>
    </w:p>
    <w:p w:rsidR="00613CC4" w:rsidRDefault="00950A85">
      <w:pPr>
        <w:pStyle w:val="Titrearticle"/>
        <w:rPr>
          <w:noProof/>
          <w:highlight w:val="lightGray"/>
        </w:rPr>
      </w:pPr>
      <w:r>
        <w:rPr>
          <w:noProof/>
          <w:highlight w:val="lightGray"/>
        </w:rPr>
        <w:t>Artikel 10</w:t>
      </w:r>
    </w:p>
    <w:p w:rsidR="00613CC4" w:rsidRDefault="00950A85">
      <w:pPr>
        <w:jc w:val="center"/>
        <w:rPr>
          <w:b/>
          <w:noProof/>
          <w:highlight w:val="lightGray"/>
        </w:rPr>
      </w:pPr>
      <w:r>
        <w:rPr>
          <w:b/>
          <w:noProof/>
          <w:highlight w:val="lightGray"/>
        </w:rPr>
        <w:t>Behandling af personoplysninger</w:t>
      </w:r>
    </w:p>
    <w:p w:rsidR="00613CC4" w:rsidRDefault="00950A85">
      <w:pPr>
        <w:pStyle w:val="ManualNumPar1"/>
        <w:rPr>
          <w:noProof/>
          <w:highlight w:val="lightGray"/>
        </w:rPr>
      </w:pPr>
      <w:r>
        <w:rPr>
          <w:noProof/>
          <w:highlight w:val="lightGray"/>
        </w:rPr>
        <w:t>1.</w:t>
      </w:r>
      <w:r>
        <w:rPr>
          <w:noProof/>
          <w:highlight w:val="lightGray"/>
        </w:rPr>
        <w:tab/>
        <w:t>Indvandringsforbindelsesofficerer udfører deres opgaver i overensstemmelse med de retlige bestemmelser om beskyttelse af personoplysninger, som er fastsat i EU-retten og national lovgivning og i internationale aftaler in</w:t>
      </w:r>
      <w:r>
        <w:rPr>
          <w:noProof/>
          <w:highlight w:val="lightGray"/>
        </w:rPr>
        <w:t>dgået med tredjelande eller internationale organisationer.</w:t>
      </w:r>
    </w:p>
    <w:p w:rsidR="00613CC4" w:rsidRDefault="00950A85">
      <w:pPr>
        <w:pStyle w:val="ManualNumPar1"/>
        <w:rPr>
          <w:noProof/>
          <w:highlight w:val="lightGray"/>
        </w:rPr>
      </w:pPr>
      <w:r>
        <w:rPr>
          <w:noProof/>
          <w:highlight w:val="lightGray"/>
        </w:rPr>
        <w:t>2.</w:t>
      </w:r>
      <w:r>
        <w:rPr>
          <w:noProof/>
          <w:highlight w:val="lightGray"/>
        </w:rPr>
        <w:tab/>
        <w:t xml:space="preserve">Indvandringsforbindelsesofficerer kan behandle personoplysninger med henblik på de opgaver, der er omhandlet i artikel 3, stk. 4. Personoplysningerne slettes efter opgavens afslutning. </w:t>
      </w:r>
    </w:p>
    <w:p w:rsidR="00613CC4" w:rsidRDefault="00950A85">
      <w:pPr>
        <w:pStyle w:val="ManualNumPar1"/>
        <w:rPr>
          <w:noProof/>
          <w:highlight w:val="lightGray"/>
        </w:rPr>
      </w:pPr>
      <w:r>
        <w:rPr>
          <w:noProof/>
          <w:highlight w:val="lightGray"/>
        </w:rPr>
        <w:t>3.</w:t>
      </w:r>
      <w:r>
        <w:rPr>
          <w:noProof/>
          <w:highlight w:val="lightGray"/>
        </w:rPr>
        <w:tab/>
        <w:t>Perso</w:t>
      </w:r>
      <w:r>
        <w:rPr>
          <w:noProof/>
          <w:highlight w:val="lightGray"/>
        </w:rPr>
        <w:t>noplysninger, der behandles i medfør af stk. 2, kan omfatte:</w:t>
      </w:r>
    </w:p>
    <w:p w:rsidR="00613CC4" w:rsidRDefault="00950A85">
      <w:pPr>
        <w:pStyle w:val="Point1letter"/>
        <w:numPr>
          <w:ilvl w:val="3"/>
          <w:numId w:val="19"/>
        </w:numPr>
        <w:rPr>
          <w:noProof/>
          <w:highlight w:val="lightGray"/>
        </w:rPr>
      </w:pPr>
      <w:r>
        <w:rPr>
          <w:noProof/>
          <w:highlight w:val="lightGray"/>
        </w:rPr>
        <w:t xml:space="preserve">biometriske eller biografiske oplysninger om nødvendigt for at bekræfte tredjelandsstatsborgeres identitet og statsborgerskab med henblik på tilbagesendelse, herunder alle former for dokumenter, </w:t>
      </w:r>
      <w:r>
        <w:rPr>
          <w:noProof/>
          <w:highlight w:val="lightGray"/>
        </w:rPr>
        <w:t>som kan anses for bevis eller umiddelbart vidnesbyrd for statsborgerskab</w:t>
      </w:r>
    </w:p>
    <w:p w:rsidR="00613CC4" w:rsidRDefault="00950A85">
      <w:pPr>
        <w:pStyle w:val="Point1letter"/>
        <w:rPr>
          <w:noProof/>
          <w:highlight w:val="lightGray"/>
        </w:rPr>
      </w:pPr>
      <w:r>
        <w:rPr>
          <w:noProof/>
          <w:highlight w:val="lightGray"/>
        </w:rPr>
        <w:t>passagerlister for tilbagesendelsesflyvninger til tredjelande</w:t>
      </w:r>
    </w:p>
    <w:p w:rsidR="00613CC4" w:rsidRDefault="00950A85">
      <w:pPr>
        <w:pStyle w:val="Point1letter"/>
        <w:rPr>
          <w:noProof/>
          <w:highlight w:val="lightGray"/>
        </w:rPr>
      </w:pPr>
      <w:r>
        <w:rPr>
          <w:noProof/>
          <w:highlight w:val="lightGray"/>
        </w:rPr>
        <w:t>biometriske eller biografiske oplysninger for at bekræfte tredjelandsstatsborgeres identitet og statsborgerskab med henbl</w:t>
      </w:r>
      <w:r>
        <w:rPr>
          <w:noProof/>
          <w:highlight w:val="lightGray"/>
        </w:rPr>
        <w:t xml:space="preserve">ik på lovlig indrejse og genbosætning af tredjelandsstatsborgere med behov for international beskyttelse.  </w:t>
      </w:r>
    </w:p>
    <w:p w:rsidR="00613CC4" w:rsidRDefault="00950A85">
      <w:pPr>
        <w:pStyle w:val="ManualNumPar1"/>
        <w:rPr>
          <w:noProof/>
          <w:highlight w:val="lightGray"/>
        </w:rPr>
      </w:pPr>
      <w:r>
        <w:rPr>
          <w:noProof/>
          <w:highlight w:val="lightGray"/>
        </w:rPr>
        <w:t>4.</w:t>
      </w:r>
      <w:r>
        <w:rPr>
          <w:noProof/>
          <w:highlight w:val="lightGray"/>
        </w:rPr>
        <w:tab/>
      </w:r>
      <w:r>
        <w:rPr>
          <w:noProof/>
          <w:highlight w:val="lightGray"/>
        </w:rPr>
        <w:t>Indvandringsforbindelsesofficerers overførsel af personoplysninger i medfør af denne artikel til tredjelande og internationale organisationer foretages i overensstemmelse med kapitel V i forordning (EU) nr. 2016/679 eller de nationale bestemmelser til genn</w:t>
      </w:r>
      <w:r>
        <w:rPr>
          <w:noProof/>
          <w:highlight w:val="lightGray"/>
        </w:rPr>
        <w:t xml:space="preserve">emførelse af kapitel V i direktiv (EU) 2016/680. </w:t>
      </w:r>
    </w:p>
    <w:p w:rsidR="00613CC4" w:rsidRDefault="00613CC4">
      <w:pPr>
        <w:pStyle w:val="CRSeparator"/>
        <w:rPr>
          <w:noProof/>
        </w:rPr>
      </w:pPr>
    </w:p>
    <w:p w:rsidR="00613CC4" w:rsidRDefault="00950A85">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493/2011, artikel 1, stk. 3</w:t>
      </w:r>
    </w:p>
    <w:p w:rsidR="00613CC4" w:rsidRDefault="00950A85">
      <w:pPr>
        <w:pStyle w:val="Titrearticle"/>
        <w:rPr>
          <w:rStyle w:val="CRRefonteDeleted"/>
          <w:noProof/>
          <w:highlight w:val="lightGray"/>
        </w:rPr>
      </w:pPr>
      <w:r>
        <w:rPr>
          <w:rStyle w:val="CRRefonteDeleted"/>
          <w:noProof/>
          <w:highlight w:val="lightGray"/>
        </w:rPr>
        <w:t>Artikel 6</w:t>
      </w:r>
    </w:p>
    <w:p w:rsidR="00613CC4" w:rsidRDefault="00950A85">
      <w:pPr>
        <w:rPr>
          <w:rStyle w:val="CRRefonteDeleted"/>
          <w:noProof/>
          <w:highlight w:val="lightGray"/>
        </w:rPr>
      </w:pPr>
      <w:r>
        <w:rPr>
          <w:rStyle w:val="CRRefonteDeleted"/>
          <w:noProof/>
          <w:highlight w:val="lightGray"/>
        </w:rPr>
        <w:t>1.</w:t>
      </w:r>
      <w:r>
        <w:rPr>
          <w:rStyle w:val="CRRefonteDeleted"/>
          <w:noProof/>
          <w:highlight w:val="lightGray"/>
        </w:rPr>
        <w:tab/>
        <w:t>Den medlemsstat, der varetager formandskabet for Rådet for Den Europæiske Union, eller, hvis denne medlemsstat ikke er repræsenteret i det pågældend</w:t>
      </w:r>
      <w:r>
        <w:rPr>
          <w:rStyle w:val="CRRefonteDeleted"/>
          <w:noProof/>
          <w:highlight w:val="lightGray"/>
        </w:rPr>
        <w:t xml:space="preserve">e land eller den pågældende region, den medlemsstat, der midlertidigt varetager formandskabet, udarbejder ved udgangen af hvert halvår en rapport til Europa-Parlamentet, Rådet og Kommissionen om aktiviteterne i indvandringsforbindelsesofficerernes netværk </w:t>
      </w:r>
      <w:r>
        <w:rPr>
          <w:rStyle w:val="CRRefonteDeleted"/>
          <w:noProof/>
          <w:highlight w:val="lightGray"/>
        </w:rPr>
        <w:t>i specifikke lande og/eller regioner af særlig interesse for Unionen, samt om situationen i de pågældende lande og/eller regioner, for så vidt angår emner i relation til ulovlig indvandring, under hensyntagen til alle relevante aspekter, herunder mennesker</w:t>
      </w:r>
      <w:r>
        <w:rPr>
          <w:rStyle w:val="CRRefonteDeleted"/>
          <w:noProof/>
          <w:highlight w:val="lightGray"/>
        </w:rPr>
        <w:t>ettigheder. Udvælgelsen af de specifikke lande og/eller regioner af særlig interesse for Unionen foretages efter drøftelser med medlemsstaterne og Kommissionen på grundlag af objektive migrationsindikatorer, såsom statistikker over ulovlig indvandring, ris</w:t>
      </w:r>
      <w:r>
        <w:rPr>
          <w:rStyle w:val="CRRefonteDeleted"/>
          <w:noProof/>
          <w:highlight w:val="lightGray"/>
        </w:rPr>
        <w:t>ikoanalyser og andre relevante oplysninger eller rapporter udarbejdet af Frontex og Det Europæiske Asylstøttekontor, og der tages hensyn til Unionens generelle politik for eksterne forbindelser.</w:t>
      </w:r>
    </w:p>
    <w:p w:rsidR="00613CC4" w:rsidRDefault="00950A85">
      <w:pPr>
        <w:rPr>
          <w:rStyle w:val="CRRefonteDeleted"/>
          <w:noProof/>
          <w:highlight w:val="lightGray"/>
        </w:rPr>
      </w:pPr>
      <w:r>
        <w:rPr>
          <w:rStyle w:val="CRRefonteDeleted"/>
          <w:noProof/>
          <w:highlight w:val="lightGray"/>
        </w:rPr>
        <w:t>2.</w:t>
      </w:r>
      <w:r>
        <w:rPr>
          <w:rStyle w:val="CRRefonteDeleted"/>
          <w:noProof/>
          <w:highlight w:val="lightGray"/>
        </w:rPr>
        <w:tab/>
        <w:t>Medlemsstaternes rapporter i stk. 1 udarbejdes efter den m</w:t>
      </w:r>
      <w:r>
        <w:rPr>
          <w:rStyle w:val="CRRefonteDeleted"/>
          <w:noProof/>
          <w:highlight w:val="lightGray"/>
        </w:rPr>
        <w:t>odel, der er fastlagt ved Kommissionens beslutning 2005/687/EF af 29. september 2005 om formatet for rapporterne om aktiviteterne i indvandringsforbindelsesofficerernes netværk og om situationen i værtslandet, for så vidt angår emner i relation til illegal</w:t>
      </w:r>
      <w:r>
        <w:rPr>
          <w:rStyle w:val="CRRefonteDeleted"/>
          <w:noProof/>
          <w:highlight w:val="lightGray"/>
        </w:rPr>
        <w:t xml:space="preserve"> indvandring</w:t>
      </w:r>
      <w:r>
        <w:rPr>
          <w:rStyle w:val="CRRefonteDeleted"/>
          <w:noProof/>
          <w:highlight w:val="lightGray"/>
          <w:vertAlign w:val="superscript"/>
          <w:lang w:eastAsia="en-GB"/>
        </w:rPr>
        <w:footnoteReference w:id="35"/>
      </w:r>
      <w:r>
        <w:rPr>
          <w:rStyle w:val="CRRefonteDeleted"/>
          <w:noProof/>
          <w:highlight w:val="lightGray"/>
        </w:rPr>
        <w:t xml:space="preserve"> og skal indeholde angivelse af de relevante udvælgelseskriterier.</w:t>
      </w:r>
    </w:p>
    <w:p w:rsidR="00613CC4" w:rsidRDefault="00950A85">
      <w:pPr>
        <w:rPr>
          <w:rStyle w:val="CRRefonteDeleted"/>
          <w:noProof/>
          <w:highlight w:val="lightGray"/>
        </w:rPr>
      </w:pPr>
      <w:r>
        <w:rPr>
          <w:rStyle w:val="CRRefonteDeleted"/>
          <w:noProof/>
          <w:highlight w:val="lightGray"/>
        </w:rPr>
        <w:t>3.</w:t>
      </w:r>
      <w:r>
        <w:rPr>
          <w:rStyle w:val="CRRefonteDeleted"/>
          <w:noProof/>
          <w:highlight w:val="lightGray"/>
        </w:rPr>
        <w:tab/>
        <w:t xml:space="preserve">Kommissionen forelægger årligt på grundlag af medlemsstaternes rapporter i stk. 1, og om fornødent under hensyntagen til menneskerettighedsaspekter, Europa-Parlamentet og </w:t>
      </w:r>
      <w:r>
        <w:rPr>
          <w:rStyle w:val="CRRefonteDeleted"/>
          <w:noProof/>
          <w:highlight w:val="lightGray"/>
        </w:rPr>
        <w:t>Rådet en faktuel oversigt over og efter behov henstillinger om udviklingen med hensyn til indvandringsforbindelsesofficerernes netværk.</w:t>
      </w:r>
    </w:p>
    <w:p w:rsidR="00613CC4" w:rsidRDefault="00613CC4">
      <w:pPr>
        <w:pStyle w:val="CRSeparator"/>
        <w:rPr>
          <w:noProof/>
        </w:rPr>
      </w:pPr>
    </w:p>
    <w:p w:rsidR="00613CC4" w:rsidRDefault="00950A85">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(tilpasset)</w:t>
      </w:r>
    </w:p>
    <w:p w:rsidR="00613CC4" w:rsidRDefault="00950A85">
      <w:pPr>
        <w:pStyle w:val="Titrearticle"/>
        <w:rPr>
          <w:noProof/>
        </w:rPr>
      </w:pPr>
      <w:r>
        <w:rPr>
          <w:noProof/>
        </w:rPr>
        <w:t xml:space="preserve">Artikel </w:t>
      </w:r>
      <w:r>
        <w:rPr>
          <w:rStyle w:val="CRMinorChangeAdded"/>
          <w:noProof/>
        </w:rPr>
        <w:t>11</w:t>
      </w:r>
      <w:r>
        <w:rPr>
          <w:rStyle w:val="CRMinorChangeDeleted"/>
          <w:noProof/>
        </w:rPr>
        <w:t>7</w:t>
      </w:r>
    </w:p>
    <w:p w:rsidR="00613CC4" w:rsidRDefault="00950A85">
      <w:pPr>
        <w:jc w:val="center"/>
        <w:rPr>
          <w:b/>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noProof/>
        </w:rPr>
        <w:t>Konsulært samarbeje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613CC4" w:rsidRDefault="00950A85">
      <w:pPr>
        <w:rPr>
          <w:noProof/>
        </w:rPr>
      </w:pPr>
      <w:r>
        <w:rPr>
          <w:noProof/>
        </w:rPr>
        <w:t>Denne forordning b</w:t>
      </w:r>
      <w:r>
        <w:rPr>
          <w:noProof/>
        </w:rPr>
        <w:t xml:space="preserve">erører ikke bestemmelserne om konsulært samarbejde på lokalt plan 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forordning (EF) nr. 810/2009 om en fællesskabskodeks for visa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613CC4" w:rsidRDefault="00613CC4">
      <w:pPr>
        <w:pStyle w:val="CRSeparator"/>
        <w:rPr>
          <w:noProof/>
        </w:rPr>
      </w:pPr>
    </w:p>
    <w:p w:rsidR="00613CC4" w:rsidRDefault="00950A85">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nyt</w:t>
      </w:r>
    </w:p>
    <w:p w:rsidR="00613CC4" w:rsidRDefault="00950A85">
      <w:pPr>
        <w:pStyle w:val="Titrearticle"/>
        <w:rPr>
          <w:noProof/>
          <w:highlight w:val="lightGray"/>
        </w:rPr>
      </w:pPr>
      <w:r>
        <w:rPr>
          <w:noProof/>
          <w:highlight w:val="lightGray"/>
        </w:rPr>
        <w:t>Artikel 12</w:t>
      </w:r>
    </w:p>
    <w:p w:rsidR="00613CC4" w:rsidRDefault="00950A85">
      <w:pPr>
        <w:jc w:val="center"/>
        <w:rPr>
          <w:b/>
          <w:noProof/>
          <w:highlight w:val="lightGray"/>
        </w:rPr>
      </w:pPr>
      <w:r>
        <w:rPr>
          <w:b/>
          <w:noProof/>
          <w:highlight w:val="lightGray"/>
        </w:rPr>
        <w:t>Rapport</w:t>
      </w:r>
    </w:p>
    <w:p w:rsidR="00613CC4" w:rsidRDefault="00950A85">
      <w:pPr>
        <w:pStyle w:val="ManualNumPar1"/>
        <w:rPr>
          <w:noProof/>
          <w:highlight w:val="lightGray"/>
        </w:rPr>
      </w:pPr>
      <w:r>
        <w:rPr>
          <w:noProof/>
          <w:highlight w:val="lightGray"/>
        </w:rPr>
        <w:t>1.</w:t>
      </w:r>
      <w:r>
        <w:rPr>
          <w:noProof/>
          <w:highlight w:val="lightGray"/>
        </w:rPr>
        <w:tab/>
        <w:t xml:space="preserve">Fem år efter denne forordnings vedtagelse </w:t>
      </w:r>
      <w:r>
        <w:rPr>
          <w:noProof/>
          <w:highlight w:val="lightGray"/>
        </w:rPr>
        <w:t>forelægger Kommissionen en rapport for Europa-Parlamentet og Rådet om anvendelsen af forordningen.</w:t>
      </w:r>
    </w:p>
    <w:p w:rsidR="00613CC4" w:rsidRDefault="00950A85">
      <w:pPr>
        <w:pStyle w:val="Point0"/>
        <w:rPr>
          <w:noProof/>
          <w:highlight w:val="lightGray"/>
        </w:rPr>
      </w:pPr>
      <w:r>
        <w:rPr>
          <w:noProof/>
          <w:highlight w:val="lightGray"/>
        </w:rPr>
        <w:t>2.</w:t>
      </w:r>
      <w:r>
        <w:rPr>
          <w:noProof/>
          <w:highlight w:val="lightGray"/>
        </w:rPr>
        <w:tab/>
        <w:t>Medlemsstaterne forsyner Kommissionen med de nødvendige oplysninger i forbindelse med udarbejdelsen af rapporten om anvendelsen af forordningen.</w:t>
      </w:r>
    </w:p>
    <w:p w:rsidR="00613CC4" w:rsidRDefault="00613CC4">
      <w:pPr>
        <w:pStyle w:val="CRSeparator"/>
        <w:rPr>
          <w:noProof/>
        </w:rPr>
      </w:pPr>
    </w:p>
    <w:p w:rsidR="00613CC4" w:rsidRDefault="00950A85">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w:t>
      </w:r>
    </w:p>
    <w:p w:rsidR="00613CC4" w:rsidRDefault="00950A85">
      <w:pPr>
        <w:pStyle w:val="Titrearticle"/>
        <w:rPr>
          <w:noProof/>
        </w:rPr>
      </w:pPr>
      <w:r>
        <w:rPr>
          <w:noProof/>
        </w:rPr>
        <w:t>Artikel 13</w:t>
      </w:r>
    </w:p>
    <w:p w:rsidR="00613CC4" w:rsidRDefault="00950A85">
      <w:pPr>
        <w:pStyle w:val="NormalCentered"/>
        <w:rPr>
          <w:b/>
          <w:noProof/>
        </w:rPr>
      </w:pPr>
      <w:r>
        <w:rPr>
          <w:b/>
          <w:noProof/>
        </w:rPr>
        <w:t>Ophævelse</w:t>
      </w:r>
    </w:p>
    <w:p w:rsidR="00613CC4" w:rsidRDefault="00950A85">
      <w:pPr>
        <w:rPr>
          <w:noProof/>
        </w:rPr>
      </w:pPr>
      <w:r>
        <w:rPr>
          <w:noProof/>
        </w:rPr>
        <w:t xml:space="preserve">Forordning (EF) nr. 377/2004 </w:t>
      </w:r>
      <w:r>
        <w:rPr>
          <w:noProof/>
          <w:snapToGrid w:val="0"/>
        </w:rPr>
        <w:t>ophæves</w:t>
      </w:r>
      <w:r>
        <w:rPr>
          <w:noProof/>
        </w:rPr>
        <w:t>.</w:t>
      </w:r>
    </w:p>
    <w:p w:rsidR="00613CC4" w:rsidRDefault="00950A85">
      <w:pPr>
        <w:pStyle w:val="CRSeparator"/>
        <w:rPr>
          <w:noProof/>
        </w:rPr>
      </w:pPr>
      <w:r>
        <w:rPr>
          <w:noProof/>
          <w:snapToGrid w:val="0"/>
        </w:rPr>
        <w:t>Henvisninger til den ophævede forordning gælder som henvisninger til nærværende forordning og læses efter sammenligningstabellen i bilag I</w:t>
      </w:r>
      <w:r>
        <w:rPr>
          <w:noProof/>
        </w:rPr>
        <w:t>.</w:t>
      </w:r>
    </w:p>
    <w:p w:rsidR="00613CC4" w:rsidRDefault="00950A85">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(tilpasset)</w:t>
      </w:r>
    </w:p>
    <w:p w:rsidR="00613CC4" w:rsidRDefault="00950A85">
      <w:pPr>
        <w:pStyle w:val="Titrearticle"/>
        <w:rPr>
          <w:noProof/>
        </w:rPr>
      </w:pPr>
      <w:r>
        <w:rPr>
          <w:noProof/>
        </w:rPr>
        <w:t xml:space="preserve">Artikel </w:t>
      </w:r>
      <w:r>
        <w:rPr>
          <w:rStyle w:val="CRMinorChangeAdded"/>
          <w:noProof/>
        </w:rPr>
        <w:t>14</w:t>
      </w:r>
      <w:r>
        <w:rPr>
          <w:rStyle w:val="CRMinorChangeDeleted"/>
          <w:noProof/>
        </w:rPr>
        <w:t>8</w:t>
      </w:r>
    </w:p>
    <w:p w:rsidR="00613CC4" w:rsidRDefault="00950A85">
      <w:pPr>
        <w:pStyle w:val="NormalCentered"/>
        <w:rPr>
          <w:b/>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noProof/>
        </w:rPr>
        <w:t>Ikrafttræden</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613CC4" w:rsidRDefault="00950A85">
      <w:pPr>
        <w:rPr>
          <w:noProof/>
        </w:rPr>
      </w:pPr>
      <w:r>
        <w:rPr>
          <w:noProof/>
        </w:rPr>
        <w:t xml:space="preserve">Denne forordning træder i kraft den </w:t>
      </w:r>
      <w:r>
        <w:rPr>
          <w:rStyle w:val="CRDeleted"/>
          <w:noProof/>
        </w:rPr>
        <w:t>5. januar 2004</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på tyvendedagen efter offentliggørelsen i </w:t>
      </w:r>
      <w:r>
        <w:rPr>
          <w:i/>
          <w:iCs/>
          <w:noProof/>
        </w:rPr>
        <w:t>Den Europæiske Unions Tidende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rsidR="00613CC4" w:rsidRDefault="00950A85">
      <w:pPr>
        <w:pStyle w:val="Applicationdirecte"/>
        <w:keepNext/>
        <w:keepLines/>
        <w:rPr>
          <w:noProof/>
        </w:rPr>
      </w:pPr>
      <w:r>
        <w:rPr>
          <w:noProof/>
        </w:rPr>
        <w:t xml:space="preserve">Denne forordning er bindende i alle enkeltheder og gælder umiddelbart i medlemsstaterne i overensstemmelse med </w:t>
      </w:r>
      <w:r>
        <w:rPr>
          <w:rStyle w:val="CRDeleted"/>
          <w:noProof/>
        </w:rPr>
        <w:t>traktaten om oprettelse af Det Europæiske Fællesskab</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traktaterne.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613CC4" w:rsidRDefault="00950A85">
      <w:pPr>
        <w:pStyle w:val="Fait"/>
        <w:rPr>
          <w:noProof/>
        </w:rPr>
      </w:pPr>
      <w:r>
        <w:t xml:space="preserve">Udfærdiget i Bruxelles, den </w:t>
      </w:r>
      <w:r>
        <w:rPr>
          <w:rStyle w:val="Marker"/>
        </w:rPr>
        <w:t>[…]</w:t>
      </w:r>
      <w:r>
        <w:t>.</w:t>
      </w:r>
    </w:p>
    <w:p w:rsidR="00613CC4" w:rsidRDefault="00950A85">
      <w:pPr>
        <w:pStyle w:val="Institutionquisigne"/>
        <w:rPr>
          <w:noProof/>
        </w:rPr>
      </w:pPr>
      <w:r>
        <w:rPr>
          <w:noProof/>
        </w:rPr>
        <w:t>På Europa-Parl</w:t>
      </w:r>
      <w:r>
        <w:rPr>
          <w:noProof/>
        </w:rPr>
        <w:t>amentets vegne</w:t>
      </w:r>
      <w:r>
        <w:rPr>
          <w:noProof/>
        </w:rPr>
        <w:tab/>
        <w:t>På Rådets vegne</w:t>
      </w:r>
    </w:p>
    <w:p w:rsidR="00613CC4" w:rsidRDefault="00950A85">
      <w:pPr>
        <w:pStyle w:val="Personnequisigne"/>
        <w:rPr>
          <w:noProof/>
        </w:rPr>
      </w:pPr>
      <w:r>
        <w:rPr>
          <w:noProof/>
        </w:rPr>
        <w:t>Formand</w:t>
      </w:r>
      <w:r>
        <w:rPr>
          <w:noProof/>
        </w:rPr>
        <w:tab/>
        <w:t>Formand</w:t>
      </w:r>
    </w:p>
    <w:p w:rsidR="00613CC4" w:rsidRDefault="00950A85">
      <w:pPr>
        <w:pStyle w:val="Fichefinanciretitre"/>
        <w:rPr>
          <w:noProof/>
        </w:rPr>
      </w:pPr>
      <w:r>
        <w:rPr>
          <w:noProof/>
        </w:rPr>
        <w:br w:type="page"/>
        <w:t>FINANSIERINGSOVERSIGT</w:t>
      </w:r>
    </w:p>
    <w:p w:rsidR="00613CC4" w:rsidRDefault="00950A85">
      <w:pPr>
        <w:pStyle w:val="ManualHeading1"/>
        <w:rPr>
          <w:noProof/>
        </w:rPr>
      </w:pPr>
      <w:r>
        <w:t>1.</w:t>
      </w:r>
      <w:r>
        <w:tab/>
      </w:r>
      <w:r>
        <w:rPr>
          <w:noProof/>
        </w:rPr>
        <w:t xml:space="preserve">FORSLAGETS/INITIATIVETS RAMME </w:t>
      </w:r>
    </w:p>
    <w:p w:rsidR="00613CC4" w:rsidRDefault="00950A85">
      <w:pPr>
        <w:pStyle w:val="ManualHeading2"/>
        <w:rPr>
          <w:noProof/>
        </w:rPr>
      </w:pPr>
      <w:r>
        <w:t>1.1.</w:t>
      </w:r>
      <w:r>
        <w:tab/>
      </w:r>
      <w:r>
        <w:rPr>
          <w:noProof/>
        </w:rPr>
        <w:t xml:space="preserve">Forslagets/initiativets betegnelse </w:t>
      </w:r>
    </w:p>
    <w:p w:rsidR="00613CC4" w:rsidRDefault="00950A85">
      <w:pPr>
        <w:pStyle w:val="Text1"/>
        <w:pBdr>
          <w:top w:val="single" w:sz="4" w:space="1" w:color="auto"/>
          <w:left w:val="single" w:sz="4" w:space="4" w:color="auto"/>
          <w:bottom w:val="single" w:sz="4" w:space="1" w:color="auto"/>
          <w:right w:val="single" w:sz="4" w:space="4" w:color="auto"/>
        </w:pBdr>
        <w:rPr>
          <w:noProof/>
        </w:rPr>
      </w:pPr>
      <w:r>
        <w:rPr>
          <w:noProof/>
        </w:rPr>
        <w:t xml:space="preserve">Forslag til Europa-Parlamentets og Rådets forordning om oprettelse af et europæisk netværk af indvandringsforbindelsesofficerer (omarbejdning) </w:t>
      </w:r>
    </w:p>
    <w:p w:rsidR="00613CC4" w:rsidRDefault="00950A85">
      <w:pPr>
        <w:pStyle w:val="ManualHeading2"/>
        <w:rPr>
          <w:noProof/>
          <w:szCs w:val="24"/>
        </w:rPr>
      </w:pPr>
      <w:r>
        <w:t>1.2.</w:t>
      </w:r>
      <w:r>
        <w:tab/>
      </w:r>
      <w:r>
        <w:rPr>
          <w:noProof/>
        </w:rPr>
        <w:t>Berørt(e) politikområde(r) inden for ABM/ABB-strukturen</w:t>
      </w:r>
      <w:r>
        <w:rPr>
          <w:rStyle w:val="FootnoteReference"/>
          <w:noProof/>
        </w:rPr>
        <w:footnoteReference w:id="36"/>
      </w:r>
      <w:r>
        <w:rPr>
          <w:i/>
          <w:noProof/>
        </w:rPr>
        <w:t xml:space="preserve"> </w:t>
      </w:r>
    </w:p>
    <w:p w:rsidR="00613CC4" w:rsidRDefault="00950A85">
      <w:pPr>
        <w:pStyle w:val="Text1"/>
        <w:pBdr>
          <w:top w:val="single" w:sz="4" w:space="1" w:color="auto"/>
          <w:left w:val="single" w:sz="4" w:space="4" w:color="auto"/>
          <w:bottom w:val="single" w:sz="4" w:space="1" w:color="auto"/>
          <w:right w:val="single" w:sz="4" w:space="4" w:color="auto"/>
        </w:pBdr>
        <w:rPr>
          <w:noProof/>
        </w:rPr>
      </w:pPr>
      <w:r>
        <w:rPr>
          <w:noProof/>
        </w:rPr>
        <w:t>Det berørte politikområde er migration og mere sp</w:t>
      </w:r>
      <w:r>
        <w:rPr>
          <w:noProof/>
        </w:rPr>
        <w:t>ecifikt politikken til at mindske incitamenterne til ulovlig indvandring og bekæmpelse af smugling af migranter og menneskehandel.</w:t>
      </w:r>
    </w:p>
    <w:p w:rsidR="00613CC4" w:rsidRDefault="00950A85">
      <w:pPr>
        <w:pStyle w:val="ManualHeading2"/>
        <w:rPr>
          <w:bCs/>
          <w:noProof/>
          <w:szCs w:val="24"/>
        </w:rPr>
      </w:pPr>
      <w:r>
        <w:t>1.3.</w:t>
      </w:r>
      <w:r>
        <w:tab/>
      </w:r>
      <w:r>
        <w:rPr>
          <w:noProof/>
        </w:rPr>
        <w:t xml:space="preserve">Forslagets/initiativets art </w:t>
      </w:r>
    </w:p>
    <w:p w:rsidR="00613CC4" w:rsidRDefault="00950A85">
      <w:pPr>
        <w:pStyle w:val="Text1"/>
        <w:rPr>
          <w:b/>
          <w:noProof/>
          <w:sz w:val="22"/>
        </w:rPr>
      </w:pPr>
      <w:r>
        <w:rPr>
          <w:noProof/>
          <w:sz w:val="22"/>
        </w:rPr>
        <w:sym w:font="Wingdings" w:char="F0A8"/>
      </w:r>
      <w:r>
        <w:rPr>
          <w:b/>
          <w:i/>
          <w:noProof/>
          <w:sz w:val="22"/>
        </w:rPr>
        <w:t xml:space="preserve"> </w:t>
      </w:r>
      <w:r>
        <w:rPr>
          <w:noProof/>
        </w:rPr>
        <w:t xml:space="preserve">Forslaget/initiativet vedrører </w:t>
      </w:r>
      <w:r>
        <w:rPr>
          <w:b/>
          <w:noProof/>
        </w:rPr>
        <w:t>en ny foranstaltning</w:t>
      </w:r>
      <w:r>
        <w:rPr>
          <w:b/>
          <w:noProof/>
          <w:sz w:val="22"/>
        </w:rPr>
        <w:t xml:space="preserve"> </w:t>
      </w:r>
    </w:p>
    <w:p w:rsidR="00613CC4" w:rsidRDefault="00950A85">
      <w:pPr>
        <w:pStyle w:val="Text1"/>
        <w:rPr>
          <w:noProof/>
          <w:sz w:val="22"/>
        </w:rPr>
      </w:pPr>
      <w:r>
        <w:rPr>
          <w:noProof/>
          <w:sz w:val="22"/>
        </w:rPr>
        <w:sym w:font="Wingdings" w:char="F0A8"/>
      </w:r>
      <w:r>
        <w:rPr>
          <w:i/>
          <w:noProof/>
          <w:sz w:val="22"/>
        </w:rPr>
        <w:t xml:space="preserve"> </w:t>
      </w:r>
      <w:r>
        <w:rPr>
          <w:noProof/>
        </w:rPr>
        <w:t xml:space="preserve">Forslaget/initiativet vedrører </w:t>
      </w:r>
      <w:r>
        <w:rPr>
          <w:b/>
          <w:noProof/>
        </w:rPr>
        <w:t xml:space="preserve">en </w:t>
      </w:r>
      <w:r>
        <w:rPr>
          <w:b/>
          <w:noProof/>
        </w:rPr>
        <w:t>ny foranstaltning som opfølgning på et pilotprojekt/en forberedende foranstaltning</w:t>
      </w:r>
      <w:r>
        <w:rPr>
          <w:rStyle w:val="FootnoteReference"/>
          <w:b/>
          <w:noProof/>
        </w:rPr>
        <w:footnoteReference w:id="37"/>
      </w:r>
      <w:r>
        <w:rPr>
          <w:noProof/>
          <w:sz w:val="22"/>
        </w:rPr>
        <w:t xml:space="preserve"> </w:t>
      </w:r>
    </w:p>
    <w:p w:rsidR="00613CC4" w:rsidRDefault="00950A85">
      <w:pPr>
        <w:pStyle w:val="Text1"/>
        <w:rPr>
          <w:noProof/>
          <w:sz w:val="22"/>
        </w:rPr>
      </w:pPr>
      <w:r>
        <w:rPr>
          <w:noProof/>
          <w:sz w:val="22"/>
        </w:rPr>
        <w:sym w:font="Wingdings" w:char="F0A8"/>
      </w:r>
      <w:r>
        <w:rPr>
          <w:i/>
          <w:noProof/>
          <w:sz w:val="22"/>
        </w:rPr>
        <w:t xml:space="preserve"> </w:t>
      </w:r>
      <w:r>
        <w:rPr>
          <w:noProof/>
        </w:rPr>
        <w:t xml:space="preserve">Forslaget/initiativet vedrører en </w:t>
      </w:r>
      <w:r>
        <w:rPr>
          <w:b/>
          <w:noProof/>
        </w:rPr>
        <w:t>forlængelse af en eksisterende foranstaltning</w:t>
      </w:r>
      <w:r>
        <w:rPr>
          <w:noProof/>
          <w:sz w:val="22"/>
        </w:rPr>
        <w:t xml:space="preserve"> </w:t>
      </w:r>
    </w:p>
    <w:p w:rsidR="00613CC4" w:rsidRDefault="00950A85">
      <w:pPr>
        <w:pStyle w:val="Text1"/>
        <w:rPr>
          <w:noProof/>
        </w:rPr>
      </w:pPr>
      <w:r>
        <w:rPr>
          <w:noProof/>
          <w:sz w:val="22"/>
        </w:rPr>
        <w:t>X</w:t>
      </w:r>
      <w:r>
        <w:rPr>
          <w:i/>
          <w:noProof/>
          <w:sz w:val="22"/>
        </w:rPr>
        <w:t xml:space="preserve"> </w:t>
      </w:r>
      <w:r>
        <w:rPr>
          <w:noProof/>
        </w:rPr>
        <w:t xml:space="preserve">Forslaget/initiativet vedrører </w:t>
      </w:r>
      <w:r>
        <w:rPr>
          <w:b/>
          <w:noProof/>
        </w:rPr>
        <w:t>en omlægning af en foranstaltning til en ny foranstaltn</w:t>
      </w:r>
      <w:r>
        <w:rPr>
          <w:b/>
          <w:noProof/>
        </w:rPr>
        <w:t>ing</w:t>
      </w:r>
      <w:r>
        <w:rPr>
          <w:noProof/>
        </w:rPr>
        <w:t xml:space="preserve"> </w:t>
      </w:r>
    </w:p>
    <w:p w:rsidR="00613CC4" w:rsidRDefault="00950A85">
      <w:pPr>
        <w:pStyle w:val="ManualHeading2"/>
        <w:rPr>
          <w:bCs/>
          <w:noProof/>
          <w:szCs w:val="24"/>
        </w:rPr>
      </w:pPr>
      <w:r>
        <w:t>1.4.</w:t>
      </w:r>
      <w:r>
        <w:tab/>
      </w:r>
      <w:r>
        <w:rPr>
          <w:noProof/>
        </w:rPr>
        <w:t>Mål</w:t>
      </w:r>
    </w:p>
    <w:p w:rsidR="00613CC4" w:rsidRDefault="00950A85">
      <w:pPr>
        <w:pStyle w:val="ManualHeading3"/>
        <w:rPr>
          <w:noProof/>
        </w:rPr>
      </w:pPr>
      <w:r>
        <w:t>1.4.1.</w:t>
      </w:r>
      <w:r>
        <w:tab/>
      </w:r>
      <w:r>
        <w:rPr>
          <w:noProof/>
        </w:rPr>
        <w:t xml:space="preserve">Det eller de af Kommissionens flerårige strategiske mål, som forslaget/initiativet vedrører </w:t>
      </w:r>
    </w:p>
    <w:p w:rsidR="00613CC4" w:rsidRDefault="00950A85">
      <w:pPr>
        <w:pStyle w:val="Text1"/>
        <w:pBdr>
          <w:top w:val="single" w:sz="4" w:space="1" w:color="auto"/>
          <w:left w:val="single" w:sz="4" w:space="4" w:color="auto"/>
          <w:bottom w:val="single" w:sz="4" w:space="1" w:color="auto"/>
          <w:right w:val="single" w:sz="4" w:space="4" w:color="auto"/>
        </w:pBdr>
        <w:rPr>
          <w:noProof/>
        </w:rPr>
      </w:pPr>
      <w:r>
        <w:rPr>
          <w:noProof/>
        </w:rPr>
        <w:t xml:space="preserve">Mod en ny migrationspolitik </w:t>
      </w:r>
    </w:p>
    <w:p w:rsidR="00613CC4" w:rsidRDefault="00950A85">
      <w:pPr>
        <w:pStyle w:val="ManualHeading3"/>
        <w:rPr>
          <w:bCs/>
          <w:noProof/>
          <w:szCs w:val="24"/>
        </w:rPr>
      </w:pPr>
      <w:r>
        <w:t>1.4.2.</w:t>
      </w:r>
      <w:r>
        <w:tab/>
      </w:r>
      <w:r>
        <w:rPr>
          <w:noProof/>
        </w:rPr>
        <w:t xml:space="preserve">Specifikke mål og berørte ABM/ABB-aktiviteter </w:t>
      </w:r>
    </w:p>
    <w:p w:rsidR="00613CC4" w:rsidRDefault="00950A85">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Specifikt mål nr. 1.1</w:t>
      </w:r>
    </w:p>
    <w:p w:rsidR="00613CC4" w:rsidRDefault="00950A85">
      <w:pPr>
        <w:pStyle w:val="Text1"/>
        <w:pBdr>
          <w:top w:val="single" w:sz="4" w:space="1" w:color="auto"/>
          <w:left w:val="single" w:sz="4" w:space="4" w:color="auto"/>
          <w:bottom w:val="single" w:sz="4" w:space="1" w:color="auto"/>
          <w:right w:val="single" w:sz="4" w:space="4" w:color="auto"/>
        </w:pBdr>
        <w:rPr>
          <w:noProof/>
        </w:rPr>
      </w:pPr>
      <w:r>
        <w:rPr>
          <w:noProof/>
        </w:rPr>
        <w:t>Mindske incitamenterne til ulovlig in</w:t>
      </w:r>
      <w:r>
        <w:rPr>
          <w:noProof/>
        </w:rPr>
        <w:t>dvandring</w:t>
      </w:r>
    </w:p>
    <w:p w:rsidR="00613CC4" w:rsidRDefault="00950A85">
      <w:pPr>
        <w:pStyle w:val="Text1"/>
        <w:pBdr>
          <w:top w:val="single" w:sz="4" w:space="1" w:color="auto"/>
          <w:left w:val="single" w:sz="4" w:space="4" w:color="auto"/>
          <w:bottom w:val="single" w:sz="4" w:space="1" w:color="auto"/>
          <w:right w:val="single" w:sz="4" w:space="4" w:color="auto"/>
        </w:pBdr>
        <w:rPr>
          <w:noProof/>
          <w:u w:val="single"/>
        </w:rPr>
      </w:pPr>
      <w:r>
        <w:rPr>
          <w:noProof/>
          <w:u w:val="single"/>
        </w:rPr>
        <w:t>Berørte ABM/ABB-aktiviteter</w:t>
      </w:r>
    </w:p>
    <w:p w:rsidR="00613CC4" w:rsidRDefault="00950A85">
      <w:pPr>
        <w:pStyle w:val="Text1"/>
        <w:pBdr>
          <w:top w:val="single" w:sz="4" w:space="1" w:color="auto"/>
          <w:left w:val="single" w:sz="4" w:space="4" w:color="auto"/>
          <w:bottom w:val="single" w:sz="4" w:space="1" w:color="auto"/>
          <w:right w:val="single" w:sz="4" w:space="4" w:color="auto"/>
        </w:pBdr>
        <w:rPr>
          <w:noProof/>
        </w:rPr>
      </w:pPr>
      <w:r>
        <w:rPr>
          <w:noProof/>
        </w:rPr>
        <w:t>Forslag til en revision af forordningen om indvandringsforbindelsesofficerer</w:t>
      </w:r>
    </w:p>
    <w:p w:rsidR="00613CC4" w:rsidRDefault="00950A85">
      <w:pPr>
        <w:pStyle w:val="ManualHeading3"/>
        <w:rPr>
          <w:bCs/>
          <w:noProof/>
          <w:szCs w:val="24"/>
        </w:rPr>
      </w:pPr>
      <w:r>
        <w:rPr>
          <w:noProof/>
        </w:rPr>
        <w:br w:type="page"/>
      </w:r>
      <w:r>
        <w:t>1.4.3.</w:t>
      </w:r>
      <w:r>
        <w:tab/>
      </w:r>
      <w:r>
        <w:rPr>
          <w:noProof/>
        </w:rPr>
        <w:t>Forventede resultater og virkninger</w:t>
      </w:r>
    </w:p>
    <w:p w:rsidR="00613CC4" w:rsidRDefault="00950A85">
      <w:pPr>
        <w:pStyle w:val="Text1"/>
        <w:rPr>
          <w:i/>
          <w:noProof/>
          <w:sz w:val="20"/>
        </w:rPr>
      </w:pPr>
      <w:r>
        <w:rPr>
          <w:i/>
          <w:noProof/>
          <w:sz w:val="20"/>
        </w:rPr>
        <w:t>Angiv, hvilke virkninger forslaget/initiativet forventes at få for modtagerne/målgruppen</w:t>
      </w:r>
    </w:p>
    <w:p w:rsidR="00613CC4" w:rsidRDefault="00950A85">
      <w:pPr>
        <w:pStyle w:val="Text1"/>
        <w:pBdr>
          <w:top w:val="single" w:sz="4" w:space="1" w:color="auto"/>
          <w:left w:val="single" w:sz="4" w:space="4" w:color="auto"/>
          <w:bottom w:val="single" w:sz="4" w:space="1" w:color="auto"/>
          <w:right w:val="single" w:sz="4" w:space="4" w:color="auto"/>
        </w:pBdr>
        <w:rPr>
          <w:noProof/>
        </w:rPr>
      </w:pPr>
      <w:r>
        <w:rPr>
          <w:noProof/>
        </w:rPr>
        <w:t>Det forv</w:t>
      </w:r>
      <w:r>
        <w:rPr>
          <w:noProof/>
        </w:rPr>
        <w:t>entes at dette forslag, når det er vedtaget og gennemført, vil sikre optimal udnyttelse af indvandringsforbindelsesofficerer, herunder dem udsendt af Kommissionen og EU-agenturer til tredjelande, med sigte på en mere virkningsfuld gennemførelse af EU's pri</w:t>
      </w:r>
      <w:r>
        <w:rPr>
          <w:noProof/>
        </w:rPr>
        <w:t>oriteter hvad angår forebyggelse og bekæmpelse af ulovlig indvandring og dermed forbundet grænseoverskridende kriminalitet, navnlig smugling af migranter og menneskehandel, lettere tilbagesendelse, tilbagetagelser og reintegrering, som bidrager til en inte</w:t>
      </w:r>
      <w:r>
        <w:rPr>
          <w:noProof/>
        </w:rPr>
        <w:t xml:space="preserve">greret forvaltning af Unionens ydre grænser, herunder på området international beskyttelse, genbosættelse og integrationsforanstaltninger inden afrejse, der iværksættes af medlemsstaterne og Unionen. </w:t>
      </w:r>
    </w:p>
    <w:p w:rsidR="00613CC4" w:rsidRDefault="00950A85">
      <w:pPr>
        <w:pStyle w:val="Text1"/>
        <w:pBdr>
          <w:top w:val="single" w:sz="4" w:space="1" w:color="auto"/>
          <w:left w:val="single" w:sz="4" w:space="4" w:color="auto"/>
          <w:bottom w:val="single" w:sz="4" w:space="1" w:color="auto"/>
          <w:right w:val="single" w:sz="4" w:space="4" w:color="auto"/>
        </w:pBdr>
        <w:rPr>
          <w:noProof/>
        </w:rPr>
      </w:pPr>
      <w:r>
        <w:rPr>
          <w:noProof/>
        </w:rPr>
        <w:t xml:space="preserve">De forventede specifikke resultater er: </w:t>
      </w:r>
    </w:p>
    <w:p w:rsidR="00613CC4" w:rsidRDefault="00950A85">
      <w:pPr>
        <w:pStyle w:val="Text1"/>
        <w:pBdr>
          <w:top w:val="single" w:sz="4" w:space="1" w:color="auto"/>
          <w:left w:val="single" w:sz="4" w:space="4" w:color="auto"/>
          <w:bottom w:val="single" w:sz="4" w:space="1" w:color="auto"/>
          <w:right w:val="single" w:sz="4" w:space="4" w:color="auto"/>
        </w:pBdr>
        <w:rPr>
          <w:noProof/>
        </w:rPr>
      </w:pPr>
      <w:r>
        <w:rPr>
          <w:noProof/>
        </w:rPr>
        <w:t>Resultat 1 - f</w:t>
      </w:r>
      <w:r>
        <w:rPr>
          <w:noProof/>
        </w:rPr>
        <w:t>orbedret operationelt samarbejde mellem indvandringsforbindelsesofficerer udsendt til samme tredjelandslokaliteter</w:t>
      </w:r>
    </w:p>
    <w:p w:rsidR="00613CC4" w:rsidRDefault="00950A85">
      <w:pPr>
        <w:pStyle w:val="Text1"/>
        <w:pBdr>
          <w:top w:val="single" w:sz="4" w:space="1" w:color="auto"/>
          <w:left w:val="single" w:sz="4" w:space="4" w:color="auto"/>
          <w:bottom w:val="single" w:sz="4" w:space="1" w:color="auto"/>
          <w:right w:val="single" w:sz="4" w:space="4" w:color="auto"/>
        </w:pBdr>
        <w:rPr>
          <w:noProof/>
        </w:rPr>
      </w:pPr>
      <w:r>
        <w:rPr>
          <w:noProof/>
        </w:rPr>
        <w:t xml:space="preserve">Resultat 2 - oprettelse af et styringsråd for at sikre en systematisk og struktureret koordinering af opgaver og roller for </w:t>
      </w:r>
      <w:r>
        <w:rPr>
          <w:noProof/>
        </w:rPr>
        <w:t>forbindelsesofficerer mellem medlemsstaterne, Kommissionen og EU-agenturerne</w:t>
      </w:r>
    </w:p>
    <w:p w:rsidR="00613CC4" w:rsidRDefault="00950A85">
      <w:pPr>
        <w:pStyle w:val="Text1"/>
        <w:pBdr>
          <w:top w:val="single" w:sz="4" w:space="1" w:color="auto"/>
          <w:left w:val="single" w:sz="4" w:space="4" w:color="auto"/>
          <w:bottom w:val="single" w:sz="4" w:space="1" w:color="auto"/>
          <w:right w:val="single" w:sz="4" w:space="4" w:color="auto"/>
        </w:pBdr>
        <w:rPr>
          <w:noProof/>
        </w:rPr>
      </w:pPr>
      <w:r>
        <w:rPr>
          <w:noProof/>
        </w:rPr>
        <w:t xml:space="preserve">Resultat 3 — Kommissionens udsendelse af indvandringsforbindelsesofficerer. </w:t>
      </w:r>
    </w:p>
    <w:p w:rsidR="00613CC4" w:rsidRDefault="00950A85">
      <w:pPr>
        <w:pStyle w:val="Text1"/>
        <w:pBdr>
          <w:top w:val="single" w:sz="4" w:space="1" w:color="auto"/>
          <w:left w:val="single" w:sz="4" w:space="4" w:color="auto"/>
          <w:bottom w:val="single" w:sz="4" w:space="1" w:color="auto"/>
          <w:right w:val="single" w:sz="4" w:space="4" w:color="auto"/>
        </w:pBdr>
        <w:rPr>
          <w:noProof/>
        </w:rPr>
      </w:pPr>
      <w:r>
        <w:rPr>
          <w:noProof/>
        </w:rPr>
        <w:t>Det anslås, at de samlede omkostninger knyttet til gennemførelsen af dette forslag vil være på 17,3 mi</w:t>
      </w:r>
      <w:r>
        <w:rPr>
          <w:noProof/>
        </w:rPr>
        <w:t xml:space="preserve">o. EUR i alt over den 9-års periode, der begynder i 2019, fordelt med ca. 1,6 mio. EUR til styringsrådets arbejde, 12,2 mio. EUR til gennemførelsen af aktiviteterne for et europæisk netværk af indvandringsforbindelsesofficerer og anslåede 3,5 mio. EUR til </w:t>
      </w:r>
      <w:r>
        <w:rPr>
          <w:noProof/>
        </w:rPr>
        <w:t xml:space="preserve">funktionerne af de indvandringsforbindelsesofficerer, der udsendes af Kommissionen. Den faktiske dato for iværksættelsen af forslaget vil afhænge af medlogivernes afslutning af vedtagelsen.  </w:t>
      </w:r>
    </w:p>
    <w:p w:rsidR="00613CC4" w:rsidRDefault="00950A85">
      <w:pPr>
        <w:pStyle w:val="ManualHeading3"/>
        <w:rPr>
          <w:bCs/>
          <w:noProof/>
          <w:szCs w:val="24"/>
        </w:rPr>
      </w:pPr>
      <w:r>
        <w:t>1.4.4.</w:t>
      </w:r>
      <w:r>
        <w:tab/>
      </w:r>
      <w:r>
        <w:rPr>
          <w:noProof/>
        </w:rPr>
        <w:t xml:space="preserve">Virknings- og resultatindikatorer </w:t>
      </w:r>
    </w:p>
    <w:p w:rsidR="00613CC4" w:rsidRDefault="00950A85">
      <w:pPr>
        <w:pStyle w:val="Text1"/>
        <w:rPr>
          <w:i/>
          <w:noProof/>
          <w:sz w:val="20"/>
        </w:rPr>
      </w:pPr>
      <w:r>
        <w:rPr>
          <w:i/>
          <w:noProof/>
          <w:sz w:val="20"/>
        </w:rPr>
        <w:t>Angiv indikatorerne ti</w:t>
      </w:r>
      <w:r>
        <w:rPr>
          <w:i/>
          <w:noProof/>
          <w:sz w:val="20"/>
        </w:rPr>
        <w:t>l kontrol af forslagets/initiativets gennemførelse</w:t>
      </w:r>
    </w:p>
    <w:p w:rsidR="00613CC4" w:rsidRDefault="00950A85">
      <w:pPr>
        <w:pStyle w:val="Text1"/>
        <w:pBdr>
          <w:top w:val="single" w:sz="4" w:space="1" w:color="auto"/>
          <w:left w:val="single" w:sz="4" w:space="4" w:color="auto"/>
          <w:bottom w:val="single" w:sz="4" w:space="1" w:color="auto"/>
          <w:right w:val="single" w:sz="4" w:space="4" w:color="auto"/>
        </w:pBdr>
        <w:rPr>
          <w:noProof/>
        </w:rPr>
      </w:pPr>
      <w:r>
        <w:rPr>
          <w:noProof/>
        </w:rPr>
        <w:t>Følgende indikatorer for fremskridt vil skulle bruges til at vurdere de fremskridt, der nås af netværk af indvandringsforbindelsesofficerer:</w:t>
      </w:r>
    </w:p>
    <w:p w:rsidR="00613CC4" w:rsidRDefault="00950A85">
      <w:pPr>
        <w:pStyle w:val="Text1"/>
        <w:pBdr>
          <w:top w:val="single" w:sz="4" w:space="1" w:color="auto"/>
          <w:left w:val="single" w:sz="4" w:space="4" w:color="auto"/>
          <w:bottom w:val="single" w:sz="4" w:space="1" w:color="auto"/>
          <w:right w:val="single" w:sz="4" w:space="4" w:color="auto"/>
        </w:pBdr>
        <w:rPr>
          <w:noProof/>
        </w:rPr>
      </w:pPr>
      <w:r>
        <w:rPr>
          <w:noProof/>
        </w:rPr>
        <w:t>Antal fælles analyseprodukter leveret af ILO-netværk</w:t>
      </w:r>
    </w:p>
    <w:p w:rsidR="00613CC4" w:rsidRDefault="00950A85">
      <w:pPr>
        <w:pStyle w:val="Text1"/>
        <w:pBdr>
          <w:top w:val="single" w:sz="4" w:space="1" w:color="auto"/>
          <w:left w:val="single" w:sz="4" w:space="4" w:color="auto"/>
          <w:bottom w:val="single" w:sz="4" w:space="1" w:color="auto"/>
          <w:right w:val="single" w:sz="4" w:space="4" w:color="auto"/>
        </w:pBdr>
        <w:rPr>
          <w:noProof/>
        </w:rPr>
      </w:pPr>
      <w:r>
        <w:rPr>
          <w:noProof/>
        </w:rPr>
        <w:t xml:space="preserve">Antal </w:t>
      </w:r>
      <w:r>
        <w:rPr>
          <w:noProof/>
        </w:rPr>
        <w:t>fælles udsendelser af indvandringsforbindelsesofficerer samfinansieret over EU-budgettet</w:t>
      </w:r>
    </w:p>
    <w:p w:rsidR="00613CC4" w:rsidRDefault="00950A85">
      <w:pPr>
        <w:pStyle w:val="Text1"/>
        <w:pBdr>
          <w:top w:val="single" w:sz="4" w:space="1" w:color="auto"/>
          <w:left w:val="single" w:sz="4" w:space="4" w:color="auto"/>
          <w:bottom w:val="single" w:sz="4" w:space="1" w:color="auto"/>
          <w:right w:val="single" w:sz="4" w:space="4" w:color="auto"/>
        </w:pBdr>
        <w:rPr>
          <w:noProof/>
          <w:color w:val="000000"/>
        </w:rPr>
      </w:pPr>
      <w:r>
        <w:rPr>
          <w:noProof/>
        </w:rPr>
        <w:t xml:space="preserve">Forbedret udveksling af oplysninger mellem ILO-netværk og EU-agenturer </w:t>
      </w:r>
    </w:p>
    <w:p w:rsidR="00613CC4" w:rsidRDefault="00950A85">
      <w:pPr>
        <w:pStyle w:val="ManualHeading2"/>
        <w:rPr>
          <w:bCs/>
          <w:noProof/>
          <w:szCs w:val="24"/>
        </w:rPr>
      </w:pPr>
      <w:r>
        <w:t>1.5.</w:t>
      </w:r>
      <w:r>
        <w:tab/>
      </w:r>
      <w:r>
        <w:rPr>
          <w:noProof/>
        </w:rPr>
        <w:t xml:space="preserve">Forslagets/initiativets begrundelse </w:t>
      </w:r>
    </w:p>
    <w:p w:rsidR="00613CC4" w:rsidRDefault="00950A85">
      <w:pPr>
        <w:pStyle w:val="ManualHeading3"/>
        <w:rPr>
          <w:noProof/>
        </w:rPr>
      </w:pPr>
      <w:r>
        <w:t>1.5.1.</w:t>
      </w:r>
      <w:r>
        <w:tab/>
      </w:r>
      <w:r>
        <w:rPr>
          <w:noProof/>
        </w:rPr>
        <w:t>Behov, der skal opfyldes på kort eller lang si</w:t>
      </w:r>
      <w:r>
        <w:rPr>
          <w:noProof/>
        </w:rPr>
        <w:t xml:space="preserve">gt </w:t>
      </w:r>
    </w:p>
    <w:p w:rsidR="00613CC4" w:rsidRDefault="00950A85">
      <w:pPr>
        <w:pStyle w:val="Text1"/>
        <w:pBdr>
          <w:top w:val="single" w:sz="4" w:space="1" w:color="auto"/>
          <w:left w:val="single" w:sz="4" w:space="4" w:color="auto"/>
          <w:bottom w:val="single" w:sz="4" w:space="1" w:color="auto"/>
          <w:right w:val="single" w:sz="4" w:space="4" w:color="auto"/>
        </w:pBdr>
        <w:rPr>
          <w:noProof/>
        </w:rPr>
      </w:pPr>
      <w:r>
        <w:rPr>
          <w:noProof/>
        </w:rPr>
        <w:t xml:space="preserve">Styringsrådet for netværk af forbindelsesofficerer bør etableres hurtigst muligt. Inden for tre måneder efter modtagelsen af den første mødeindkaldelse bør styringsrådet fastsætte sin forretningsorden. </w:t>
      </w:r>
    </w:p>
    <w:p w:rsidR="00613CC4" w:rsidRDefault="00950A85">
      <w:pPr>
        <w:pStyle w:val="Text1"/>
        <w:pBdr>
          <w:top w:val="single" w:sz="4" w:space="1" w:color="auto"/>
          <w:left w:val="single" w:sz="4" w:space="4" w:color="auto"/>
          <w:bottom w:val="single" w:sz="4" w:space="1" w:color="auto"/>
          <w:right w:val="single" w:sz="4" w:space="4" w:color="auto"/>
        </w:pBdr>
        <w:rPr>
          <w:noProof/>
        </w:rPr>
      </w:pPr>
      <w:r>
        <w:rPr>
          <w:noProof/>
        </w:rPr>
        <w:t>Fra konstitueringen mødes styringsrådet mindst to</w:t>
      </w:r>
      <w:r>
        <w:rPr>
          <w:noProof/>
        </w:rPr>
        <w:t xml:space="preserve"> gange om året for at forvalte et europæisk netværk af indvandringsforbindelsesofficerer, herunder navnlig ved at fastsætte prioriteter og aktiviteter i et toårigt arbejdsprogram og føre tilsyn med dets gennemførelse.</w:t>
      </w:r>
    </w:p>
    <w:p w:rsidR="00613CC4" w:rsidRDefault="00950A85">
      <w:pPr>
        <w:pStyle w:val="ManualHeading3"/>
        <w:rPr>
          <w:bCs/>
          <w:noProof/>
          <w:szCs w:val="24"/>
        </w:rPr>
      </w:pPr>
      <w:r>
        <w:t>1.5.2.</w:t>
      </w:r>
      <w:r>
        <w:tab/>
      </w:r>
      <w:r>
        <w:rPr>
          <w:noProof/>
        </w:rPr>
        <w:t>Merværdien ved en indsats fra E</w:t>
      </w:r>
      <w:r>
        <w:rPr>
          <w:noProof/>
        </w:rPr>
        <w:t>U's side</w:t>
      </w:r>
    </w:p>
    <w:p w:rsidR="00613CC4" w:rsidRDefault="00950A85">
      <w:pPr>
        <w:pStyle w:val="Text1"/>
        <w:pBdr>
          <w:top w:val="single" w:sz="4" w:space="1" w:color="auto"/>
          <w:left w:val="single" w:sz="4" w:space="4" w:color="auto"/>
          <w:bottom w:val="single" w:sz="4" w:space="1" w:color="auto"/>
          <w:right w:val="single" w:sz="4" w:space="4" w:color="auto"/>
        </w:pBdr>
        <w:rPr>
          <w:noProof/>
        </w:rPr>
      </w:pPr>
      <w:r>
        <w:rPr>
          <w:noProof/>
        </w:rPr>
        <w:t>Formålet med revisionen af Rådets forordning (EF) nr. 377/2004 er at sikre bedre samarbejde og optimere udnyttelsen af indvandringsforbindelsesofficerer, herunder dem udsendt af Kommissionen og EU-agenturer til tredjelande, med sigte på at reagere</w:t>
      </w:r>
      <w:r>
        <w:rPr>
          <w:noProof/>
        </w:rPr>
        <w:t xml:space="preserve"> mere effektivt på EU's prioriteter for så vidt angår forebyggelse og bekæmpelse af ulovlig indvandring og lettere tilbagesendelse af tredjelandsstatsborgere med ulovligt ophold samt støtte til forvaltning af lovlig migration. Den skal også styrke reglerne</w:t>
      </w:r>
      <w:r>
        <w:rPr>
          <w:noProof/>
        </w:rPr>
        <w:t xml:space="preserve"> for udveksling af strategiske oplysninger med EU-agenturer for at sikre, at dette bliver en tovejsproces og at medlemsstaternes indvandringsforbindelsesofficerer tilgår de relevante agenturers analyseprodukter på en mere systematisk måde og således får yd</w:t>
      </w:r>
      <w:r>
        <w:rPr>
          <w:noProof/>
        </w:rPr>
        <w:t>erligere hjælp til at løse deres opgaver på udsendelsesstedet. Med forslaget tilstræbes en tættere samordning, både på netværksforvaltningsniveauet og på det regionale operationelle niveau af ILO'er udsendt af medlemsstaterne, Kommissionen og EU-agenturern</w:t>
      </w:r>
      <w:r>
        <w:rPr>
          <w:noProof/>
        </w:rPr>
        <w:t xml:space="preserve">e. Det vil også skabe større fordele for Unionen frem for et initiativ, som kun tages på medlemsstatsniveau, ved at gøre Unionen bedre i stand til at målrette sine interventioner og reaktioner på de fælles risici og problemer ved EU's ydre grænser. </w:t>
      </w:r>
    </w:p>
    <w:p w:rsidR="00613CC4" w:rsidRDefault="00950A85">
      <w:pPr>
        <w:pStyle w:val="ManualHeading3"/>
        <w:rPr>
          <w:bCs/>
          <w:noProof/>
          <w:szCs w:val="24"/>
        </w:rPr>
      </w:pPr>
      <w:r>
        <w:t>1.5.3.</w:t>
      </w:r>
      <w:r>
        <w:tab/>
      </w:r>
      <w:r>
        <w:rPr>
          <w:noProof/>
        </w:rPr>
        <w:t>Erfaringer fra lignende foranstaltninger</w:t>
      </w:r>
    </w:p>
    <w:p w:rsidR="00613CC4" w:rsidRDefault="00950A85">
      <w:pPr>
        <w:pStyle w:val="Text1"/>
        <w:pBdr>
          <w:top w:val="single" w:sz="4" w:space="1" w:color="auto"/>
          <w:left w:val="single" w:sz="4" w:space="4" w:color="auto"/>
          <w:bottom w:val="single" w:sz="4" w:space="1" w:color="auto"/>
          <w:right w:val="single" w:sz="4" w:space="4" w:color="auto"/>
        </w:pBdr>
        <w:rPr>
          <w:noProof/>
        </w:rPr>
      </w:pPr>
      <w:r>
        <w:rPr>
          <w:noProof/>
        </w:rPr>
        <w:t xml:space="preserve">Der er ingen bestemmelser om administrativ og operationel støtte til netværk af indvandringsforbindelsesofficerer i den nuværende retsakt og heller ingen bestemmelser om et styringsråd.  </w:t>
      </w:r>
    </w:p>
    <w:p w:rsidR="00613CC4" w:rsidRDefault="00950A85">
      <w:pPr>
        <w:pStyle w:val="ManualHeading3"/>
        <w:rPr>
          <w:bCs/>
          <w:noProof/>
          <w:szCs w:val="24"/>
        </w:rPr>
      </w:pPr>
      <w:r>
        <w:t>1.5.4.</w:t>
      </w:r>
      <w:r>
        <w:tab/>
      </w:r>
      <w:r>
        <w:rPr>
          <w:noProof/>
        </w:rPr>
        <w:t>Sammenhæng med andr</w:t>
      </w:r>
      <w:r>
        <w:rPr>
          <w:noProof/>
        </w:rPr>
        <w:t>e relevante instrumenter og eventuel synergivirkning</w:t>
      </w:r>
    </w:p>
    <w:p w:rsidR="00613CC4" w:rsidRDefault="00950A85">
      <w:pPr>
        <w:pStyle w:val="Text1"/>
        <w:pBdr>
          <w:top w:val="single" w:sz="4" w:space="1" w:color="auto"/>
          <w:left w:val="single" w:sz="4" w:space="4" w:color="auto"/>
          <w:bottom w:val="single" w:sz="4" w:space="1" w:color="auto"/>
          <w:right w:val="single" w:sz="4" w:space="4" w:color="auto"/>
        </w:pBdr>
        <w:rPr>
          <w:noProof/>
        </w:rPr>
      </w:pPr>
      <w:r>
        <w:rPr>
          <w:noProof/>
        </w:rPr>
        <w:t xml:space="preserve">Forslaget er foreneligt med EU's migrationspolitiske prioriteter og finansierede interventioner med sigte på at forbedre migrationsstyringen, mindske ulovlige migrationsstrømme, smugling af migranter og </w:t>
      </w:r>
      <w:r>
        <w:rPr>
          <w:noProof/>
        </w:rPr>
        <w:t xml:space="preserve">menneskehandel samt fremme en integreret grænseforvaltning (IBM), herunder inden for rammerne af den europæiske IBM-baserede firestrengede model for adgangskontrol og det europæiske grænseovervågningssystem (Eurosur). </w:t>
      </w:r>
    </w:p>
    <w:p w:rsidR="00613CC4" w:rsidRDefault="00950A85">
      <w:pPr>
        <w:pStyle w:val="Text1"/>
        <w:pBdr>
          <w:top w:val="single" w:sz="4" w:space="1" w:color="auto"/>
          <w:left w:val="single" w:sz="4" w:space="4" w:color="auto"/>
          <w:bottom w:val="single" w:sz="4" w:space="1" w:color="auto"/>
          <w:right w:val="single" w:sz="4" w:space="4" w:color="auto"/>
        </w:pBdr>
        <w:rPr>
          <w:noProof/>
        </w:rPr>
      </w:pPr>
      <w:r>
        <w:rPr>
          <w:noProof/>
        </w:rPr>
        <w:t>Der er ligeledes klart mulige komplem</w:t>
      </w:r>
      <w:r>
        <w:rPr>
          <w:noProof/>
        </w:rPr>
        <w:t xml:space="preserve">entariteter og synergivirkninger med de nye europæiske forbindelsesofficerers funktioner, der er fastlagt siden vedtagelsen af forordningen såsom: </w:t>
      </w:r>
    </w:p>
    <w:p w:rsidR="00613CC4" w:rsidRDefault="00950A85">
      <w:pPr>
        <w:pStyle w:val="Text1"/>
        <w:pBdr>
          <w:top w:val="single" w:sz="4" w:space="1" w:color="auto"/>
          <w:left w:val="single" w:sz="4" w:space="4" w:color="auto"/>
          <w:bottom w:val="single" w:sz="4" w:space="1" w:color="auto"/>
          <w:right w:val="single" w:sz="4" w:space="4" w:color="auto"/>
        </w:pBdr>
        <w:rPr>
          <w:noProof/>
        </w:rPr>
      </w:pPr>
      <w:r>
        <w:rPr>
          <w:noProof/>
        </w:rPr>
        <w:t>- europæiske migrationsforbindelsesofficerer (EMLO'er), der er udsendt til EU-repræsentationer med henblik p</w:t>
      </w:r>
      <w:r>
        <w:rPr>
          <w:noProof/>
        </w:rPr>
        <w:t xml:space="preserve">å intensivere samordningen for at maksimere virkningen af EU's indsats vedrørende migration i tredjelande og øge vigtige oprindelses- og transitlandes engagement i alle aspekter af migrationsspørgsmål </w:t>
      </w:r>
    </w:p>
    <w:p w:rsidR="00613CC4" w:rsidRDefault="00950A85">
      <w:pPr>
        <w:pStyle w:val="Text1"/>
        <w:pBdr>
          <w:top w:val="single" w:sz="4" w:space="1" w:color="auto"/>
          <w:left w:val="single" w:sz="4" w:space="4" w:color="auto"/>
          <w:bottom w:val="single" w:sz="4" w:space="1" w:color="auto"/>
          <w:right w:val="single" w:sz="4" w:space="4" w:color="auto"/>
        </w:pBdr>
        <w:rPr>
          <w:noProof/>
        </w:rPr>
      </w:pPr>
      <w:r>
        <w:rPr>
          <w:noProof/>
        </w:rPr>
        <w:t>- europæiske forbindelsesofficerer for tilbagesendelse</w:t>
      </w:r>
      <w:r>
        <w:rPr>
          <w:noProof/>
        </w:rPr>
        <w:t xml:space="preserve"> (EURLO'er), der er udsendt til medlemsstaternes diplomatiske missioner med henblik på at repræsentere Unionens interesser ved at kontrollere identiteten af tredjelandsstatsborgere med ulovligt ophold, kapacitetsopbygning på området tilbagesendelse, støtte</w:t>
      </w:r>
      <w:r>
        <w:rPr>
          <w:noProof/>
        </w:rPr>
        <w:t xml:space="preserve"> til tilrettelæggelsen af fælles tilbagesendelsesaktioner samordnet af EBCGA og fremme af gennemførelsen af reintegration og støtte efter ankomst</w:t>
      </w:r>
    </w:p>
    <w:p w:rsidR="00613CC4" w:rsidRDefault="00950A85">
      <w:pPr>
        <w:pStyle w:val="Text1"/>
        <w:pBdr>
          <w:top w:val="single" w:sz="4" w:space="1" w:color="auto"/>
          <w:left w:val="single" w:sz="4" w:space="4" w:color="auto"/>
          <w:bottom w:val="single" w:sz="4" w:space="1" w:color="auto"/>
          <w:right w:val="single" w:sz="4" w:space="4" w:color="auto"/>
        </w:pBdr>
        <w:rPr>
          <w:noProof/>
        </w:rPr>
      </w:pPr>
      <w:r>
        <w:rPr>
          <w:noProof/>
        </w:rPr>
        <w:t>- europæiske forbindelsesofficerer for Agenturet for Grænse- og Kystbevogtning, der er udsendt til EU-repræsen</w:t>
      </w:r>
      <w:r>
        <w:rPr>
          <w:noProof/>
        </w:rPr>
        <w:t>tationer med henblik på at samarbejde med tredjelande ved Unionens ydre grænser ved at udvikle og opretholde et operationelt bilateralt samarbejde med værtslandet, udarbejde udkast til og forfatte vurderinger om situationen på udsendelsesstedet samt unders</w:t>
      </w:r>
      <w:r>
        <w:rPr>
          <w:noProof/>
        </w:rPr>
        <w:t>tøtte EBCG-projekter.</w:t>
      </w:r>
    </w:p>
    <w:p w:rsidR="00613CC4" w:rsidRDefault="00950A85">
      <w:pPr>
        <w:pStyle w:val="ManualHeading2"/>
        <w:rPr>
          <w:bCs/>
          <w:noProof/>
          <w:szCs w:val="24"/>
        </w:rPr>
      </w:pPr>
      <w:r>
        <w:rPr>
          <w:noProof/>
        </w:rPr>
        <w:br w:type="page"/>
      </w:r>
      <w:r>
        <w:t>1.6.</w:t>
      </w:r>
      <w:r>
        <w:tab/>
      </w:r>
      <w:r>
        <w:rPr>
          <w:noProof/>
        </w:rPr>
        <w:t xml:space="preserve">Varighed og finansielle virkninger </w:t>
      </w:r>
    </w:p>
    <w:p w:rsidR="00613CC4" w:rsidRDefault="00950A85">
      <w:pPr>
        <w:pStyle w:val="Text1"/>
        <w:rPr>
          <w:noProof/>
        </w:rPr>
      </w:pPr>
      <w:r>
        <w:rPr>
          <w:noProof/>
        </w:rPr>
        <w:sym w:font="Wingdings" w:char="F0A8"/>
      </w:r>
      <w:r>
        <w:rPr>
          <w:b/>
          <w:i/>
          <w:noProof/>
        </w:rPr>
        <w:t xml:space="preserve"> </w:t>
      </w:r>
      <w:r>
        <w:rPr>
          <w:noProof/>
        </w:rPr>
        <w:t xml:space="preserve">Forslag/initiativ af </w:t>
      </w:r>
      <w:r>
        <w:rPr>
          <w:b/>
          <w:noProof/>
        </w:rPr>
        <w:t xml:space="preserve">begrænset varighed </w:t>
      </w:r>
    </w:p>
    <w:p w:rsidR="00613CC4" w:rsidRDefault="00950A85">
      <w:pPr>
        <w:pStyle w:val="ListDash2"/>
        <w:rPr>
          <w:noProof/>
        </w:rPr>
      </w:pPr>
      <w:r>
        <w:rPr>
          <w:noProof/>
        </w:rPr>
        <w:sym w:font="Wingdings" w:char="F0A8"/>
      </w:r>
      <w:r>
        <w:rPr>
          <w:noProof/>
        </w:rPr>
        <w:tab/>
        <w:t xml:space="preserve">Forslag/initiativ gældende fra [DD/MM] ÅÅÅÅ til [DD/MM] ÅÅÅÅ </w:t>
      </w:r>
    </w:p>
    <w:p w:rsidR="00613CC4" w:rsidRDefault="00950A85">
      <w:pPr>
        <w:pStyle w:val="ListDash2"/>
        <w:rPr>
          <w:noProof/>
        </w:rPr>
      </w:pPr>
      <w:r>
        <w:rPr>
          <w:noProof/>
        </w:rPr>
        <w:sym w:font="Wingdings" w:char="F0A8"/>
      </w:r>
      <w:r>
        <w:rPr>
          <w:noProof/>
        </w:rPr>
        <w:tab/>
        <w:t xml:space="preserve">Finansielle virkninger fra ÅÅÅÅ til ÅÅÅÅ </w:t>
      </w:r>
    </w:p>
    <w:p w:rsidR="00613CC4" w:rsidRDefault="00950A85">
      <w:pPr>
        <w:pStyle w:val="Text1"/>
        <w:rPr>
          <w:noProof/>
        </w:rPr>
      </w:pPr>
      <w:r>
        <w:rPr>
          <w:noProof/>
        </w:rPr>
        <w:t xml:space="preserve">X Forslag/initiativ af </w:t>
      </w:r>
      <w:r>
        <w:rPr>
          <w:b/>
          <w:noProof/>
        </w:rPr>
        <w:t xml:space="preserve">ubegrænset </w:t>
      </w:r>
      <w:r>
        <w:rPr>
          <w:b/>
          <w:noProof/>
        </w:rPr>
        <w:t>varighed</w:t>
      </w:r>
    </w:p>
    <w:p w:rsidR="00613CC4" w:rsidRDefault="00950A85">
      <w:pPr>
        <w:pStyle w:val="ListDash1"/>
        <w:rPr>
          <w:noProof/>
        </w:rPr>
      </w:pPr>
      <w:r>
        <w:rPr>
          <w:noProof/>
        </w:rPr>
        <w:t>Iværksættelse med en indkøringsperiode fra […] til […]</w:t>
      </w:r>
    </w:p>
    <w:p w:rsidR="00613CC4" w:rsidRDefault="00950A85">
      <w:pPr>
        <w:pStyle w:val="ListDash1"/>
        <w:rPr>
          <w:noProof/>
        </w:rPr>
      </w:pPr>
      <w:r>
        <w:rPr>
          <w:noProof/>
        </w:rPr>
        <w:t>derefter gennemførelse i fuldt omfang.</w:t>
      </w:r>
    </w:p>
    <w:p w:rsidR="00613CC4" w:rsidRDefault="00950A85">
      <w:pPr>
        <w:pStyle w:val="ManualHeading2"/>
        <w:rPr>
          <w:bCs/>
          <w:noProof/>
          <w:szCs w:val="24"/>
        </w:rPr>
      </w:pPr>
      <w:r>
        <w:t>1.7.</w:t>
      </w:r>
      <w:r>
        <w:tab/>
      </w:r>
      <w:r>
        <w:rPr>
          <w:noProof/>
        </w:rPr>
        <w:t>Påtænkt(e) forvaltningsmetode(r)</w:t>
      </w:r>
      <w:r>
        <w:rPr>
          <w:rStyle w:val="FootnoteReference"/>
          <w:noProof/>
        </w:rPr>
        <w:footnoteReference w:id="38"/>
      </w:r>
      <w:r>
        <w:rPr>
          <w:rStyle w:val="FootnoteReference"/>
          <w:noProof/>
        </w:rPr>
        <w:t xml:space="preserve"> </w:t>
      </w:r>
    </w:p>
    <w:p w:rsidR="00613CC4" w:rsidRDefault="00950A85">
      <w:pPr>
        <w:pStyle w:val="Text1"/>
        <w:rPr>
          <w:noProof/>
        </w:rPr>
      </w:pPr>
      <w:r>
        <w:rPr>
          <w:noProof/>
        </w:rPr>
        <w:t>X</w:t>
      </w:r>
      <w:r>
        <w:rPr>
          <w:i/>
          <w:noProof/>
        </w:rPr>
        <w:t xml:space="preserve"> </w:t>
      </w:r>
      <w:r>
        <w:rPr>
          <w:b/>
          <w:noProof/>
        </w:rPr>
        <w:t>Direkte forvaltning</w:t>
      </w:r>
      <w:r>
        <w:rPr>
          <w:noProof/>
        </w:rPr>
        <w:t xml:space="preserve"> ved Kommissionen</w:t>
      </w:r>
    </w:p>
    <w:p w:rsidR="00613CC4" w:rsidRDefault="00950A85">
      <w:pPr>
        <w:pStyle w:val="ListDash2"/>
        <w:rPr>
          <w:rFonts w:cs="EUAlbertina"/>
          <w:noProof/>
        </w:rPr>
      </w:pPr>
      <w:r>
        <w:rPr>
          <w:noProof/>
        </w:rPr>
        <w:sym w:font="Wingdings" w:char="F0A8"/>
      </w:r>
      <w:r>
        <w:rPr>
          <w:noProof/>
        </w:rPr>
        <w:t xml:space="preserve"> i dens tjenestegrene, herunder ved dens personale i EU's delegationer </w:t>
      </w:r>
    </w:p>
    <w:p w:rsidR="00613CC4" w:rsidRDefault="00950A85">
      <w:pPr>
        <w:pStyle w:val="ListDash2"/>
        <w:rPr>
          <w:noProof/>
        </w:rPr>
      </w:pPr>
      <w:r>
        <w:rPr>
          <w:noProof/>
        </w:rPr>
        <w:sym w:font="Wingdings" w:char="F0A8"/>
      </w:r>
      <w:r>
        <w:rPr>
          <w:noProof/>
        </w:rPr>
        <w:tab/>
        <w:t xml:space="preserve">i gennemførelsesorganer </w:t>
      </w:r>
    </w:p>
    <w:p w:rsidR="00613CC4" w:rsidRDefault="00950A85">
      <w:pPr>
        <w:pStyle w:val="Text1"/>
        <w:rPr>
          <w:noProof/>
        </w:rPr>
      </w:pPr>
      <w:r>
        <w:rPr>
          <w:noProof/>
        </w:rPr>
        <w:sym w:font="Wingdings" w:char="F0A8"/>
      </w:r>
      <w:r>
        <w:rPr>
          <w:b/>
          <w:i/>
          <w:noProof/>
        </w:rPr>
        <w:t xml:space="preserve"> </w:t>
      </w:r>
      <w:r>
        <w:rPr>
          <w:b/>
          <w:noProof/>
        </w:rPr>
        <w:t>Delt forvaltning</w:t>
      </w:r>
      <w:r>
        <w:rPr>
          <w:noProof/>
        </w:rPr>
        <w:t xml:space="preserve"> i samarbejde med medlemsstaterne </w:t>
      </w:r>
    </w:p>
    <w:p w:rsidR="00613CC4" w:rsidRDefault="00950A85">
      <w:pPr>
        <w:pStyle w:val="Text1"/>
        <w:rPr>
          <w:noProof/>
        </w:rPr>
      </w:pPr>
      <w:r>
        <w:rPr>
          <w:noProof/>
        </w:rPr>
        <w:sym w:font="Wingdings" w:char="F0A8"/>
      </w:r>
      <w:r>
        <w:rPr>
          <w:i/>
          <w:noProof/>
        </w:rPr>
        <w:t xml:space="preserve"> </w:t>
      </w:r>
      <w:r>
        <w:rPr>
          <w:b/>
          <w:noProof/>
        </w:rPr>
        <w:t>Indirekte forvaltning</w:t>
      </w:r>
      <w:r>
        <w:rPr>
          <w:noProof/>
        </w:rPr>
        <w:t xml:space="preserve"> ved at overlade budgetgennemførelsesopgaver til:</w:t>
      </w:r>
    </w:p>
    <w:p w:rsidR="00613CC4" w:rsidRDefault="00950A85">
      <w:pPr>
        <w:pStyle w:val="ListDash2"/>
        <w:rPr>
          <w:noProof/>
        </w:rPr>
      </w:pPr>
      <w:r>
        <w:rPr>
          <w:noProof/>
        </w:rPr>
        <w:sym w:font="Wingdings" w:char="F0A8"/>
      </w:r>
      <w:r>
        <w:rPr>
          <w:noProof/>
        </w:rPr>
        <w:t xml:space="preserve"> tredjelande eller organer, som tredjelande har udpeget</w:t>
      </w:r>
    </w:p>
    <w:p w:rsidR="00613CC4" w:rsidRDefault="00950A85">
      <w:pPr>
        <w:pStyle w:val="ListDash2"/>
        <w:rPr>
          <w:noProof/>
        </w:rPr>
      </w:pPr>
      <w:r>
        <w:rPr>
          <w:noProof/>
        </w:rPr>
        <w:sym w:font="Wingdings" w:char="F0A8"/>
      </w:r>
      <w:r>
        <w:rPr>
          <w:noProof/>
        </w:rPr>
        <w:t xml:space="preserve"> internationale organisationer og deres organe</w:t>
      </w:r>
      <w:r>
        <w:rPr>
          <w:noProof/>
        </w:rPr>
        <w:t>r (angives nærmere)</w:t>
      </w:r>
    </w:p>
    <w:p w:rsidR="00613CC4" w:rsidRDefault="00950A85">
      <w:pPr>
        <w:pStyle w:val="ListDash2"/>
        <w:rPr>
          <w:noProof/>
        </w:rPr>
      </w:pPr>
      <w:r>
        <w:rPr>
          <w:noProof/>
        </w:rPr>
        <w:sym w:font="Wingdings" w:char="F0A8"/>
      </w:r>
      <w:r>
        <w:rPr>
          <w:noProof/>
        </w:rPr>
        <w:t xml:space="preserve"> Den Europæiske Investeringsbank og Den Europæiske Investeringsfond</w:t>
      </w:r>
    </w:p>
    <w:p w:rsidR="00613CC4" w:rsidRDefault="00950A85">
      <w:pPr>
        <w:pStyle w:val="ListDash2"/>
        <w:rPr>
          <w:noProof/>
        </w:rPr>
      </w:pPr>
      <w:r>
        <w:rPr>
          <w:noProof/>
        </w:rPr>
        <w:sym w:font="Wingdings" w:char="F0A8"/>
      </w:r>
      <w:r>
        <w:rPr>
          <w:noProof/>
        </w:rPr>
        <w:t xml:space="preserve"> de organer, der er omhandlet i finansforordningens artikel 208 og 209</w:t>
      </w:r>
    </w:p>
    <w:p w:rsidR="00613CC4" w:rsidRDefault="00950A85">
      <w:pPr>
        <w:pStyle w:val="ListDash2"/>
        <w:rPr>
          <w:noProof/>
        </w:rPr>
      </w:pPr>
      <w:r>
        <w:rPr>
          <w:noProof/>
        </w:rPr>
        <w:sym w:font="Wingdings" w:char="F0A8"/>
      </w:r>
      <w:r>
        <w:rPr>
          <w:noProof/>
        </w:rPr>
        <w:t xml:space="preserve"> offentligretlige organer</w:t>
      </w:r>
    </w:p>
    <w:p w:rsidR="00613CC4" w:rsidRDefault="00950A85">
      <w:pPr>
        <w:pStyle w:val="ListDash2"/>
        <w:rPr>
          <w:noProof/>
        </w:rPr>
      </w:pPr>
      <w:r>
        <w:rPr>
          <w:noProof/>
        </w:rPr>
        <w:sym w:font="Wingdings" w:char="F0A8"/>
      </w:r>
      <w:r>
        <w:rPr>
          <w:noProof/>
        </w:rPr>
        <w:t xml:space="preserve"> privatretlige organer, der har fået overdraget samfundsopgaver, fo</w:t>
      </w:r>
      <w:r>
        <w:rPr>
          <w:noProof/>
        </w:rPr>
        <w:t>rudsat at de stiller tilstrækkelige finansielle garantier</w:t>
      </w:r>
    </w:p>
    <w:p w:rsidR="00613CC4" w:rsidRDefault="00950A85">
      <w:pPr>
        <w:pStyle w:val="ListDash2"/>
        <w:rPr>
          <w:noProof/>
        </w:rPr>
      </w:pPr>
      <w:r>
        <w:rPr>
          <w:noProof/>
        </w:rPr>
        <w:sym w:font="Wingdings" w:char="F0A8"/>
      </w:r>
      <w:r>
        <w:rPr>
          <w:noProof/>
        </w:rPr>
        <w:t xml:space="preserve"> privatretlige organer, undergivet lovgivningen i en medlemsstat, som har fået overdraget gennemførelsen af et offentlig-privat partnerskab, og som stiller tilstrækkelige finansielle garantier</w:t>
      </w:r>
    </w:p>
    <w:p w:rsidR="00613CC4" w:rsidRDefault="00950A85">
      <w:pPr>
        <w:pStyle w:val="ListDash2"/>
        <w:rPr>
          <w:noProof/>
        </w:rPr>
      </w:pPr>
      <w:r>
        <w:rPr>
          <w:noProof/>
        </w:rPr>
        <w:sym w:font="Wingdings" w:char="F0A8"/>
      </w:r>
      <w:r>
        <w:rPr>
          <w:noProof/>
        </w:rPr>
        <w:t xml:space="preserve"> pe</w:t>
      </w:r>
      <w:r>
        <w:rPr>
          <w:noProof/>
        </w:rPr>
        <w:t>rsoner, der har fået overdraget gennemførelsen af specifikke aktioner i den fælles udenrigs- og sikkerhedspolitik i henhold til afsnit V i traktaten om Den Europæiske Union, og som er udpeget i den relevante basisretsakt</w:t>
      </w:r>
    </w:p>
    <w:p w:rsidR="00613CC4" w:rsidRDefault="00950A85">
      <w:pPr>
        <w:pStyle w:val="ListDash2"/>
        <w:rPr>
          <w:i/>
          <w:noProof/>
          <w:sz w:val="18"/>
          <w:u w:val="single"/>
        </w:rPr>
      </w:pPr>
      <w:r>
        <w:rPr>
          <w:i/>
          <w:noProof/>
          <w:sz w:val="18"/>
        </w:rPr>
        <w:t>Hvis der angives flere forvaltnings</w:t>
      </w:r>
      <w:r>
        <w:rPr>
          <w:i/>
          <w:noProof/>
          <w:sz w:val="18"/>
        </w:rPr>
        <w:t>metoder, gives der en nærmere forklaring i afsnittet "Bemærkninger".</w:t>
      </w:r>
    </w:p>
    <w:p w:rsidR="00613CC4" w:rsidRDefault="00950A85">
      <w:pPr>
        <w:rPr>
          <w:noProof/>
        </w:rPr>
      </w:pPr>
      <w:r>
        <w:rPr>
          <w:noProof/>
        </w:rPr>
        <w:t xml:space="preserve">Bemærkninger </w:t>
      </w:r>
    </w:p>
    <w:p w:rsidR="00613CC4" w:rsidRDefault="00613CC4">
      <w:pPr>
        <w:pBdr>
          <w:top w:val="single" w:sz="4" w:space="1" w:color="auto"/>
          <w:left w:val="single" w:sz="4" w:space="4" w:color="auto"/>
          <w:bottom w:val="single" w:sz="4" w:space="1" w:color="auto"/>
          <w:right w:val="single" w:sz="4" w:space="4" w:color="auto"/>
        </w:pBdr>
        <w:rPr>
          <w:noProof/>
        </w:rPr>
      </w:pPr>
    </w:p>
    <w:p w:rsidR="00613CC4" w:rsidRDefault="00613CC4">
      <w:pPr>
        <w:pBdr>
          <w:top w:val="single" w:sz="4" w:space="1" w:color="auto"/>
          <w:left w:val="single" w:sz="4" w:space="4" w:color="auto"/>
          <w:bottom w:val="single" w:sz="4" w:space="1" w:color="auto"/>
          <w:right w:val="single" w:sz="4" w:space="4" w:color="auto"/>
        </w:pBdr>
        <w:rPr>
          <w:noProof/>
        </w:rPr>
      </w:pPr>
    </w:p>
    <w:p w:rsidR="00613CC4" w:rsidRDefault="00613CC4">
      <w:pPr>
        <w:rPr>
          <w:noProof/>
        </w:rPr>
        <w:sectPr w:rsidR="00613CC4">
          <w:pgSz w:w="11907" w:h="16840" w:code="9"/>
          <w:pgMar w:top="1134" w:right="1418" w:bottom="1134" w:left="1418" w:header="709" w:footer="709" w:gutter="0"/>
          <w:cols w:space="708"/>
          <w:docGrid w:linePitch="360"/>
        </w:sectPr>
      </w:pPr>
    </w:p>
    <w:p w:rsidR="00613CC4" w:rsidRDefault="00950A85">
      <w:pPr>
        <w:pStyle w:val="ManualHeading1"/>
        <w:rPr>
          <w:bCs/>
          <w:noProof/>
          <w:szCs w:val="24"/>
        </w:rPr>
      </w:pPr>
      <w:r>
        <w:t>2.</w:t>
      </w:r>
      <w:r>
        <w:tab/>
      </w:r>
      <w:r>
        <w:rPr>
          <w:noProof/>
        </w:rPr>
        <w:t xml:space="preserve">FORVALTNINGSFORANSTALTNINGER </w:t>
      </w:r>
    </w:p>
    <w:p w:rsidR="00613CC4" w:rsidRDefault="00950A85">
      <w:pPr>
        <w:pStyle w:val="ManualHeading2"/>
        <w:rPr>
          <w:noProof/>
        </w:rPr>
      </w:pPr>
      <w:r>
        <w:t>2.1.</w:t>
      </w:r>
      <w:r>
        <w:tab/>
      </w:r>
      <w:r>
        <w:rPr>
          <w:noProof/>
        </w:rPr>
        <w:t xml:space="preserve">Bestemmelser om kontrol og rapportering </w:t>
      </w:r>
    </w:p>
    <w:p w:rsidR="00613CC4" w:rsidRDefault="00950A85">
      <w:pPr>
        <w:pStyle w:val="Text1"/>
        <w:rPr>
          <w:i/>
          <w:noProof/>
          <w:sz w:val="20"/>
          <w:u w:val="single"/>
        </w:rPr>
      </w:pPr>
      <w:r>
        <w:rPr>
          <w:i/>
          <w:noProof/>
          <w:sz w:val="20"/>
        </w:rPr>
        <w:t>Angiv hyppighed og betingelser</w:t>
      </w:r>
    </w:p>
    <w:p w:rsidR="00613CC4" w:rsidRDefault="00950A85">
      <w:pPr>
        <w:pBdr>
          <w:top w:val="single" w:sz="4" w:space="1" w:color="auto"/>
          <w:left w:val="single" w:sz="4" w:space="4" w:color="auto"/>
          <w:bottom w:val="single" w:sz="4" w:space="1" w:color="auto"/>
          <w:right w:val="single" w:sz="4" w:space="4" w:color="auto"/>
        </w:pBdr>
        <w:ind w:left="850"/>
        <w:rPr>
          <w:noProof/>
        </w:rPr>
      </w:pPr>
      <w:r>
        <w:rPr>
          <w:noProof/>
        </w:rPr>
        <w:t>Formanden er ansvarlig for den effektive funktion af styrelsesrådet for et europæisk netværk af indvandringsforbindelsesofficerer. Styringsrådet har ansvaret for fastlæggelse af prioriteter og aktiviteter i toårige arbejdsprogrammer, tilsyn med og evalueri</w:t>
      </w:r>
      <w:r>
        <w:rPr>
          <w:noProof/>
        </w:rPr>
        <w:t xml:space="preserve">ng af et europæisk netværk af indvandringsforbindelsesofficerer og udarbejdelse af årlige rapporter om gennemførelsen af arbejdsprogrammerne. </w:t>
      </w:r>
    </w:p>
    <w:p w:rsidR="00613CC4" w:rsidRDefault="00950A85">
      <w:pPr>
        <w:pStyle w:val="ManualHeading2"/>
        <w:rPr>
          <w:bCs/>
          <w:noProof/>
          <w:szCs w:val="24"/>
        </w:rPr>
      </w:pPr>
      <w:r>
        <w:t>2.2.</w:t>
      </w:r>
      <w:r>
        <w:tab/>
      </w:r>
      <w:r>
        <w:rPr>
          <w:noProof/>
        </w:rPr>
        <w:t xml:space="preserve">Forvaltnings- og kontrolsystem </w:t>
      </w:r>
    </w:p>
    <w:p w:rsidR="00613CC4" w:rsidRDefault="00950A85">
      <w:pPr>
        <w:pStyle w:val="ManualHeading3"/>
        <w:rPr>
          <w:noProof/>
        </w:rPr>
      </w:pPr>
      <w:r>
        <w:t>2.2.1.</w:t>
      </w:r>
      <w:r>
        <w:tab/>
      </w:r>
      <w:r>
        <w:rPr>
          <w:noProof/>
        </w:rPr>
        <w:t xml:space="preserve">Konstaterede risici </w:t>
      </w:r>
    </w:p>
    <w:p w:rsidR="00613CC4" w:rsidRDefault="00950A85">
      <w:pPr>
        <w:pStyle w:val="Text1"/>
        <w:pBdr>
          <w:top w:val="single" w:sz="4" w:space="1" w:color="auto"/>
          <w:left w:val="single" w:sz="4" w:space="4" w:color="auto"/>
          <w:bottom w:val="single" w:sz="4" w:space="1" w:color="auto"/>
          <w:right w:val="single" w:sz="4" w:space="4" w:color="auto"/>
        </w:pBdr>
        <w:rPr>
          <w:noProof/>
        </w:rPr>
      </w:pPr>
      <w:r>
        <w:rPr>
          <w:noProof/>
        </w:rPr>
        <w:t>Der er to risici, dels i forbindelse med Kommiss</w:t>
      </w:r>
      <w:r>
        <w:rPr>
          <w:noProof/>
        </w:rPr>
        <w:t>ionens udsendelse af indvandringsforbindelsesofficerer og dels i forbindelse med gennemførelsen af støtteforanstaltningerne for et europæisk netværk af indvandringsforbindelsesofficerer, der er angivet i forordningen, herunder bl.a. programstøtte til netvæ</w:t>
      </w:r>
      <w:r>
        <w:rPr>
          <w:noProof/>
        </w:rPr>
        <w:t>rk af indvandringsforbindelsesofficerer og indgåelse af en kontrakt med en ekstern tjenesteyder om styringsrådets sekretariatsfunktioner.  Disse risici omfatter:</w:t>
      </w:r>
    </w:p>
    <w:p w:rsidR="00613CC4" w:rsidRDefault="00950A85">
      <w:pPr>
        <w:pStyle w:val="Text1"/>
        <w:pBdr>
          <w:top w:val="single" w:sz="4" w:space="1" w:color="auto"/>
          <w:left w:val="single" w:sz="4" w:space="4" w:color="auto"/>
          <w:bottom w:val="single" w:sz="4" w:space="1" w:color="auto"/>
          <w:right w:val="single" w:sz="4" w:space="4" w:color="auto"/>
        </w:pBdr>
        <w:rPr>
          <w:noProof/>
        </w:rPr>
      </w:pPr>
      <w:r>
        <w:rPr>
          <w:noProof/>
        </w:rPr>
        <w:t>1. Der er ingen passende kandidater, som ansøger Kommissionen om at blive udsendt som national</w:t>
      </w:r>
      <w:r>
        <w:rPr>
          <w:noProof/>
        </w:rPr>
        <w:t xml:space="preserve"> ekspert i en stilling som indvandringsforbindelsesofficer</w:t>
      </w:r>
    </w:p>
    <w:p w:rsidR="00613CC4" w:rsidRDefault="00950A85">
      <w:pPr>
        <w:pStyle w:val="Text1"/>
        <w:pBdr>
          <w:top w:val="single" w:sz="4" w:space="1" w:color="auto"/>
          <w:left w:val="single" w:sz="4" w:space="4" w:color="auto"/>
          <w:bottom w:val="single" w:sz="4" w:space="1" w:color="auto"/>
          <w:right w:val="single" w:sz="4" w:space="4" w:color="auto"/>
        </w:pBdr>
        <w:rPr>
          <w:noProof/>
        </w:rPr>
      </w:pPr>
      <w:r>
        <w:rPr>
          <w:noProof/>
        </w:rPr>
        <w:t>2. Medlemsstaterne forelægger måske ikke en ansøgning af høj kvalitet og/eller afsætter ikke tilstrækkelige ressourcer til at forvalte og gennemføre programstøtten til netværk af ILO'er</w:t>
      </w:r>
    </w:p>
    <w:p w:rsidR="00613CC4" w:rsidRDefault="00950A85">
      <w:pPr>
        <w:pStyle w:val="Text1"/>
        <w:pBdr>
          <w:top w:val="single" w:sz="4" w:space="1" w:color="auto"/>
          <w:left w:val="single" w:sz="4" w:space="4" w:color="auto"/>
          <w:bottom w:val="single" w:sz="4" w:space="1" w:color="auto"/>
          <w:right w:val="single" w:sz="4" w:space="4" w:color="auto"/>
        </w:pBdr>
        <w:rPr>
          <w:noProof/>
        </w:rPr>
      </w:pPr>
      <w:r>
        <w:rPr>
          <w:noProof/>
        </w:rPr>
        <w:t xml:space="preserve">3. Der indgives ikke et passende forslag i forbindelse med indkaldelsen af forslag fra tjenesteydere om styringsrådets sekretariatsfunktioner. </w:t>
      </w:r>
    </w:p>
    <w:p w:rsidR="00613CC4" w:rsidRDefault="00950A85">
      <w:pPr>
        <w:pStyle w:val="Text1"/>
        <w:pBdr>
          <w:top w:val="single" w:sz="4" w:space="1" w:color="auto"/>
          <w:left w:val="single" w:sz="4" w:space="4" w:color="auto"/>
          <w:bottom w:val="single" w:sz="4" w:space="1" w:color="auto"/>
          <w:right w:val="single" w:sz="4" w:space="4" w:color="auto"/>
        </w:pBdr>
        <w:rPr>
          <w:noProof/>
        </w:rPr>
      </w:pPr>
      <w:r>
        <w:rPr>
          <w:noProof/>
        </w:rPr>
        <w:t xml:space="preserve">Disse risici kan afbødes fra starten ved at føre en dialog med medlemsstaterne fra begyndelsen af processen for </w:t>
      </w:r>
      <w:r>
        <w:rPr>
          <w:noProof/>
        </w:rPr>
        <w:t>at bekræfte deres interesse og ved at tildele projekter på grundlag af strenge kvalitetskriterier, kontrollere tjenesteyderes referencer og opretholde nære forbindelser til dem.</w:t>
      </w:r>
    </w:p>
    <w:p w:rsidR="00613CC4" w:rsidRDefault="00950A85">
      <w:pPr>
        <w:pStyle w:val="ManualHeading3"/>
        <w:rPr>
          <w:bCs/>
          <w:noProof/>
          <w:szCs w:val="24"/>
        </w:rPr>
      </w:pPr>
      <w:r>
        <w:t>2.2.2.</w:t>
      </w:r>
      <w:r>
        <w:tab/>
      </w:r>
      <w:r>
        <w:rPr>
          <w:noProof/>
        </w:rPr>
        <w:t>Oplysninger om det interne kontrolsystem</w:t>
      </w:r>
    </w:p>
    <w:p w:rsidR="00613CC4" w:rsidRDefault="00950A85">
      <w:pPr>
        <w:pStyle w:val="Text1"/>
        <w:pBdr>
          <w:top w:val="single" w:sz="4" w:space="1" w:color="auto"/>
          <w:left w:val="single" w:sz="4" w:space="4" w:color="auto"/>
          <w:bottom w:val="single" w:sz="4" w:space="1" w:color="auto"/>
          <w:right w:val="single" w:sz="4" w:space="4" w:color="auto"/>
        </w:pBdr>
        <w:rPr>
          <w:noProof/>
        </w:rPr>
      </w:pPr>
      <w:r>
        <w:rPr>
          <w:noProof/>
        </w:rPr>
        <w:t>Den administrative overvågning</w:t>
      </w:r>
      <w:r>
        <w:rPr>
          <w:noProof/>
        </w:rPr>
        <w:t xml:space="preserve"> af kontrakter og betalinger varetages af den relevante kommissionstjenestegren. Hver enkelt operation, der finansieres i medfør af denne forordning, vil blive overvåget af Kommissionens tjenestegrene på alle stadier af projektforløbet. Ved tilsynet tages </w:t>
      </w:r>
      <w:r>
        <w:rPr>
          <w:noProof/>
        </w:rPr>
        <w:t>der hensyn til de kontraktmæssige forpligtelser samt principperne for cost-benefit analyse og forsvarlig finansiel forvaltning.</w:t>
      </w:r>
    </w:p>
    <w:p w:rsidR="00613CC4" w:rsidRDefault="00950A85">
      <w:pPr>
        <w:pStyle w:val="Text1"/>
        <w:pBdr>
          <w:top w:val="single" w:sz="4" w:space="1" w:color="auto"/>
          <w:left w:val="single" w:sz="4" w:space="4" w:color="auto"/>
          <w:bottom w:val="single" w:sz="4" w:space="1" w:color="auto"/>
          <w:right w:val="single" w:sz="4" w:space="4" w:color="auto"/>
        </w:pBdr>
        <w:rPr>
          <w:rFonts w:cs="Arial"/>
          <w:noProof/>
        </w:rPr>
      </w:pPr>
      <w:r>
        <w:rPr>
          <w:noProof/>
        </w:rPr>
        <w:t>Derudover skal hver aftale eller kontrakt, der indgås i henhold til denne forordning, udtrykkeligt indeholde bestemmelse om over</w:t>
      </w:r>
      <w:r>
        <w:rPr>
          <w:noProof/>
        </w:rPr>
        <w:t>vågning af udgifter, der bevilges under projekterne/programmerne, og den korrekte gennemførelse af aktiviteter samt finansiel kontrol udført af Kommissionen, herunder Det Europæiske Kontor for Bekæmpelse af svig (OLAF) og revisioner udført af Revisionsrett</w:t>
      </w:r>
      <w:r>
        <w:rPr>
          <w:noProof/>
        </w:rPr>
        <w:t xml:space="preserve">en, om nødvendigt på stedet. </w:t>
      </w:r>
    </w:p>
    <w:p w:rsidR="00613CC4" w:rsidRDefault="00950A85">
      <w:pPr>
        <w:pBdr>
          <w:top w:val="single" w:sz="4" w:space="1" w:color="auto"/>
          <w:left w:val="single" w:sz="4" w:space="4" w:color="auto"/>
          <w:bottom w:val="single" w:sz="4" w:space="1" w:color="auto"/>
          <w:right w:val="single" w:sz="4" w:space="4" w:color="auto"/>
        </w:pBdr>
        <w:ind w:left="850"/>
        <w:rPr>
          <w:noProof/>
        </w:rPr>
      </w:pPr>
      <w:r>
        <w:rPr>
          <w:noProof/>
        </w:rPr>
        <w:t>GD HOME's strategi til forebyggelse og opdagelse af svig finder anvendelse.</w:t>
      </w:r>
    </w:p>
    <w:p w:rsidR="00613CC4" w:rsidRDefault="00950A85">
      <w:pPr>
        <w:pStyle w:val="ManualHeading3"/>
        <w:rPr>
          <w:noProof/>
        </w:rPr>
      </w:pPr>
      <w:r>
        <w:t>2.2.3.</w:t>
      </w:r>
      <w:r>
        <w:tab/>
      </w:r>
      <w:r>
        <w:rPr>
          <w:noProof/>
        </w:rPr>
        <w:t xml:space="preserve">Anslåede omkostninger og fordele ved kontrollen samt forventet fejlrisiko </w:t>
      </w:r>
    </w:p>
    <w:p w:rsidR="00613CC4" w:rsidRDefault="00950A85">
      <w:pPr>
        <w:pStyle w:val="Text1"/>
        <w:pBdr>
          <w:top w:val="single" w:sz="4" w:space="1" w:color="auto"/>
          <w:left w:val="single" w:sz="4" w:space="4" w:color="auto"/>
          <w:bottom w:val="single" w:sz="4" w:space="1" w:color="auto"/>
          <w:right w:val="single" w:sz="4" w:space="4" w:color="auto"/>
        </w:pBdr>
        <w:rPr>
          <w:noProof/>
        </w:rPr>
      </w:pPr>
      <w:r>
        <w:rPr>
          <w:noProof/>
        </w:rPr>
        <w:t>Der er ikke foretaget nogen skøn, da projektstyringsstrukturen i sig</w:t>
      </w:r>
      <w:r>
        <w:rPr>
          <w:noProof/>
        </w:rPr>
        <w:t xml:space="preserve"> selv omfatter kontrol og risikobegrænsning.</w:t>
      </w:r>
    </w:p>
    <w:p w:rsidR="00613CC4" w:rsidRDefault="00950A85">
      <w:pPr>
        <w:pStyle w:val="ManualHeading2"/>
        <w:rPr>
          <w:bCs/>
          <w:noProof/>
          <w:szCs w:val="24"/>
        </w:rPr>
      </w:pPr>
      <w:r>
        <w:t>2.3.</w:t>
      </w:r>
      <w:r>
        <w:tab/>
      </w:r>
      <w:r>
        <w:rPr>
          <w:noProof/>
        </w:rPr>
        <w:t xml:space="preserve">Foranstaltninger til forebyggelse af svig og uregelmæssigheder </w:t>
      </w:r>
    </w:p>
    <w:p w:rsidR="00613CC4" w:rsidRDefault="00950A85">
      <w:pPr>
        <w:pStyle w:val="Text1"/>
        <w:rPr>
          <w:i/>
          <w:noProof/>
          <w:sz w:val="20"/>
        </w:rPr>
      </w:pPr>
      <w:r>
        <w:rPr>
          <w:i/>
          <w:noProof/>
          <w:sz w:val="20"/>
        </w:rPr>
        <w:t>Angiv eksisterende eller påtænkte forebyggelses- og beskyttelsesforanstaltninger</w:t>
      </w:r>
    </w:p>
    <w:p w:rsidR="00613CC4" w:rsidRDefault="00950A85">
      <w:pPr>
        <w:pStyle w:val="Text1"/>
        <w:pBdr>
          <w:top w:val="single" w:sz="4" w:space="1" w:color="auto"/>
          <w:left w:val="single" w:sz="4" w:space="4" w:color="auto"/>
          <w:bottom w:val="single" w:sz="4" w:space="1" w:color="auto"/>
          <w:right w:val="single" w:sz="4" w:space="4" w:color="auto"/>
        </w:pBdr>
        <w:rPr>
          <w:noProof/>
        </w:rPr>
      </w:pPr>
      <w:r>
        <w:rPr>
          <w:noProof/>
        </w:rPr>
        <w:t xml:space="preserve">Beskyttelse af Fællesskabets finansielle interesser og </w:t>
      </w:r>
      <w:r>
        <w:rPr>
          <w:noProof/>
        </w:rPr>
        <w:t>bekæmpelse af svig og uregelmæssigheder udgør en integrerende del af denne forordning.</w:t>
      </w:r>
    </w:p>
    <w:p w:rsidR="00613CC4" w:rsidRDefault="00950A85">
      <w:pPr>
        <w:pStyle w:val="Text1"/>
        <w:pBdr>
          <w:top w:val="single" w:sz="4" w:space="1" w:color="auto"/>
          <w:left w:val="single" w:sz="4" w:space="4" w:color="auto"/>
          <w:bottom w:val="single" w:sz="4" w:space="1" w:color="auto"/>
          <w:right w:val="single" w:sz="4" w:space="4" w:color="auto"/>
        </w:pBdr>
        <w:rPr>
          <w:noProof/>
        </w:rPr>
      </w:pPr>
      <w:r>
        <w:rPr>
          <w:noProof/>
        </w:rPr>
        <w:t>Der vil blive lagt særlig vægt på udgifternes art (udgifternes støtteberettigelse), overholdelsen af budgetterne (faktiske udgifter) og kontrol af støtteoplysninger og r</w:t>
      </w:r>
      <w:r>
        <w:rPr>
          <w:noProof/>
        </w:rPr>
        <w:t>elevant dokumentation (bilag for udgifter).</w:t>
      </w:r>
    </w:p>
    <w:p w:rsidR="00613CC4" w:rsidRDefault="00613CC4">
      <w:pPr>
        <w:rPr>
          <w:noProof/>
        </w:rPr>
        <w:sectPr w:rsidR="00613CC4">
          <w:pgSz w:w="11907" w:h="16840" w:code="9"/>
          <w:pgMar w:top="1134" w:right="1418" w:bottom="1134" w:left="1418" w:header="709" w:footer="709" w:gutter="0"/>
          <w:cols w:space="708"/>
          <w:docGrid w:linePitch="360"/>
        </w:sectPr>
      </w:pPr>
    </w:p>
    <w:p w:rsidR="00613CC4" w:rsidRDefault="00950A85">
      <w:pPr>
        <w:pStyle w:val="ManualHeading1"/>
        <w:rPr>
          <w:bCs/>
          <w:noProof/>
          <w:szCs w:val="24"/>
        </w:rPr>
      </w:pPr>
      <w:r>
        <w:t>3.</w:t>
      </w:r>
      <w:r>
        <w:tab/>
      </w:r>
      <w:r>
        <w:rPr>
          <w:noProof/>
        </w:rPr>
        <w:t xml:space="preserve">FORSLAGETS/INITIATIVETS ANSLÅEDE FINANSIELLE VIRKNINGER </w:t>
      </w:r>
    </w:p>
    <w:p w:rsidR="00613CC4" w:rsidRDefault="00950A85">
      <w:pPr>
        <w:pStyle w:val="ManualHeading2"/>
        <w:rPr>
          <w:noProof/>
        </w:rPr>
      </w:pPr>
      <w:r>
        <w:t>3.1.</w:t>
      </w:r>
      <w:r>
        <w:tab/>
      </w:r>
      <w:r>
        <w:rPr>
          <w:noProof/>
        </w:rPr>
        <w:t xml:space="preserve">Udgiftsområde(r) i den flerårige finansielle ramme og foreslået(-ede) ny(e) udgiftspost(er) på budgettet </w:t>
      </w:r>
    </w:p>
    <w:p w:rsidR="00613CC4" w:rsidRDefault="00950A85">
      <w:pPr>
        <w:pStyle w:val="ListBullet1"/>
        <w:rPr>
          <w:noProof/>
        </w:rPr>
      </w:pPr>
      <w:r>
        <w:rPr>
          <w:noProof/>
        </w:rPr>
        <w:t>Eksisterende udgi</w:t>
      </w:r>
      <w:r>
        <w:rPr>
          <w:noProof/>
        </w:rPr>
        <w:t xml:space="preserve">ftsposter på budgettet </w:t>
      </w:r>
    </w:p>
    <w:p w:rsidR="00613CC4" w:rsidRDefault="00950A85">
      <w:pPr>
        <w:pStyle w:val="Text1"/>
        <w:rPr>
          <w:noProof/>
        </w:rPr>
      </w:pPr>
      <w:r>
        <w:rPr>
          <w:noProof/>
          <w:u w:val="single"/>
        </w:rPr>
        <w:t>I samme rækkefølge</w:t>
      </w:r>
      <w:r>
        <w:rPr>
          <w:noProof/>
        </w:rPr>
        <w:t xml:space="preserve"> som udgiftsområderne i den flerårige finansielle ramme og budgetposterne.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613CC4">
        <w:tc>
          <w:tcPr>
            <w:tcW w:w="1080" w:type="dxa"/>
            <w:vMerge w:val="restart"/>
            <w:vAlign w:val="center"/>
          </w:tcPr>
          <w:p w:rsidR="00613CC4" w:rsidRDefault="00950A85">
            <w:pPr>
              <w:spacing w:before="60" w:after="60"/>
              <w:jc w:val="center"/>
              <w:rPr>
                <w:noProof/>
              </w:rPr>
            </w:pPr>
            <w:r>
              <w:rPr>
                <w:noProof/>
                <w:sz w:val="18"/>
              </w:rPr>
              <w:t>Udgiftsområde i den flerårige finansielle ramme</w:t>
            </w:r>
          </w:p>
        </w:tc>
        <w:tc>
          <w:tcPr>
            <w:tcW w:w="3960" w:type="dxa"/>
            <w:vAlign w:val="center"/>
          </w:tcPr>
          <w:p w:rsidR="00613CC4" w:rsidRDefault="00950A85">
            <w:pPr>
              <w:spacing w:before="60" w:after="60"/>
              <w:jc w:val="center"/>
              <w:rPr>
                <w:noProof/>
              </w:rPr>
            </w:pPr>
            <w:r>
              <w:rPr>
                <w:noProof/>
                <w:sz w:val="20"/>
              </w:rPr>
              <w:t>Budgetpost</w:t>
            </w:r>
          </w:p>
        </w:tc>
        <w:tc>
          <w:tcPr>
            <w:tcW w:w="1080" w:type="dxa"/>
            <w:vAlign w:val="center"/>
          </w:tcPr>
          <w:p w:rsidR="00613CC4" w:rsidRDefault="00950A85">
            <w:pPr>
              <w:spacing w:before="60" w:after="60"/>
              <w:jc w:val="center"/>
              <w:rPr>
                <w:noProof/>
              </w:rPr>
            </w:pPr>
            <w:r>
              <w:rPr>
                <w:noProof/>
                <w:sz w:val="18"/>
              </w:rPr>
              <w:t xml:space="preserve">Udgiftens </w:t>
            </w:r>
            <w:r>
              <w:rPr>
                <w:noProof/>
                <w:sz w:val="22"/>
              </w:rPr>
              <w:br/>
            </w:r>
            <w:r>
              <w:rPr>
                <w:noProof/>
                <w:sz w:val="18"/>
              </w:rPr>
              <w:t>art</w:t>
            </w:r>
          </w:p>
        </w:tc>
        <w:tc>
          <w:tcPr>
            <w:tcW w:w="4440" w:type="dxa"/>
            <w:gridSpan w:val="4"/>
            <w:vAlign w:val="center"/>
          </w:tcPr>
          <w:p w:rsidR="00613CC4" w:rsidRDefault="00950A85">
            <w:pPr>
              <w:spacing w:before="60" w:after="60"/>
              <w:jc w:val="center"/>
              <w:rPr>
                <w:noProof/>
              </w:rPr>
            </w:pPr>
            <w:r>
              <w:rPr>
                <w:noProof/>
                <w:sz w:val="20"/>
              </w:rPr>
              <w:t xml:space="preserve">Bidrag </w:t>
            </w:r>
          </w:p>
        </w:tc>
      </w:tr>
      <w:tr w:rsidR="00613CC4">
        <w:tc>
          <w:tcPr>
            <w:tcW w:w="1080" w:type="dxa"/>
            <w:vMerge/>
            <w:vAlign w:val="center"/>
          </w:tcPr>
          <w:p w:rsidR="00613CC4" w:rsidRDefault="00613CC4">
            <w:pPr>
              <w:jc w:val="center"/>
              <w:rPr>
                <w:noProof/>
              </w:rPr>
            </w:pPr>
          </w:p>
        </w:tc>
        <w:tc>
          <w:tcPr>
            <w:tcW w:w="3960" w:type="dxa"/>
            <w:vAlign w:val="center"/>
          </w:tcPr>
          <w:p w:rsidR="00613CC4" w:rsidRDefault="00950A85">
            <w:pPr>
              <w:rPr>
                <w:noProof/>
              </w:rPr>
            </w:pPr>
            <w:r>
              <w:rPr>
                <w:noProof/>
                <w:sz w:val="20"/>
              </w:rPr>
              <w:t xml:space="preserve">Nummer </w:t>
            </w:r>
            <w:r>
              <w:rPr>
                <w:noProof/>
                <w:sz w:val="22"/>
              </w:rPr>
              <w:br/>
            </w:r>
            <w:r>
              <w:rPr>
                <w:noProof/>
                <w:sz w:val="20"/>
              </w:rPr>
              <w:t>[Betegnelse…………………………………….]</w:t>
            </w:r>
          </w:p>
        </w:tc>
        <w:tc>
          <w:tcPr>
            <w:tcW w:w="1080" w:type="dxa"/>
            <w:vAlign w:val="center"/>
          </w:tcPr>
          <w:p w:rsidR="00613CC4" w:rsidRDefault="00950A85">
            <w:pPr>
              <w:jc w:val="center"/>
              <w:rPr>
                <w:noProof/>
              </w:rPr>
            </w:pPr>
            <w:r>
              <w:rPr>
                <w:noProof/>
                <w:sz w:val="18"/>
              </w:rPr>
              <w:t>OB/IOB</w:t>
            </w:r>
            <w:r>
              <w:rPr>
                <w:rStyle w:val="FootnoteReference"/>
                <w:noProof/>
                <w:sz w:val="18"/>
              </w:rPr>
              <w:footnoteReference w:id="39"/>
            </w:r>
          </w:p>
        </w:tc>
        <w:tc>
          <w:tcPr>
            <w:tcW w:w="956" w:type="dxa"/>
            <w:vAlign w:val="center"/>
          </w:tcPr>
          <w:p w:rsidR="00613CC4" w:rsidRDefault="00950A85">
            <w:pPr>
              <w:jc w:val="center"/>
              <w:rPr>
                <w:noProof/>
              </w:rPr>
            </w:pPr>
            <w:r>
              <w:rPr>
                <w:noProof/>
                <w:sz w:val="18"/>
              </w:rPr>
              <w:t xml:space="preserve">fra </w:t>
            </w:r>
            <w:r>
              <w:rPr>
                <w:noProof/>
                <w:sz w:val="18"/>
              </w:rPr>
              <w:t>EFTA-lande</w:t>
            </w:r>
            <w:r>
              <w:rPr>
                <w:rStyle w:val="FootnoteReference"/>
                <w:noProof/>
                <w:sz w:val="18"/>
              </w:rPr>
              <w:footnoteReference w:id="40"/>
            </w:r>
          </w:p>
          <w:p w:rsidR="00613CC4" w:rsidRDefault="00613CC4">
            <w:pPr>
              <w:spacing w:before="0" w:after="0"/>
              <w:jc w:val="center"/>
              <w:rPr>
                <w:b/>
                <w:noProof/>
                <w:sz w:val="18"/>
              </w:rPr>
            </w:pPr>
          </w:p>
        </w:tc>
        <w:tc>
          <w:tcPr>
            <w:tcW w:w="1080" w:type="dxa"/>
            <w:vAlign w:val="center"/>
          </w:tcPr>
          <w:p w:rsidR="00613CC4" w:rsidRDefault="00950A85">
            <w:pPr>
              <w:jc w:val="center"/>
              <w:rPr>
                <w:noProof/>
              </w:rPr>
            </w:pPr>
            <w:r>
              <w:rPr>
                <w:noProof/>
                <w:sz w:val="18"/>
              </w:rPr>
              <w:t>fra kandidatlande</w:t>
            </w:r>
            <w:r>
              <w:rPr>
                <w:rStyle w:val="FootnoteReference"/>
                <w:noProof/>
                <w:sz w:val="18"/>
              </w:rPr>
              <w:footnoteReference w:id="41"/>
            </w:r>
          </w:p>
          <w:p w:rsidR="00613CC4" w:rsidRDefault="00613CC4">
            <w:pPr>
              <w:spacing w:before="0" w:after="0"/>
              <w:jc w:val="center"/>
              <w:rPr>
                <w:noProof/>
                <w:sz w:val="18"/>
              </w:rPr>
            </w:pPr>
          </w:p>
        </w:tc>
        <w:tc>
          <w:tcPr>
            <w:tcW w:w="956" w:type="dxa"/>
            <w:vAlign w:val="center"/>
          </w:tcPr>
          <w:p w:rsidR="00613CC4" w:rsidRDefault="00950A85">
            <w:pPr>
              <w:jc w:val="center"/>
              <w:rPr>
                <w:noProof/>
                <w:sz w:val="18"/>
              </w:rPr>
            </w:pPr>
            <w:r>
              <w:rPr>
                <w:noProof/>
                <w:sz w:val="18"/>
              </w:rPr>
              <w:t>fra tredjelande</w:t>
            </w:r>
          </w:p>
        </w:tc>
        <w:tc>
          <w:tcPr>
            <w:tcW w:w="1448" w:type="dxa"/>
            <w:vAlign w:val="center"/>
          </w:tcPr>
          <w:p w:rsidR="00613CC4" w:rsidRDefault="00950A85">
            <w:pPr>
              <w:jc w:val="center"/>
              <w:rPr>
                <w:noProof/>
              </w:rPr>
            </w:pPr>
            <w:r>
              <w:rPr>
                <w:noProof/>
                <w:sz w:val="16"/>
              </w:rPr>
              <w:t xml:space="preserve">iht. finansforordningens artikel 21, stk. 2, litra b) </w:t>
            </w:r>
          </w:p>
        </w:tc>
      </w:tr>
      <w:tr w:rsidR="00613CC4">
        <w:tc>
          <w:tcPr>
            <w:tcW w:w="1080" w:type="dxa"/>
            <w:vAlign w:val="center"/>
          </w:tcPr>
          <w:p w:rsidR="00613CC4" w:rsidRDefault="00613CC4">
            <w:pPr>
              <w:jc w:val="center"/>
              <w:rPr>
                <w:noProof/>
                <w:color w:val="0000FF"/>
              </w:rPr>
            </w:pPr>
          </w:p>
        </w:tc>
        <w:tc>
          <w:tcPr>
            <w:tcW w:w="3960" w:type="dxa"/>
            <w:vAlign w:val="center"/>
          </w:tcPr>
          <w:p w:rsidR="00613CC4" w:rsidRDefault="00950A85">
            <w:pPr>
              <w:spacing w:before="60"/>
              <w:rPr>
                <w:noProof/>
              </w:rPr>
            </w:pPr>
            <w:r>
              <w:rPr>
                <w:noProof/>
                <w:sz w:val="22"/>
              </w:rPr>
              <w:t>[XX.YY.YY.YY]</w:t>
            </w:r>
          </w:p>
          <w:p w:rsidR="00613CC4" w:rsidRDefault="00613CC4">
            <w:pPr>
              <w:spacing w:after="60"/>
              <w:rPr>
                <w:noProof/>
              </w:rPr>
            </w:pPr>
          </w:p>
        </w:tc>
        <w:tc>
          <w:tcPr>
            <w:tcW w:w="1080" w:type="dxa"/>
            <w:vAlign w:val="center"/>
          </w:tcPr>
          <w:p w:rsidR="00613CC4" w:rsidRDefault="00950A85">
            <w:pPr>
              <w:jc w:val="center"/>
              <w:rPr>
                <w:noProof/>
                <w:color w:val="0000FF"/>
              </w:rPr>
            </w:pPr>
            <w:r>
              <w:rPr>
                <w:noProof/>
                <w:sz w:val="22"/>
              </w:rPr>
              <w:t>OB/IOB</w:t>
            </w:r>
          </w:p>
        </w:tc>
        <w:tc>
          <w:tcPr>
            <w:tcW w:w="956" w:type="dxa"/>
            <w:vAlign w:val="center"/>
          </w:tcPr>
          <w:p w:rsidR="00613CC4" w:rsidRDefault="00950A85">
            <w:pPr>
              <w:jc w:val="center"/>
              <w:rPr>
                <w:noProof/>
              </w:rPr>
            </w:pPr>
            <w:r>
              <w:rPr>
                <w:noProof/>
                <w:sz w:val="22"/>
              </w:rPr>
              <w:t>JA/NEJ</w:t>
            </w:r>
          </w:p>
        </w:tc>
        <w:tc>
          <w:tcPr>
            <w:tcW w:w="1080" w:type="dxa"/>
            <w:vAlign w:val="center"/>
          </w:tcPr>
          <w:p w:rsidR="00613CC4" w:rsidRDefault="00950A85">
            <w:pPr>
              <w:jc w:val="center"/>
              <w:rPr>
                <w:noProof/>
              </w:rPr>
            </w:pPr>
            <w:r>
              <w:rPr>
                <w:noProof/>
                <w:sz w:val="22"/>
              </w:rPr>
              <w:t>JA/NEJ</w:t>
            </w:r>
          </w:p>
        </w:tc>
        <w:tc>
          <w:tcPr>
            <w:tcW w:w="956" w:type="dxa"/>
            <w:vAlign w:val="center"/>
          </w:tcPr>
          <w:p w:rsidR="00613CC4" w:rsidRDefault="00950A85">
            <w:pPr>
              <w:jc w:val="center"/>
              <w:rPr>
                <w:noProof/>
              </w:rPr>
            </w:pPr>
            <w:r>
              <w:rPr>
                <w:noProof/>
                <w:sz w:val="22"/>
              </w:rPr>
              <w:t>JA/NEJ</w:t>
            </w:r>
          </w:p>
        </w:tc>
        <w:tc>
          <w:tcPr>
            <w:tcW w:w="1448" w:type="dxa"/>
            <w:vAlign w:val="center"/>
          </w:tcPr>
          <w:p w:rsidR="00613CC4" w:rsidRDefault="00950A85">
            <w:pPr>
              <w:jc w:val="center"/>
              <w:rPr>
                <w:noProof/>
              </w:rPr>
            </w:pPr>
            <w:r>
              <w:rPr>
                <w:noProof/>
                <w:sz w:val="22"/>
              </w:rPr>
              <w:t>JA/NEJ</w:t>
            </w:r>
          </w:p>
        </w:tc>
      </w:tr>
    </w:tbl>
    <w:p w:rsidR="00613CC4" w:rsidRDefault="00950A85">
      <w:pPr>
        <w:pStyle w:val="ListBullet1"/>
        <w:rPr>
          <w:noProof/>
        </w:rPr>
      </w:pPr>
      <w:r>
        <w:rPr>
          <w:noProof/>
        </w:rPr>
        <w:t xml:space="preserve">Nye budgetposter, som der er søgt om. </w:t>
      </w:r>
    </w:p>
    <w:p w:rsidR="00613CC4" w:rsidRDefault="00950A85">
      <w:pPr>
        <w:pStyle w:val="Text1"/>
        <w:rPr>
          <w:i/>
          <w:noProof/>
          <w:sz w:val="20"/>
        </w:rPr>
      </w:pPr>
      <w:r>
        <w:rPr>
          <w:i/>
          <w:noProof/>
          <w:u w:val="single"/>
        </w:rPr>
        <w:t>I samme rækkefølge</w:t>
      </w:r>
      <w:r>
        <w:rPr>
          <w:i/>
          <w:noProof/>
        </w:rPr>
        <w:t xml:space="preserve"> som udgiftsområderne i den flerårige finansielle ramme og budgetposterne.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613CC4">
        <w:tc>
          <w:tcPr>
            <w:tcW w:w="1080" w:type="dxa"/>
            <w:vMerge w:val="restart"/>
            <w:vAlign w:val="center"/>
          </w:tcPr>
          <w:p w:rsidR="00613CC4" w:rsidRDefault="00950A85">
            <w:pPr>
              <w:spacing w:before="60" w:after="60"/>
              <w:jc w:val="center"/>
              <w:rPr>
                <w:noProof/>
                <w:sz w:val="18"/>
                <w:szCs w:val="18"/>
              </w:rPr>
            </w:pPr>
            <w:r>
              <w:rPr>
                <w:noProof/>
                <w:sz w:val="18"/>
              </w:rPr>
              <w:t>Udgiftsområde i den flerårige finansielle ramme</w:t>
            </w:r>
          </w:p>
        </w:tc>
        <w:tc>
          <w:tcPr>
            <w:tcW w:w="3960" w:type="dxa"/>
            <w:vAlign w:val="center"/>
          </w:tcPr>
          <w:p w:rsidR="00613CC4" w:rsidRDefault="00950A85">
            <w:pPr>
              <w:spacing w:before="60" w:after="60"/>
              <w:jc w:val="center"/>
              <w:rPr>
                <w:noProof/>
              </w:rPr>
            </w:pPr>
            <w:r>
              <w:rPr>
                <w:noProof/>
                <w:sz w:val="20"/>
              </w:rPr>
              <w:t>Budgetpost</w:t>
            </w:r>
          </w:p>
        </w:tc>
        <w:tc>
          <w:tcPr>
            <w:tcW w:w="1080" w:type="dxa"/>
            <w:vAlign w:val="center"/>
          </w:tcPr>
          <w:p w:rsidR="00613CC4" w:rsidRDefault="00950A85">
            <w:pPr>
              <w:spacing w:before="60" w:after="60"/>
              <w:jc w:val="center"/>
              <w:rPr>
                <w:noProof/>
              </w:rPr>
            </w:pPr>
            <w:r>
              <w:rPr>
                <w:noProof/>
                <w:sz w:val="18"/>
              </w:rPr>
              <w:t xml:space="preserve">Udgiftens </w:t>
            </w:r>
            <w:r>
              <w:rPr>
                <w:noProof/>
                <w:sz w:val="22"/>
              </w:rPr>
              <w:br/>
            </w:r>
            <w:r>
              <w:rPr>
                <w:noProof/>
                <w:sz w:val="18"/>
              </w:rPr>
              <w:t>art</w:t>
            </w:r>
          </w:p>
        </w:tc>
        <w:tc>
          <w:tcPr>
            <w:tcW w:w="4440" w:type="dxa"/>
            <w:gridSpan w:val="4"/>
            <w:vAlign w:val="center"/>
          </w:tcPr>
          <w:p w:rsidR="00613CC4" w:rsidRDefault="00950A85">
            <w:pPr>
              <w:spacing w:before="60" w:after="60"/>
              <w:jc w:val="center"/>
              <w:rPr>
                <w:noProof/>
              </w:rPr>
            </w:pPr>
            <w:r>
              <w:rPr>
                <w:noProof/>
                <w:sz w:val="20"/>
              </w:rPr>
              <w:t xml:space="preserve">Bidrag </w:t>
            </w:r>
          </w:p>
        </w:tc>
      </w:tr>
      <w:tr w:rsidR="00613CC4">
        <w:tc>
          <w:tcPr>
            <w:tcW w:w="1080" w:type="dxa"/>
            <w:vMerge/>
            <w:vAlign w:val="center"/>
          </w:tcPr>
          <w:p w:rsidR="00613CC4" w:rsidRDefault="00613CC4">
            <w:pPr>
              <w:jc w:val="center"/>
              <w:rPr>
                <w:noProof/>
              </w:rPr>
            </w:pPr>
          </w:p>
        </w:tc>
        <w:tc>
          <w:tcPr>
            <w:tcW w:w="3960" w:type="dxa"/>
            <w:vAlign w:val="center"/>
          </w:tcPr>
          <w:p w:rsidR="00613CC4" w:rsidRDefault="00950A85">
            <w:pPr>
              <w:rPr>
                <w:noProof/>
              </w:rPr>
            </w:pPr>
            <w:r>
              <w:rPr>
                <w:noProof/>
                <w:sz w:val="20"/>
              </w:rPr>
              <w:t>Nummer 3</w:t>
            </w:r>
            <w:r>
              <w:rPr>
                <w:noProof/>
                <w:sz w:val="22"/>
              </w:rPr>
              <w:br/>
            </w:r>
            <w:r>
              <w:rPr>
                <w:noProof/>
              </w:rPr>
              <w:t>Udgiftsområde – Sikkerhed og unionsborgerskab</w:t>
            </w:r>
          </w:p>
        </w:tc>
        <w:tc>
          <w:tcPr>
            <w:tcW w:w="1080" w:type="dxa"/>
            <w:vAlign w:val="center"/>
          </w:tcPr>
          <w:p w:rsidR="00613CC4" w:rsidRDefault="00950A85">
            <w:pPr>
              <w:jc w:val="center"/>
              <w:rPr>
                <w:noProof/>
              </w:rPr>
            </w:pPr>
            <w:r>
              <w:rPr>
                <w:noProof/>
                <w:sz w:val="18"/>
              </w:rPr>
              <w:t>OB/IOB</w:t>
            </w:r>
          </w:p>
        </w:tc>
        <w:tc>
          <w:tcPr>
            <w:tcW w:w="956" w:type="dxa"/>
            <w:vAlign w:val="center"/>
          </w:tcPr>
          <w:p w:rsidR="00613CC4" w:rsidRDefault="00950A85">
            <w:pPr>
              <w:jc w:val="center"/>
              <w:rPr>
                <w:noProof/>
                <w:sz w:val="18"/>
              </w:rPr>
            </w:pPr>
            <w:r>
              <w:rPr>
                <w:noProof/>
                <w:sz w:val="18"/>
              </w:rPr>
              <w:t>fra EFTA-lande</w:t>
            </w:r>
          </w:p>
        </w:tc>
        <w:tc>
          <w:tcPr>
            <w:tcW w:w="1080" w:type="dxa"/>
            <w:vAlign w:val="center"/>
          </w:tcPr>
          <w:p w:rsidR="00613CC4" w:rsidRDefault="00950A85">
            <w:pPr>
              <w:jc w:val="center"/>
              <w:rPr>
                <w:noProof/>
                <w:sz w:val="18"/>
              </w:rPr>
            </w:pPr>
            <w:r>
              <w:rPr>
                <w:noProof/>
                <w:sz w:val="18"/>
              </w:rPr>
              <w:t>fra kandidatlande</w:t>
            </w:r>
          </w:p>
        </w:tc>
        <w:tc>
          <w:tcPr>
            <w:tcW w:w="956" w:type="dxa"/>
            <w:vAlign w:val="center"/>
          </w:tcPr>
          <w:p w:rsidR="00613CC4" w:rsidRDefault="00950A85">
            <w:pPr>
              <w:jc w:val="center"/>
              <w:rPr>
                <w:noProof/>
                <w:sz w:val="18"/>
              </w:rPr>
            </w:pPr>
            <w:r>
              <w:rPr>
                <w:noProof/>
                <w:sz w:val="18"/>
              </w:rPr>
              <w:t>fra tredjelande</w:t>
            </w:r>
          </w:p>
        </w:tc>
        <w:tc>
          <w:tcPr>
            <w:tcW w:w="1448" w:type="dxa"/>
            <w:vAlign w:val="center"/>
          </w:tcPr>
          <w:p w:rsidR="00613CC4" w:rsidRDefault="00950A85">
            <w:pPr>
              <w:jc w:val="center"/>
              <w:rPr>
                <w:noProof/>
              </w:rPr>
            </w:pPr>
            <w:r>
              <w:rPr>
                <w:noProof/>
                <w:sz w:val="16"/>
              </w:rPr>
              <w:t xml:space="preserve">iht. finansforordningens artikel 21, stk. 2, litra b) </w:t>
            </w:r>
          </w:p>
        </w:tc>
      </w:tr>
      <w:tr w:rsidR="00613CC4">
        <w:tc>
          <w:tcPr>
            <w:tcW w:w="1080" w:type="dxa"/>
            <w:vAlign w:val="center"/>
          </w:tcPr>
          <w:p w:rsidR="00613CC4" w:rsidRDefault="00613CC4">
            <w:pPr>
              <w:jc w:val="center"/>
              <w:rPr>
                <w:noProof/>
                <w:color w:val="0000FF"/>
              </w:rPr>
            </w:pPr>
          </w:p>
        </w:tc>
        <w:tc>
          <w:tcPr>
            <w:tcW w:w="3960" w:type="dxa"/>
            <w:vAlign w:val="center"/>
          </w:tcPr>
          <w:p w:rsidR="00613CC4" w:rsidRDefault="00950A85">
            <w:pPr>
              <w:spacing w:after="60"/>
              <w:rPr>
                <w:noProof/>
                <w:color w:val="0000FF"/>
              </w:rPr>
            </w:pPr>
            <w:r>
              <w:rPr>
                <w:noProof/>
                <w:sz w:val="20"/>
              </w:rPr>
              <w:t>Tidligere budgetpost for ISF (18.020101) under den flerårige finansielle ramme 2014-2020</w:t>
            </w:r>
            <w:r>
              <w:rPr>
                <w:noProof/>
                <w:color w:val="0000FF"/>
                <w:sz w:val="22"/>
              </w:rPr>
              <w:t xml:space="preserve"> </w:t>
            </w:r>
          </w:p>
        </w:tc>
        <w:tc>
          <w:tcPr>
            <w:tcW w:w="1080" w:type="dxa"/>
            <w:vAlign w:val="center"/>
          </w:tcPr>
          <w:p w:rsidR="00613CC4" w:rsidRDefault="00950A85">
            <w:pPr>
              <w:jc w:val="center"/>
              <w:rPr>
                <w:noProof/>
                <w:color w:val="0000FF"/>
              </w:rPr>
            </w:pPr>
            <w:r>
              <w:rPr>
                <w:noProof/>
                <w:color w:val="0000FF"/>
                <w:sz w:val="22"/>
              </w:rPr>
              <w:t>OB</w:t>
            </w:r>
          </w:p>
        </w:tc>
        <w:tc>
          <w:tcPr>
            <w:tcW w:w="956" w:type="dxa"/>
            <w:vAlign w:val="center"/>
          </w:tcPr>
          <w:p w:rsidR="00613CC4" w:rsidRDefault="00950A85">
            <w:pPr>
              <w:jc w:val="center"/>
              <w:rPr>
                <w:noProof/>
              </w:rPr>
            </w:pPr>
            <w:r>
              <w:rPr>
                <w:noProof/>
                <w:sz w:val="22"/>
              </w:rPr>
              <w:t>NEJ</w:t>
            </w:r>
          </w:p>
        </w:tc>
        <w:tc>
          <w:tcPr>
            <w:tcW w:w="1080" w:type="dxa"/>
            <w:vAlign w:val="center"/>
          </w:tcPr>
          <w:p w:rsidR="00613CC4" w:rsidRDefault="00950A85">
            <w:pPr>
              <w:jc w:val="center"/>
              <w:rPr>
                <w:noProof/>
                <w:color w:val="0000FF"/>
                <w:sz w:val="18"/>
              </w:rPr>
            </w:pPr>
            <w:r>
              <w:rPr>
                <w:noProof/>
                <w:sz w:val="22"/>
              </w:rPr>
              <w:t>NEJ</w:t>
            </w:r>
          </w:p>
        </w:tc>
        <w:tc>
          <w:tcPr>
            <w:tcW w:w="956" w:type="dxa"/>
            <w:vAlign w:val="center"/>
          </w:tcPr>
          <w:p w:rsidR="00613CC4" w:rsidRDefault="00950A85">
            <w:pPr>
              <w:jc w:val="center"/>
              <w:rPr>
                <w:noProof/>
                <w:color w:val="0000FF"/>
                <w:sz w:val="18"/>
              </w:rPr>
            </w:pPr>
            <w:r>
              <w:rPr>
                <w:noProof/>
                <w:sz w:val="22"/>
              </w:rPr>
              <w:t>JA</w:t>
            </w:r>
          </w:p>
        </w:tc>
        <w:tc>
          <w:tcPr>
            <w:tcW w:w="1448" w:type="dxa"/>
            <w:vAlign w:val="center"/>
          </w:tcPr>
          <w:p w:rsidR="00613CC4" w:rsidRDefault="00950A85">
            <w:pPr>
              <w:jc w:val="center"/>
              <w:rPr>
                <w:noProof/>
              </w:rPr>
            </w:pPr>
            <w:r>
              <w:rPr>
                <w:noProof/>
                <w:sz w:val="22"/>
              </w:rPr>
              <w:t>NEJ</w:t>
            </w:r>
          </w:p>
        </w:tc>
      </w:tr>
    </w:tbl>
    <w:p w:rsidR="00613CC4" w:rsidRDefault="00613CC4">
      <w:pPr>
        <w:rPr>
          <w:noProof/>
        </w:rPr>
        <w:sectPr w:rsidR="00613CC4">
          <w:pgSz w:w="11907" w:h="16840" w:code="1"/>
          <w:pgMar w:top="1134" w:right="1418" w:bottom="1134" w:left="1418" w:header="709" w:footer="709" w:gutter="0"/>
          <w:cols w:space="708"/>
          <w:docGrid w:linePitch="360"/>
        </w:sectPr>
      </w:pPr>
    </w:p>
    <w:p w:rsidR="00613CC4" w:rsidRDefault="00950A85">
      <w:pPr>
        <w:pStyle w:val="ManualHeading2"/>
        <w:rPr>
          <w:bCs/>
          <w:noProof/>
          <w:szCs w:val="24"/>
        </w:rPr>
      </w:pPr>
      <w:r>
        <w:t>3.2.</w:t>
      </w:r>
      <w:r>
        <w:tab/>
      </w:r>
      <w:r>
        <w:rPr>
          <w:noProof/>
        </w:rPr>
        <w:t xml:space="preserve">Anslåede virkninger for udgifterne </w:t>
      </w:r>
    </w:p>
    <w:p w:rsidR="00613CC4" w:rsidRDefault="00950A85">
      <w:pPr>
        <w:pStyle w:val="Text1"/>
        <w:rPr>
          <w:noProof/>
        </w:rPr>
      </w:pPr>
      <w:r>
        <w:rPr>
          <w:noProof/>
        </w:rPr>
        <w:t xml:space="preserve">Dette afsnit skal udfyldes ved hjælp af </w:t>
      </w:r>
      <w:hyperlink r:id="rId13">
        <w:r>
          <w:rPr>
            <w:rStyle w:val="Hyperlink"/>
            <w:noProof/>
          </w:rPr>
          <w:t>arket vedrørende administrative budgetoplysninger</w:t>
        </w:r>
      </w:hyperlink>
      <w:r>
        <w:rPr>
          <w:noProof/>
        </w:rPr>
        <w:t xml:space="preserve"> (det andet dokument i bilaget til denne finansieringsoversigt) og uploades til CISNET </w:t>
      </w:r>
      <w:r>
        <w:rPr>
          <w:noProof/>
        </w:rPr>
        <w:t>med henblik på høring af andre tjenestegrene.</w:t>
      </w:r>
    </w:p>
    <w:p w:rsidR="00613CC4" w:rsidRDefault="00950A85">
      <w:pPr>
        <w:pStyle w:val="ManualHeading3"/>
        <w:rPr>
          <w:noProof/>
          <w:u w:val="single"/>
        </w:rPr>
      </w:pPr>
      <w:r>
        <w:t>3.2.1.</w:t>
      </w:r>
      <w:r>
        <w:tab/>
      </w:r>
      <w:r>
        <w:rPr>
          <w:noProof/>
        </w:rPr>
        <w:t xml:space="preserve">Sammenfatning af de anslåede virkninger for udgifterne </w:t>
      </w:r>
    </w:p>
    <w:p w:rsidR="00613CC4" w:rsidRDefault="00950A85">
      <w:pPr>
        <w:jc w:val="right"/>
        <w:rPr>
          <w:noProof/>
          <w:sz w:val="20"/>
        </w:rPr>
      </w:pPr>
      <w:r>
        <w:rPr>
          <w:noProof/>
          <w:sz w:val="20"/>
        </w:rPr>
        <w:t>i mio. EUR (tre decimaler)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613CC4">
        <w:trPr>
          <w:jc w:val="center"/>
        </w:trPr>
        <w:tc>
          <w:tcPr>
            <w:tcW w:w="4744" w:type="dxa"/>
            <w:shd w:val="thinDiagStripe" w:color="C0C0C0" w:fill="auto"/>
            <w:vAlign w:val="center"/>
          </w:tcPr>
          <w:p w:rsidR="00613CC4" w:rsidRDefault="00950A85">
            <w:pPr>
              <w:spacing w:before="60" w:after="60"/>
              <w:jc w:val="center"/>
              <w:rPr>
                <w:b/>
                <w:noProof/>
              </w:rPr>
            </w:pPr>
            <w:r>
              <w:rPr>
                <w:b/>
                <w:noProof/>
                <w:sz w:val="22"/>
              </w:rPr>
              <w:t xml:space="preserve">Udgiftsområde i den flerårige finansielle </w:t>
            </w:r>
            <w:r>
              <w:rPr>
                <w:noProof/>
                <w:sz w:val="22"/>
              </w:rPr>
              <w:br/>
            </w:r>
            <w:r>
              <w:rPr>
                <w:b/>
                <w:noProof/>
                <w:sz w:val="22"/>
              </w:rPr>
              <w:t xml:space="preserve">ramme </w:t>
            </w:r>
          </w:p>
        </w:tc>
        <w:tc>
          <w:tcPr>
            <w:tcW w:w="1080" w:type="dxa"/>
            <w:vAlign w:val="center"/>
          </w:tcPr>
          <w:p w:rsidR="00613CC4" w:rsidRDefault="00950A85">
            <w:pPr>
              <w:spacing w:before="60" w:after="60"/>
              <w:jc w:val="center"/>
              <w:rPr>
                <w:noProof/>
              </w:rPr>
            </w:pPr>
            <w:r>
              <w:rPr>
                <w:noProof/>
                <w:sz w:val="22"/>
              </w:rPr>
              <w:t>Udgiftsområde</w:t>
            </w:r>
          </w:p>
        </w:tc>
        <w:tc>
          <w:tcPr>
            <w:tcW w:w="7817" w:type="dxa"/>
            <w:vAlign w:val="center"/>
          </w:tcPr>
          <w:p w:rsidR="00613CC4" w:rsidRDefault="00950A85">
            <w:pPr>
              <w:spacing w:before="60" w:after="60"/>
              <w:rPr>
                <w:noProof/>
              </w:rPr>
            </w:pPr>
            <w:r>
              <w:rPr>
                <w:noProof/>
                <w:sz w:val="22"/>
              </w:rPr>
              <w:t>3 – Sikkerhed og unionsborgerskab</w:t>
            </w:r>
          </w:p>
        </w:tc>
      </w:tr>
    </w:tbl>
    <w:p w:rsidR="00613CC4" w:rsidRDefault="00613CC4">
      <w:pPr>
        <w:rPr>
          <w:noProof/>
          <w:sz w:val="16"/>
        </w:rPr>
      </w:pPr>
    </w:p>
    <w:tbl>
      <w:tblPr>
        <w:tblW w:w="147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20"/>
        <w:gridCol w:w="120"/>
        <w:gridCol w:w="414"/>
        <w:gridCol w:w="868"/>
        <w:gridCol w:w="868"/>
        <w:gridCol w:w="868"/>
        <w:gridCol w:w="868"/>
        <w:gridCol w:w="868"/>
        <w:gridCol w:w="868"/>
        <w:gridCol w:w="868"/>
        <w:gridCol w:w="868"/>
        <w:gridCol w:w="950"/>
        <w:gridCol w:w="1052"/>
      </w:tblGrid>
      <w:tr w:rsidR="00613CC4">
        <w:tc>
          <w:tcPr>
            <w:tcW w:w="3960" w:type="dxa"/>
            <w:vAlign w:val="center"/>
          </w:tcPr>
          <w:p w:rsidR="00613CC4" w:rsidRDefault="00950A85">
            <w:pPr>
              <w:jc w:val="center"/>
              <w:rPr>
                <w:noProof/>
              </w:rPr>
            </w:pPr>
            <w:r>
              <w:rPr>
                <w:noProof/>
                <w:sz w:val="22"/>
              </w:rPr>
              <w:t>GD: HOME</w:t>
            </w:r>
          </w:p>
        </w:tc>
        <w:tc>
          <w:tcPr>
            <w:tcW w:w="1320" w:type="dxa"/>
          </w:tcPr>
          <w:p w:rsidR="00613CC4" w:rsidRDefault="00613CC4">
            <w:pPr>
              <w:rPr>
                <w:noProof/>
                <w:sz w:val="20"/>
              </w:rPr>
            </w:pPr>
          </w:p>
        </w:tc>
        <w:tc>
          <w:tcPr>
            <w:tcW w:w="534" w:type="dxa"/>
            <w:gridSpan w:val="2"/>
          </w:tcPr>
          <w:p w:rsidR="00613CC4" w:rsidRDefault="00613CC4">
            <w:pPr>
              <w:jc w:val="center"/>
              <w:rPr>
                <w:noProof/>
                <w:sz w:val="20"/>
              </w:rPr>
            </w:pPr>
          </w:p>
        </w:tc>
        <w:tc>
          <w:tcPr>
            <w:tcW w:w="868" w:type="dxa"/>
          </w:tcPr>
          <w:p w:rsidR="00613CC4" w:rsidRDefault="00950A85">
            <w:pPr>
              <w:jc w:val="center"/>
              <w:rPr>
                <w:noProof/>
                <w:sz w:val="20"/>
              </w:rPr>
            </w:pPr>
            <w:r>
              <w:rPr>
                <w:noProof/>
                <w:sz w:val="20"/>
              </w:rPr>
              <w:t xml:space="preserve">År </w:t>
            </w:r>
            <w:r>
              <w:rPr>
                <w:b/>
                <w:noProof/>
                <w:sz w:val="20"/>
              </w:rPr>
              <w:t>2019</w:t>
            </w:r>
            <w:r>
              <w:rPr>
                <w:rStyle w:val="FootnoteReference"/>
                <w:b/>
                <w:noProof/>
                <w:sz w:val="20"/>
              </w:rPr>
              <w:footnoteReference w:id="42"/>
            </w:r>
          </w:p>
        </w:tc>
        <w:tc>
          <w:tcPr>
            <w:tcW w:w="868" w:type="dxa"/>
            <w:vAlign w:val="center"/>
          </w:tcPr>
          <w:p w:rsidR="00613CC4" w:rsidRDefault="00950A85">
            <w:pPr>
              <w:jc w:val="center"/>
              <w:rPr>
                <w:noProof/>
                <w:sz w:val="20"/>
              </w:rPr>
            </w:pPr>
            <w:r>
              <w:rPr>
                <w:noProof/>
                <w:sz w:val="20"/>
              </w:rPr>
              <w:t>År</w:t>
            </w:r>
            <w:r>
              <w:rPr>
                <w:noProof/>
                <w:sz w:val="22"/>
              </w:rPr>
              <w:br/>
            </w:r>
            <w:r>
              <w:rPr>
                <w:b/>
                <w:noProof/>
                <w:sz w:val="20"/>
              </w:rPr>
              <w:t>2020</w:t>
            </w:r>
          </w:p>
        </w:tc>
        <w:tc>
          <w:tcPr>
            <w:tcW w:w="868" w:type="dxa"/>
            <w:vAlign w:val="center"/>
          </w:tcPr>
          <w:p w:rsidR="00613CC4" w:rsidRDefault="00950A85">
            <w:pPr>
              <w:jc w:val="center"/>
              <w:rPr>
                <w:noProof/>
                <w:sz w:val="20"/>
              </w:rPr>
            </w:pPr>
            <w:r>
              <w:rPr>
                <w:noProof/>
                <w:sz w:val="20"/>
              </w:rPr>
              <w:t>År</w:t>
            </w:r>
            <w:r>
              <w:rPr>
                <w:noProof/>
                <w:sz w:val="22"/>
              </w:rPr>
              <w:br/>
            </w:r>
            <w:r>
              <w:rPr>
                <w:b/>
                <w:noProof/>
                <w:sz w:val="20"/>
              </w:rPr>
              <w:t>2021</w:t>
            </w:r>
          </w:p>
        </w:tc>
        <w:tc>
          <w:tcPr>
            <w:tcW w:w="868" w:type="dxa"/>
            <w:vAlign w:val="center"/>
          </w:tcPr>
          <w:p w:rsidR="00613CC4" w:rsidRDefault="00950A85">
            <w:pPr>
              <w:jc w:val="center"/>
              <w:rPr>
                <w:noProof/>
                <w:sz w:val="20"/>
              </w:rPr>
            </w:pPr>
            <w:r>
              <w:rPr>
                <w:noProof/>
                <w:sz w:val="20"/>
              </w:rPr>
              <w:t>År</w:t>
            </w:r>
            <w:r>
              <w:rPr>
                <w:noProof/>
                <w:sz w:val="22"/>
              </w:rPr>
              <w:br/>
            </w:r>
            <w:r>
              <w:rPr>
                <w:b/>
                <w:noProof/>
                <w:sz w:val="20"/>
              </w:rPr>
              <w:t>2022</w:t>
            </w:r>
          </w:p>
        </w:tc>
        <w:tc>
          <w:tcPr>
            <w:tcW w:w="868" w:type="dxa"/>
            <w:vAlign w:val="center"/>
          </w:tcPr>
          <w:p w:rsidR="00613CC4" w:rsidRDefault="00950A85">
            <w:pPr>
              <w:jc w:val="center"/>
              <w:rPr>
                <w:noProof/>
                <w:sz w:val="20"/>
              </w:rPr>
            </w:pPr>
            <w:r>
              <w:rPr>
                <w:noProof/>
                <w:sz w:val="20"/>
              </w:rPr>
              <w:t>År</w:t>
            </w:r>
            <w:r>
              <w:rPr>
                <w:noProof/>
                <w:sz w:val="22"/>
              </w:rPr>
              <w:br/>
            </w:r>
            <w:r>
              <w:rPr>
                <w:b/>
                <w:noProof/>
                <w:sz w:val="20"/>
              </w:rPr>
              <w:t>2023</w:t>
            </w:r>
          </w:p>
        </w:tc>
        <w:tc>
          <w:tcPr>
            <w:tcW w:w="868" w:type="dxa"/>
            <w:vAlign w:val="center"/>
          </w:tcPr>
          <w:p w:rsidR="00613CC4" w:rsidRDefault="00950A85">
            <w:pPr>
              <w:jc w:val="center"/>
              <w:rPr>
                <w:b/>
                <w:noProof/>
                <w:sz w:val="18"/>
              </w:rPr>
            </w:pPr>
            <w:r>
              <w:rPr>
                <w:noProof/>
                <w:sz w:val="20"/>
              </w:rPr>
              <w:t>År</w:t>
            </w:r>
            <w:r>
              <w:rPr>
                <w:noProof/>
                <w:sz w:val="22"/>
              </w:rPr>
              <w:br/>
            </w:r>
            <w:r>
              <w:rPr>
                <w:b/>
                <w:noProof/>
                <w:sz w:val="20"/>
              </w:rPr>
              <w:t>2024</w:t>
            </w:r>
          </w:p>
        </w:tc>
        <w:tc>
          <w:tcPr>
            <w:tcW w:w="868" w:type="dxa"/>
            <w:vAlign w:val="center"/>
          </w:tcPr>
          <w:p w:rsidR="00613CC4" w:rsidRDefault="00950A85">
            <w:pPr>
              <w:jc w:val="center"/>
              <w:rPr>
                <w:b/>
                <w:noProof/>
                <w:sz w:val="18"/>
              </w:rPr>
            </w:pPr>
            <w:r>
              <w:rPr>
                <w:noProof/>
                <w:sz w:val="20"/>
              </w:rPr>
              <w:t>År</w:t>
            </w:r>
            <w:r>
              <w:rPr>
                <w:noProof/>
                <w:sz w:val="22"/>
              </w:rPr>
              <w:br/>
            </w:r>
            <w:r>
              <w:rPr>
                <w:b/>
                <w:noProof/>
                <w:sz w:val="20"/>
              </w:rPr>
              <w:t>2025</w:t>
            </w:r>
          </w:p>
        </w:tc>
        <w:tc>
          <w:tcPr>
            <w:tcW w:w="868" w:type="dxa"/>
            <w:vAlign w:val="center"/>
          </w:tcPr>
          <w:p w:rsidR="00613CC4" w:rsidRDefault="00950A85">
            <w:pPr>
              <w:jc w:val="center"/>
              <w:rPr>
                <w:b/>
                <w:noProof/>
                <w:sz w:val="18"/>
              </w:rPr>
            </w:pPr>
            <w:r>
              <w:rPr>
                <w:noProof/>
                <w:sz w:val="20"/>
              </w:rPr>
              <w:t>År</w:t>
            </w:r>
            <w:r>
              <w:rPr>
                <w:noProof/>
                <w:sz w:val="22"/>
              </w:rPr>
              <w:br/>
            </w:r>
            <w:r>
              <w:rPr>
                <w:b/>
                <w:noProof/>
                <w:sz w:val="20"/>
              </w:rPr>
              <w:t>2026</w:t>
            </w:r>
          </w:p>
        </w:tc>
        <w:tc>
          <w:tcPr>
            <w:tcW w:w="950" w:type="dxa"/>
            <w:vAlign w:val="center"/>
          </w:tcPr>
          <w:p w:rsidR="00613CC4" w:rsidRDefault="00950A85">
            <w:pPr>
              <w:jc w:val="center"/>
              <w:rPr>
                <w:b/>
                <w:noProof/>
                <w:sz w:val="20"/>
              </w:rPr>
            </w:pPr>
            <w:r>
              <w:rPr>
                <w:noProof/>
                <w:sz w:val="20"/>
              </w:rPr>
              <w:t>År</w:t>
            </w:r>
            <w:r>
              <w:rPr>
                <w:noProof/>
                <w:sz w:val="22"/>
              </w:rPr>
              <w:br/>
            </w:r>
            <w:r>
              <w:rPr>
                <w:b/>
                <w:noProof/>
                <w:sz w:val="20"/>
              </w:rPr>
              <w:t>2027</w:t>
            </w:r>
          </w:p>
        </w:tc>
        <w:tc>
          <w:tcPr>
            <w:tcW w:w="1052" w:type="dxa"/>
            <w:vAlign w:val="center"/>
          </w:tcPr>
          <w:p w:rsidR="00613CC4" w:rsidRDefault="00950A85">
            <w:pPr>
              <w:jc w:val="center"/>
              <w:rPr>
                <w:b/>
                <w:noProof/>
                <w:sz w:val="20"/>
              </w:rPr>
            </w:pPr>
            <w:r>
              <w:rPr>
                <w:b/>
                <w:noProof/>
                <w:sz w:val="20"/>
              </w:rPr>
              <w:t>I ALT</w:t>
            </w:r>
          </w:p>
        </w:tc>
      </w:tr>
      <w:tr w:rsidR="00613CC4">
        <w:trPr>
          <w:trHeight w:val="213"/>
        </w:trPr>
        <w:tc>
          <w:tcPr>
            <w:tcW w:w="5814" w:type="dxa"/>
            <w:gridSpan w:val="4"/>
            <w:vAlign w:val="center"/>
          </w:tcPr>
          <w:p w:rsidR="00613CC4" w:rsidRDefault="00950A85">
            <w:pPr>
              <w:spacing w:before="20" w:after="20"/>
              <w:rPr>
                <w:noProof/>
                <w:sz w:val="21"/>
              </w:rPr>
            </w:pPr>
            <w:r>
              <w:rPr>
                <w:noProof/>
                <w:sz w:val="21"/>
              </w:rPr>
              <w:sym w:font="Wingdings" w:char="F09F"/>
            </w:r>
            <w:r>
              <w:rPr>
                <w:noProof/>
                <w:sz w:val="21"/>
              </w:rPr>
              <w:t>Aktionsbevillinger*</w:t>
            </w:r>
          </w:p>
        </w:tc>
        <w:tc>
          <w:tcPr>
            <w:tcW w:w="868" w:type="dxa"/>
            <w:vAlign w:val="center"/>
          </w:tcPr>
          <w:p w:rsidR="00613CC4" w:rsidRDefault="00613CC4">
            <w:pPr>
              <w:rPr>
                <w:noProof/>
                <w:sz w:val="20"/>
              </w:rPr>
            </w:pPr>
          </w:p>
        </w:tc>
        <w:tc>
          <w:tcPr>
            <w:tcW w:w="868" w:type="dxa"/>
            <w:vAlign w:val="center"/>
          </w:tcPr>
          <w:p w:rsidR="00613CC4" w:rsidRDefault="00613CC4">
            <w:pPr>
              <w:rPr>
                <w:noProof/>
                <w:sz w:val="20"/>
              </w:rPr>
            </w:pPr>
          </w:p>
        </w:tc>
        <w:tc>
          <w:tcPr>
            <w:tcW w:w="868" w:type="dxa"/>
          </w:tcPr>
          <w:p w:rsidR="00613CC4" w:rsidRDefault="00613CC4">
            <w:pPr>
              <w:rPr>
                <w:noProof/>
                <w:sz w:val="20"/>
              </w:rPr>
            </w:pPr>
          </w:p>
        </w:tc>
        <w:tc>
          <w:tcPr>
            <w:tcW w:w="868" w:type="dxa"/>
            <w:vAlign w:val="center"/>
          </w:tcPr>
          <w:p w:rsidR="00613CC4" w:rsidRDefault="00613CC4">
            <w:pPr>
              <w:rPr>
                <w:noProof/>
                <w:sz w:val="20"/>
              </w:rPr>
            </w:pPr>
          </w:p>
        </w:tc>
        <w:tc>
          <w:tcPr>
            <w:tcW w:w="868" w:type="dxa"/>
            <w:vAlign w:val="center"/>
          </w:tcPr>
          <w:p w:rsidR="00613CC4" w:rsidRDefault="00613CC4">
            <w:pPr>
              <w:rPr>
                <w:noProof/>
                <w:sz w:val="20"/>
              </w:rPr>
            </w:pPr>
          </w:p>
        </w:tc>
        <w:tc>
          <w:tcPr>
            <w:tcW w:w="868" w:type="dxa"/>
            <w:vAlign w:val="center"/>
          </w:tcPr>
          <w:p w:rsidR="00613CC4" w:rsidRDefault="00613CC4">
            <w:pPr>
              <w:rPr>
                <w:noProof/>
                <w:sz w:val="20"/>
              </w:rPr>
            </w:pPr>
          </w:p>
        </w:tc>
        <w:tc>
          <w:tcPr>
            <w:tcW w:w="868" w:type="dxa"/>
            <w:vAlign w:val="center"/>
          </w:tcPr>
          <w:p w:rsidR="00613CC4" w:rsidRDefault="00613CC4">
            <w:pPr>
              <w:rPr>
                <w:noProof/>
                <w:sz w:val="20"/>
              </w:rPr>
            </w:pPr>
          </w:p>
        </w:tc>
        <w:tc>
          <w:tcPr>
            <w:tcW w:w="868" w:type="dxa"/>
            <w:vAlign w:val="center"/>
          </w:tcPr>
          <w:p w:rsidR="00613CC4" w:rsidRDefault="00613CC4">
            <w:pPr>
              <w:rPr>
                <w:b/>
                <w:noProof/>
                <w:sz w:val="20"/>
              </w:rPr>
            </w:pPr>
          </w:p>
        </w:tc>
        <w:tc>
          <w:tcPr>
            <w:tcW w:w="950" w:type="dxa"/>
            <w:vAlign w:val="center"/>
          </w:tcPr>
          <w:p w:rsidR="00613CC4" w:rsidRDefault="00613CC4">
            <w:pPr>
              <w:rPr>
                <w:b/>
                <w:noProof/>
                <w:sz w:val="20"/>
              </w:rPr>
            </w:pPr>
          </w:p>
        </w:tc>
        <w:tc>
          <w:tcPr>
            <w:tcW w:w="1052" w:type="dxa"/>
            <w:vAlign w:val="center"/>
          </w:tcPr>
          <w:p w:rsidR="00613CC4" w:rsidRDefault="00613CC4">
            <w:pPr>
              <w:rPr>
                <w:b/>
                <w:noProof/>
                <w:sz w:val="20"/>
              </w:rPr>
            </w:pPr>
          </w:p>
        </w:tc>
      </w:tr>
      <w:tr w:rsidR="00613CC4">
        <w:trPr>
          <w:trHeight w:val="277"/>
        </w:trPr>
        <w:tc>
          <w:tcPr>
            <w:tcW w:w="3960" w:type="dxa"/>
            <w:vMerge w:val="restart"/>
            <w:vAlign w:val="center"/>
          </w:tcPr>
          <w:p w:rsidR="00613CC4" w:rsidRDefault="00950A85">
            <w:pPr>
              <w:rPr>
                <w:noProof/>
              </w:rPr>
            </w:pPr>
            <w:r>
              <w:rPr>
                <w:noProof/>
                <w:sz w:val="20"/>
              </w:rPr>
              <w:t>Tidligere budgetpost for ISF (18.020101) under den flerårige finansielle ramme 2014-2020</w:t>
            </w:r>
          </w:p>
        </w:tc>
        <w:tc>
          <w:tcPr>
            <w:tcW w:w="1440" w:type="dxa"/>
            <w:gridSpan w:val="2"/>
            <w:vAlign w:val="center"/>
          </w:tcPr>
          <w:p w:rsidR="00613CC4" w:rsidRDefault="00950A85">
            <w:pPr>
              <w:spacing w:before="20" w:after="20"/>
              <w:rPr>
                <w:noProof/>
                <w:sz w:val="18"/>
              </w:rPr>
            </w:pPr>
            <w:r>
              <w:rPr>
                <w:noProof/>
                <w:sz w:val="18"/>
              </w:rPr>
              <w:t>Forpligtelser</w:t>
            </w:r>
          </w:p>
        </w:tc>
        <w:tc>
          <w:tcPr>
            <w:tcW w:w="414" w:type="dxa"/>
            <w:vAlign w:val="center"/>
          </w:tcPr>
          <w:p w:rsidR="00613CC4" w:rsidRDefault="00950A85">
            <w:pPr>
              <w:spacing w:before="20" w:after="20"/>
              <w:jc w:val="center"/>
              <w:rPr>
                <w:noProof/>
                <w:sz w:val="14"/>
              </w:rPr>
            </w:pPr>
            <w:r>
              <w:rPr>
                <w:noProof/>
                <w:sz w:val="14"/>
              </w:rPr>
              <w:t>(1)</w:t>
            </w:r>
          </w:p>
        </w:tc>
        <w:tc>
          <w:tcPr>
            <w:tcW w:w="868" w:type="dxa"/>
            <w:vAlign w:val="center"/>
          </w:tcPr>
          <w:p w:rsidR="00613CC4" w:rsidRDefault="00950A85">
            <w:pPr>
              <w:spacing w:before="20" w:after="20"/>
              <w:jc w:val="center"/>
              <w:rPr>
                <w:noProof/>
                <w:sz w:val="20"/>
              </w:rPr>
            </w:pPr>
            <w:r>
              <w:rPr>
                <w:noProof/>
                <w:sz w:val="20"/>
              </w:rPr>
              <w:t>0,360</w:t>
            </w:r>
          </w:p>
        </w:tc>
        <w:tc>
          <w:tcPr>
            <w:tcW w:w="868" w:type="dxa"/>
            <w:vAlign w:val="center"/>
          </w:tcPr>
          <w:p w:rsidR="00613CC4" w:rsidRDefault="00950A85">
            <w:pPr>
              <w:spacing w:before="20" w:after="20"/>
              <w:jc w:val="center"/>
              <w:rPr>
                <w:noProof/>
                <w:sz w:val="20"/>
              </w:rPr>
            </w:pPr>
            <w:r>
              <w:rPr>
                <w:noProof/>
                <w:sz w:val="20"/>
              </w:rPr>
              <w:t>0,500</w:t>
            </w:r>
          </w:p>
        </w:tc>
        <w:tc>
          <w:tcPr>
            <w:tcW w:w="868" w:type="dxa"/>
            <w:vAlign w:val="center"/>
          </w:tcPr>
          <w:p w:rsidR="00613CC4" w:rsidRDefault="00950A85">
            <w:pPr>
              <w:spacing w:before="20" w:after="20"/>
              <w:jc w:val="center"/>
              <w:rPr>
                <w:noProof/>
                <w:sz w:val="20"/>
              </w:rPr>
            </w:pPr>
            <w:r>
              <w:rPr>
                <w:noProof/>
                <w:sz w:val="20"/>
              </w:rPr>
              <w:t>4,500</w:t>
            </w:r>
          </w:p>
          <w:p w:rsidR="00613CC4" w:rsidRDefault="00613CC4">
            <w:pPr>
              <w:spacing w:before="20" w:after="20"/>
              <w:jc w:val="center"/>
              <w:rPr>
                <w:noProof/>
                <w:sz w:val="20"/>
              </w:rPr>
            </w:pPr>
          </w:p>
        </w:tc>
        <w:tc>
          <w:tcPr>
            <w:tcW w:w="868" w:type="dxa"/>
            <w:vAlign w:val="center"/>
          </w:tcPr>
          <w:p w:rsidR="00613CC4" w:rsidRDefault="00613CC4">
            <w:pPr>
              <w:spacing w:before="20" w:after="20"/>
              <w:jc w:val="center"/>
              <w:rPr>
                <w:noProof/>
                <w:sz w:val="20"/>
              </w:rPr>
            </w:pPr>
          </w:p>
        </w:tc>
        <w:tc>
          <w:tcPr>
            <w:tcW w:w="868" w:type="dxa"/>
            <w:vAlign w:val="center"/>
          </w:tcPr>
          <w:p w:rsidR="00613CC4" w:rsidRDefault="00950A85">
            <w:pPr>
              <w:spacing w:before="20" w:after="20"/>
              <w:jc w:val="center"/>
              <w:rPr>
                <w:noProof/>
                <w:sz w:val="20"/>
              </w:rPr>
            </w:pPr>
            <w:r>
              <w:rPr>
                <w:noProof/>
                <w:sz w:val="20"/>
              </w:rPr>
              <w:t>5,000</w:t>
            </w:r>
          </w:p>
          <w:p w:rsidR="00613CC4" w:rsidRDefault="00613CC4">
            <w:pPr>
              <w:spacing w:before="20" w:after="20"/>
              <w:jc w:val="center"/>
              <w:rPr>
                <w:noProof/>
                <w:sz w:val="20"/>
              </w:rPr>
            </w:pPr>
          </w:p>
        </w:tc>
        <w:tc>
          <w:tcPr>
            <w:tcW w:w="868" w:type="dxa"/>
            <w:vAlign w:val="center"/>
          </w:tcPr>
          <w:p w:rsidR="00613CC4" w:rsidRDefault="00613CC4">
            <w:pPr>
              <w:spacing w:before="20" w:after="20"/>
              <w:jc w:val="center"/>
              <w:rPr>
                <w:noProof/>
                <w:sz w:val="20"/>
              </w:rPr>
            </w:pPr>
          </w:p>
        </w:tc>
        <w:tc>
          <w:tcPr>
            <w:tcW w:w="868" w:type="dxa"/>
            <w:vAlign w:val="center"/>
          </w:tcPr>
          <w:p w:rsidR="00613CC4" w:rsidRDefault="00613CC4">
            <w:pPr>
              <w:spacing w:before="20" w:after="20"/>
              <w:jc w:val="center"/>
              <w:rPr>
                <w:noProof/>
                <w:sz w:val="20"/>
              </w:rPr>
            </w:pPr>
          </w:p>
        </w:tc>
        <w:tc>
          <w:tcPr>
            <w:tcW w:w="868" w:type="dxa"/>
            <w:vAlign w:val="center"/>
          </w:tcPr>
          <w:p w:rsidR="00613CC4" w:rsidRDefault="00950A85">
            <w:pPr>
              <w:spacing w:before="20" w:after="20"/>
              <w:jc w:val="center"/>
              <w:rPr>
                <w:noProof/>
                <w:sz w:val="20"/>
              </w:rPr>
            </w:pPr>
            <w:r>
              <w:rPr>
                <w:noProof/>
                <w:sz w:val="20"/>
              </w:rPr>
              <w:t>3,500</w:t>
            </w:r>
          </w:p>
          <w:p w:rsidR="00613CC4" w:rsidRDefault="00613CC4">
            <w:pPr>
              <w:spacing w:before="20" w:after="20"/>
              <w:jc w:val="center"/>
              <w:rPr>
                <w:b/>
                <w:noProof/>
                <w:sz w:val="20"/>
              </w:rPr>
            </w:pPr>
          </w:p>
        </w:tc>
        <w:tc>
          <w:tcPr>
            <w:tcW w:w="950" w:type="dxa"/>
            <w:vAlign w:val="center"/>
          </w:tcPr>
          <w:p w:rsidR="00613CC4" w:rsidRDefault="00613CC4">
            <w:pPr>
              <w:spacing w:before="20" w:after="20"/>
              <w:jc w:val="center"/>
              <w:rPr>
                <w:b/>
                <w:noProof/>
                <w:sz w:val="20"/>
              </w:rPr>
            </w:pPr>
          </w:p>
        </w:tc>
        <w:tc>
          <w:tcPr>
            <w:tcW w:w="1052" w:type="dxa"/>
            <w:vAlign w:val="center"/>
          </w:tcPr>
          <w:p w:rsidR="00613CC4" w:rsidRDefault="00950A85">
            <w:pPr>
              <w:spacing w:before="20" w:after="20"/>
              <w:jc w:val="center"/>
              <w:rPr>
                <w:b/>
                <w:noProof/>
                <w:sz w:val="20"/>
              </w:rPr>
            </w:pPr>
            <w:r>
              <w:rPr>
                <w:b/>
                <w:noProof/>
                <w:sz w:val="20"/>
              </w:rPr>
              <w:t>13,860</w:t>
            </w:r>
          </w:p>
        </w:tc>
      </w:tr>
      <w:tr w:rsidR="00613CC4">
        <w:tc>
          <w:tcPr>
            <w:tcW w:w="3960" w:type="dxa"/>
            <w:vMerge/>
          </w:tcPr>
          <w:p w:rsidR="00613CC4" w:rsidRDefault="00613CC4">
            <w:pPr>
              <w:jc w:val="center"/>
              <w:rPr>
                <w:noProof/>
                <w:sz w:val="20"/>
              </w:rPr>
            </w:pPr>
          </w:p>
        </w:tc>
        <w:tc>
          <w:tcPr>
            <w:tcW w:w="1440" w:type="dxa"/>
            <w:gridSpan w:val="2"/>
            <w:vAlign w:val="center"/>
          </w:tcPr>
          <w:p w:rsidR="00613CC4" w:rsidRDefault="00950A85">
            <w:pPr>
              <w:spacing w:before="20" w:after="20"/>
              <w:rPr>
                <w:noProof/>
                <w:sz w:val="18"/>
              </w:rPr>
            </w:pPr>
            <w:r>
              <w:rPr>
                <w:noProof/>
                <w:sz w:val="18"/>
              </w:rPr>
              <w:t>Betalinger</w:t>
            </w:r>
          </w:p>
        </w:tc>
        <w:tc>
          <w:tcPr>
            <w:tcW w:w="414" w:type="dxa"/>
            <w:vAlign w:val="center"/>
          </w:tcPr>
          <w:p w:rsidR="00613CC4" w:rsidRDefault="00950A85">
            <w:pPr>
              <w:spacing w:before="20" w:after="20"/>
              <w:jc w:val="center"/>
              <w:rPr>
                <w:noProof/>
                <w:sz w:val="14"/>
              </w:rPr>
            </w:pPr>
            <w:r>
              <w:rPr>
                <w:noProof/>
                <w:sz w:val="14"/>
              </w:rPr>
              <w:t>(2)</w:t>
            </w:r>
          </w:p>
        </w:tc>
        <w:tc>
          <w:tcPr>
            <w:tcW w:w="868" w:type="dxa"/>
            <w:vAlign w:val="center"/>
          </w:tcPr>
          <w:p w:rsidR="00613CC4" w:rsidRDefault="00950A85">
            <w:pPr>
              <w:spacing w:before="20" w:after="20"/>
              <w:jc w:val="center"/>
              <w:rPr>
                <w:noProof/>
                <w:sz w:val="20"/>
              </w:rPr>
            </w:pPr>
            <w:r>
              <w:rPr>
                <w:noProof/>
                <w:sz w:val="20"/>
              </w:rPr>
              <w:t>0,180</w:t>
            </w:r>
          </w:p>
        </w:tc>
        <w:tc>
          <w:tcPr>
            <w:tcW w:w="868" w:type="dxa"/>
            <w:vAlign w:val="center"/>
          </w:tcPr>
          <w:p w:rsidR="00613CC4" w:rsidRDefault="00950A85">
            <w:pPr>
              <w:spacing w:before="20" w:after="20"/>
              <w:jc w:val="center"/>
              <w:rPr>
                <w:noProof/>
                <w:sz w:val="20"/>
              </w:rPr>
            </w:pPr>
            <w:r>
              <w:rPr>
                <w:noProof/>
                <w:sz w:val="20"/>
              </w:rPr>
              <w:t>0,430</w:t>
            </w:r>
          </w:p>
        </w:tc>
        <w:tc>
          <w:tcPr>
            <w:tcW w:w="868" w:type="dxa"/>
            <w:vAlign w:val="center"/>
          </w:tcPr>
          <w:p w:rsidR="00613CC4" w:rsidRDefault="00950A85">
            <w:pPr>
              <w:spacing w:before="20" w:after="20"/>
              <w:jc w:val="center"/>
              <w:rPr>
                <w:noProof/>
                <w:sz w:val="20"/>
              </w:rPr>
            </w:pPr>
            <w:r>
              <w:rPr>
                <w:noProof/>
                <w:sz w:val="20"/>
              </w:rPr>
              <w:t>2,500</w:t>
            </w:r>
          </w:p>
        </w:tc>
        <w:tc>
          <w:tcPr>
            <w:tcW w:w="868" w:type="dxa"/>
            <w:vAlign w:val="center"/>
          </w:tcPr>
          <w:p w:rsidR="00613CC4" w:rsidRDefault="00950A85">
            <w:pPr>
              <w:spacing w:before="20" w:after="20"/>
              <w:jc w:val="center"/>
              <w:rPr>
                <w:noProof/>
                <w:sz w:val="20"/>
              </w:rPr>
            </w:pPr>
            <w:r>
              <w:rPr>
                <w:noProof/>
                <w:sz w:val="20"/>
              </w:rPr>
              <w:t>2,250</w:t>
            </w:r>
          </w:p>
        </w:tc>
        <w:tc>
          <w:tcPr>
            <w:tcW w:w="868" w:type="dxa"/>
            <w:vAlign w:val="center"/>
          </w:tcPr>
          <w:p w:rsidR="00613CC4" w:rsidRDefault="00950A85">
            <w:pPr>
              <w:spacing w:before="20" w:after="20"/>
              <w:jc w:val="center"/>
              <w:rPr>
                <w:noProof/>
                <w:sz w:val="20"/>
              </w:rPr>
            </w:pPr>
            <w:r>
              <w:rPr>
                <w:noProof/>
                <w:sz w:val="20"/>
              </w:rPr>
              <w:t>2,500</w:t>
            </w:r>
          </w:p>
        </w:tc>
        <w:tc>
          <w:tcPr>
            <w:tcW w:w="868" w:type="dxa"/>
            <w:vAlign w:val="center"/>
          </w:tcPr>
          <w:p w:rsidR="00613CC4" w:rsidRDefault="00950A85">
            <w:pPr>
              <w:spacing w:before="20" w:after="20"/>
              <w:jc w:val="center"/>
              <w:rPr>
                <w:noProof/>
                <w:sz w:val="20"/>
              </w:rPr>
            </w:pPr>
            <w:r>
              <w:rPr>
                <w:noProof/>
                <w:sz w:val="20"/>
              </w:rPr>
              <w:t>2,500</w:t>
            </w:r>
          </w:p>
        </w:tc>
        <w:tc>
          <w:tcPr>
            <w:tcW w:w="868" w:type="dxa"/>
            <w:vAlign w:val="center"/>
          </w:tcPr>
          <w:p w:rsidR="00613CC4" w:rsidRDefault="00950A85">
            <w:pPr>
              <w:spacing w:before="20" w:after="20"/>
              <w:jc w:val="center"/>
              <w:rPr>
                <w:noProof/>
                <w:sz w:val="20"/>
              </w:rPr>
            </w:pPr>
            <w:r>
              <w:rPr>
                <w:noProof/>
                <w:sz w:val="20"/>
              </w:rPr>
              <w:t>–</w:t>
            </w:r>
          </w:p>
        </w:tc>
        <w:tc>
          <w:tcPr>
            <w:tcW w:w="868" w:type="dxa"/>
            <w:vAlign w:val="center"/>
          </w:tcPr>
          <w:p w:rsidR="00613CC4" w:rsidRDefault="00950A85">
            <w:pPr>
              <w:spacing w:before="20" w:after="20"/>
              <w:jc w:val="center"/>
              <w:rPr>
                <w:noProof/>
                <w:sz w:val="20"/>
              </w:rPr>
            </w:pPr>
            <w:r>
              <w:rPr>
                <w:noProof/>
                <w:sz w:val="20"/>
              </w:rPr>
              <w:t>1,750</w:t>
            </w:r>
          </w:p>
        </w:tc>
        <w:tc>
          <w:tcPr>
            <w:tcW w:w="950" w:type="dxa"/>
            <w:vAlign w:val="center"/>
          </w:tcPr>
          <w:p w:rsidR="00613CC4" w:rsidRDefault="00950A85">
            <w:pPr>
              <w:spacing w:before="20" w:after="20"/>
              <w:jc w:val="center"/>
              <w:rPr>
                <w:noProof/>
                <w:sz w:val="20"/>
              </w:rPr>
            </w:pPr>
            <w:r>
              <w:rPr>
                <w:noProof/>
                <w:sz w:val="20"/>
              </w:rPr>
              <w:t>1,750</w:t>
            </w:r>
          </w:p>
        </w:tc>
        <w:tc>
          <w:tcPr>
            <w:tcW w:w="1052" w:type="dxa"/>
            <w:vAlign w:val="center"/>
          </w:tcPr>
          <w:p w:rsidR="00613CC4" w:rsidRDefault="00950A85">
            <w:pPr>
              <w:spacing w:before="20" w:after="20"/>
              <w:jc w:val="center"/>
              <w:rPr>
                <w:noProof/>
                <w:sz w:val="20"/>
                <w:szCs w:val="20"/>
              </w:rPr>
            </w:pPr>
            <w:r>
              <w:rPr>
                <w:b/>
                <w:noProof/>
                <w:sz w:val="20"/>
              </w:rPr>
              <w:t>13,860</w:t>
            </w:r>
          </w:p>
        </w:tc>
      </w:tr>
      <w:tr w:rsidR="00613CC4">
        <w:tc>
          <w:tcPr>
            <w:tcW w:w="3960" w:type="dxa"/>
            <w:vMerge w:val="restart"/>
            <w:vAlign w:val="center"/>
          </w:tcPr>
          <w:p w:rsidR="00613CC4" w:rsidRDefault="00950A85">
            <w:pPr>
              <w:rPr>
                <w:noProof/>
              </w:rPr>
            </w:pPr>
            <w:r>
              <w:rPr>
                <w:noProof/>
                <w:sz w:val="20"/>
              </w:rPr>
              <w:t>Budgetpostens nummer</w:t>
            </w:r>
          </w:p>
        </w:tc>
        <w:tc>
          <w:tcPr>
            <w:tcW w:w="1440" w:type="dxa"/>
            <w:gridSpan w:val="2"/>
            <w:vAlign w:val="center"/>
          </w:tcPr>
          <w:p w:rsidR="00613CC4" w:rsidRDefault="00950A85">
            <w:pPr>
              <w:spacing w:before="20" w:after="20"/>
              <w:rPr>
                <w:noProof/>
                <w:sz w:val="18"/>
              </w:rPr>
            </w:pPr>
            <w:r>
              <w:rPr>
                <w:noProof/>
                <w:sz w:val="18"/>
              </w:rPr>
              <w:t>Forpligtelser</w:t>
            </w:r>
          </w:p>
        </w:tc>
        <w:tc>
          <w:tcPr>
            <w:tcW w:w="414" w:type="dxa"/>
            <w:vAlign w:val="center"/>
          </w:tcPr>
          <w:p w:rsidR="00613CC4" w:rsidRDefault="00950A85">
            <w:pPr>
              <w:spacing w:before="20" w:after="20"/>
              <w:jc w:val="center"/>
              <w:rPr>
                <w:noProof/>
                <w:sz w:val="14"/>
              </w:rPr>
            </w:pPr>
            <w:r>
              <w:rPr>
                <w:noProof/>
                <w:sz w:val="14"/>
              </w:rPr>
              <w:t>(1a)</w:t>
            </w:r>
          </w:p>
        </w:tc>
        <w:tc>
          <w:tcPr>
            <w:tcW w:w="868" w:type="dxa"/>
            <w:vAlign w:val="center"/>
          </w:tcPr>
          <w:p w:rsidR="00613CC4" w:rsidRDefault="00613CC4">
            <w:pPr>
              <w:spacing w:before="20" w:after="20"/>
              <w:jc w:val="center"/>
              <w:rPr>
                <w:noProof/>
                <w:sz w:val="20"/>
              </w:rPr>
            </w:pPr>
          </w:p>
        </w:tc>
        <w:tc>
          <w:tcPr>
            <w:tcW w:w="868" w:type="dxa"/>
            <w:vAlign w:val="center"/>
          </w:tcPr>
          <w:p w:rsidR="00613CC4" w:rsidRDefault="00613CC4">
            <w:pPr>
              <w:spacing w:before="20" w:after="20"/>
              <w:jc w:val="center"/>
              <w:rPr>
                <w:noProof/>
                <w:sz w:val="20"/>
              </w:rPr>
            </w:pPr>
          </w:p>
        </w:tc>
        <w:tc>
          <w:tcPr>
            <w:tcW w:w="868" w:type="dxa"/>
            <w:vAlign w:val="center"/>
          </w:tcPr>
          <w:p w:rsidR="00613CC4" w:rsidRDefault="00613CC4">
            <w:pPr>
              <w:spacing w:before="20" w:after="20"/>
              <w:jc w:val="center"/>
              <w:rPr>
                <w:noProof/>
                <w:sz w:val="20"/>
              </w:rPr>
            </w:pPr>
          </w:p>
        </w:tc>
        <w:tc>
          <w:tcPr>
            <w:tcW w:w="868" w:type="dxa"/>
            <w:vAlign w:val="center"/>
          </w:tcPr>
          <w:p w:rsidR="00613CC4" w:rsidRDefault="00613CC4">
            <w:pPr>
              <w:spacing w:before="20" w:after="20"/>
              <w:jc w:val="center"/>
              <w:rPr>
                <w:noProof/>
                <w:sz w:val="20"/>
              </w:rPr>
            </w:pPr>
          </w:p>
        </w:tc>
        <w:tc>
          <w:tcPr>
            <w:tcW w:w="868" w:type="dxa"/>
            <w:vAlign w:val="center"/>
          </w:tcPr>
          <w:p w:rsidR="00613CC4" w:rsidRDefault="00613CC4">
            <w:pPr>
              <w:spacing w:before="20" w:after="20"/>
              <w:jc w:val="center"/>
              <w:rPr>
                <w:noProof/>
                <w:sz w:val="20"/>
              </w:rPr>
            </w:pPr>
          </w:p>
        </w:tc>
        <w:tc>
          <w:tcPr>
            <w:tcW w:w="868" w:type="dxa"/>
            <w:vAlign w:val="center"/>
          </w:tcPr>
          <w:p w:rsidR="00613CC4" w:rsidRDefault="00613CC4">
            <w:pPr>
              <w:spacing w:before="20" w:after="20"/>
              <w:jc w:val="center"/>
              <w:rPr>
                <w:noProof/>
                <w:sz w:val="20"/>
              </w:rPr>
            </w:pPr>
          </w:p>
        </w:tc>
        <w:tc>
          <w:tcPr>
            <w:tcW w:w="868" w:type="dxa"/>
            <w:vAlign w:val="center"/>
          </w:tcPr>
          <w:p w:rsidR="00613CC4" w:rsidRDefault="00613CC4">
            <w:pPr>
              <w:spacing w:before="20" w:after="20"/>
              <w:jc w:val="center"/>
              <w:rPr>
                <w:noProof/>
                <w:sz w:val="20"/>
              </w:rPr>
            </w:pPr>
          </w:p>
        </w:tc>
        <w:tc>
          <w:tcPr>
            <w:tcW w:w="868" w:type="dxa"/>
            <w:vAlign w:val="center"/>
          </w:tcPr>
          <w:p w:rsidR="00613CC4" w:rsidRDefault="00613CC4">
            <w:pPr>
              <w:spacing w:before="20" w:after="20"/>
              <w:jc w:val="center"/>
              <w:rPr>
                <w:b/>
                <w:noProof/>
                <w:sz w:val="20"/>
              </w:rPr>
            </w:pPr>
          </w:p>
        </w:tc>
        <w:tc>
          <w:tcPr>
            <w:tcW w:w="950" w:type="dxa"/>
            <w:vAlign w:val="center"/>
          </w:tcPr>
          <w:p w:rsidR="00613CC4" w:rsidRDefault="00613CC4">
            <w:pPr>
              <w:spacing w:before="20" w:after="20"/>
              <w:jc w:val="center"/>
              <w:rPr>
                <w:b/>
                <w:noProof/>
                <w:sz w:val="20"/>
              </w:rPr>
            </w:pPr>
          </w:p>
        </w:tc>
        <w:tc>
          <w:tcPr>
            <w:tcW w:w="1052" w:type="dxa"/>
            <w:vAlign w:val="center"/>
          </w:tcPr>
          <w:p w:rsidR="00613CC4" w:rsidRDefault="00613CC4">
            <w:pPr>
              <w:spacing w:before="20" w:after="20"/>
              <w:jc w:val="center"/>
              <w:rPr>
                <w:b/>
                <w:noProof/>
                <w:sz w:val="20"/>
              </w:rPr>
            </w:pPr>
          </w:p>
        </w:tc>
      </w:tr>
      <w:tr w:rsidR="00613CC4">
        <w:tc>
          <w:tcPr>
            <w:tcW w:w="3960" w:type="dxa"/>
            <w:vMerge/>
          </w:tcPr>
          <w:p w:rsidR="00613CC4" w:rsidRDefault="00613CC4">
            <w:pPr>
              <w:jc w:val="center"/>
              <w:rPr>
                <w:noProof/>
                <w:sz w:val="20"/>
              </w:rPr>
            </w:pPr>
          </w:p>
        </w:tc>
        <w:tc>
          <w:tcPr>
            <w:tcW w:w="1440" w:type="dxa"/>
            <w:gridSpan w:val="2"/>
            <w:vAlign w:val="center"/>
          </w:tcPr>
          <w:p w:rsidR="00613CC4" w:rsidRDefault="00950A85">
            <w:pPr>
              <w:spacing w:before="20" w:after="20"/>
              <w:rPr>
                <w:noProof/>
                <w:sz w:val="18"/>
              </w:rPr>
            </w:pPr>
            <w:r>
              <w:rPr>
                <w:noProof/>
                <w:sz w:val="18"/>
              </w:rPr>
              <w:t>Betalinger</w:t>
            </w:r>
          </w:p>
        </w:tc>
        <w:tc>
          <w:tcPr>
            <w:tcW w:w="414" w:type="dxa"/>
            <w:vAlign w:val="center"/>
          </w:tcPr>
          <w:p w:rsidR="00613CC4" w:rsidRDefault="00950A85">
            <w:pPr>
              <w:spacing w:before="20" w:after="20"/>
              <w:jc w:val="center"/>
              <w:rPr>
                <w:noProof/>
                <w:sz w:val="14"/>
              </w:rPr>
            </w:pPr>
            <w:r>
              <w:rPr>
                <w:noProof/>
                <w:sz w:val="14"/>
              </w:rPr>
              <w:t>(2 a)</w:t>
            </w:r>
          </w:p>
        </w:tc>
        <w:tc>
          <w:tcPr>
            <w:tcW w:w="868" w:type="dxa"/>
            <w:vAlign w:val="center"/>
          </w:tcPr>
          <w:p w:rsidR="00613CC4" w:rsidRDefault="00613CC4">
            <w:pPr>
              <w:spacing w:before="20" w:after="20"/>
              <w:jc w:val="center"/>
              <w:rPr>
                <w:noProof/>
                <w:sz w:val="20"/>
              </w:rPr>
            </w:pPr>
          </w:p>
        </w:tc>
        <w:tc>
          <w:tcPr>
            <w:tcW w:w="868" w:type="dxa"/>
            <w:vAlign w:val="center"/>
          </w:tcPr>
          <w:p w:rsidR="00613CC4" w:rsidRDefault="00613CC4">
            <w:pPr>
              <w:spacing w:before="20" w:after="20"/>
              <w:jc w:val="center"/>
              <w:rPr>
                <w:noProof/>
                <w:sz w:val="20"/>
              </w:rPr>
            </w:pPr>
          </w:p>
        </w:tc>
        <w:tc>
          <w:tcPr>
            <w:tcW w:w="868" w:type="dxa"/>
            <w:vAlign w:val="center"/>
          </w:tcPr>
          <w:p w:rsidR="00613CC4" w:rsidRDefault="00613CC4">
            <w:pPr>
              <w:spacing w:before="20" w:after="20"/>
              <w:jc w:val="center"/>
              <w:rPr>
                <w:noProof/>
                <w:sz w:val="20"/>
              </w:rPr>
            </w:pPr>
          </w:p>
        </w:tc>
        <w:tc>
          <w:tcPr>
            <w:tcW w:w="868" w:type="dxa"/>
            <w:vAlign w:val="center"/>
          </w:tcPr>
          <w:p w:rsidR="00613CC4" w:rsidRDefault="00613CC4">
            <w:pPr>
              <w:spacing w:before="20" w:after="20"/>
              <w:jc w:val="center"/>
              <w:rPr>
                <w:noProof/>
                <w:sz w:val="20"/>
              </w:rPr>
            </w:pPr>
          </w:p>
        </w:tc>
        <w:tc>
          <w:tcPr>
            <w:tcW w:w="868" w:type="dxa"/>
            <w:vAlign w:val="center"/>
          </w:tcPr>
          <w:p w:rsidR="00613CC4" w:rsidRDefault="00613CC4">
            <w:pPr>
              <w:spacing w:before="20" w:after="20"/>
              <w:jc w:val="center"/>
              <w:rPr>
                <w:noProof/>
                <w:sz w:val="20"/>
              </w:rPr>
            </w:pPr>
          </w:p>
        </w:tc>
        <w:tc>
          <w:tcPr>
            <w:tcW w:w="868" w:type="dxa"/>
            <w:vAlign w:val="center"/>
          </w:tcPr>
          <w:p w:rsidR="00613CC4" w:rsidRDefault="00613CC4">
            <w:pPr>
              <w:spacing w:before="20" w:after="20"/>
              <w:jc w:val="center"/>
              <w:rPr>
                <w:noProof/>
                <w:sz w:val="20"/>
              </w:rPr>
            </w:pPr>
          </w:p>
        </w:tc>
        <w:tc>
          <w:tcPr>
            <w:tcW w:w="868" w:type="dxa"/>
            <w:vAlign w:val="center"/>
          </w:tcPr>
          <w:p w:rsidR="00613CC4" w:rsidRDefault="00613CC4">
            <w:pPr>
              <w:spacing w:before="20" w:after="20"/>
              <w:jc w:val="center"/>
              <w:rPr>
                <w:noProof/>
                <w:sz w:val="20"/>
              </w:rPr>
            </w:pPr>
          </w:p>
        </w:tc>
        <w:tc>
          <w:tcPr>
            <w:tcW w:w="868" w:type="dxa"/>
            <w:vAlign w:val="center"/>
          </w:tcPr>
          <w:p w:rsidR="00613CC4" w:rsidRDefault="00613CC4">
            <w:pPr>
              <w:spacing w:before="20" w:after="20"/>
              <w:jc w:val="center"/>
              <w:rPr>
                <w:b/>
                <w:noProof/>
                <w:sz w:val="20"/>
              </w:rPr>
            </w:pPr>
          </w:p>
        </w:tc>
        <w:tc>
          <w:tcPr>
            <w:tcW w:w="950" w:type="dxa"/>
            <w:vAlign w:val="center"/>
          </w:tcPr>
          <w:p w:rsidR="00613CC4" w:rsidRDefault="00613CC4">
            <w:pPr>
              <w:spacing w:before="20" w:after="20"/>
              <w:jc w:val="center"/>
              <w:rPr>
                <w:b/>
                <w:noProof/>
                <w:sz w:val="20"/>
              </w:rPr>
            </w:pPr>
          </w:p>
        </w:tc>
        <w:tc>
          <w:tcPr>
            <w:tcW w:w="1052" w:type="dxa"/>
            <w:vAlign w:val="center"/>
          </w:tcPr>
          <w:p w:rsidR="00613CC4" w:rsidRDefault="00613CC4">
            <w:pPr>
              <w:spacing w:before="20" w:after="20"/>
              <w:jc w:val="center"/>
              <w:rPr>
                <w:b/>
                <w:noProof/>
                <w:sz w:val="20"/>
              </w:rPr>
            </w:pPr>
          </w:p>
        </w:tc>
      </w:tr>
      <w:tr w:rsidR="00613CC4">
        <w:trPr>
          <w:trHeight w:val="231"/>
        </w:trPr>
        <w:tc>
          <w:tcPr>
            <w:tcW w:w="5814" w:type="dxa"/>
            <w:gridSpan w:val="4"/>
            <w:vAlign w:val="center"/>
          </w:tcPr>
          <w:p w:rsidR="00613CC4" w:rsidRDefault="00950A85">
            <w:pPr>
              <w:spacing w:before="20" w:after="20"/>
              <w:rPr>
                <w:noProof/>
              </w:rPr>
            </w:pPr>
            <w:r>
              <w:rPr>
                <w:noProof/>
                <w:sz w:val="21"/>
              </w:rPr>
              <w:t>Administrationsbevillinger finansieret over bevillingsrammen for særprogrammer**</w:t>
            </w:r>
            <w:r>
              <w:rPr>
                <w:rStyle w:val="FootnoteReference"/>
                <w:noProof/>
                <w:sz w:val="21"/>
              </w:rPr>
              <w:footnoteReference w:id="43"/>
            </w:r>
          </w:p>
          <w:p w:rsidR="00613CC4" w:rsidRDefault="00613CC4">
            <w:pPr>
              <w:spacing w:before="0" w:after="0"/>
              <w:rPr>
                <w:noProof/>
              </w:rPr>
            </w:pPr>
          </w:p>
        </w:tc>
        <w:tc>
          <w:tcPr>
            <w:tcW w:w="868" w:type="dxa"/>
            <w:vAlign w:val="center"/>
          </w:tcPr>
          <w:p w:rsidR="00613CC4" w:rsidRDefault="00613CC4">
            <w:pPr>
              <w:jc w:val="center"/>
              <w:rPr>
                <w:b/>
                <w:noProof/>
                <w:sz w:val="20"/>
              </w:rPr>
            </w:pPr>
          </w:p>
        </w:tc>
        <w:tc>
          <w:tcPr>
            <w:tcW w:w="868" w:type="dxa"/>
            <w:vAlign w:val="center"/>
          </w:tcPr>
          <w:p w:rsidR="00613CC4" w:rsidRDefault="00613CC4">
            <w:pPr>
              <w:jc w:val="center"/>
              <w:rPr>
                <w:b/>
                <w:noProof/>
                <w:sz w:val="20"/>
              </w:rPr>
            </w:pPr>
          </w:p>
        </w:tc>
        <w:tc>
          <w:tcPr>
            <w:tcW w:w="868" w:type="dxa"/>
            <w:vAlign w:val="center"/>
          </w:tcPr>
          <w:p w:rsidR="00613CC4" w:rsidRDefault="00613CC4">
            <w:pPr>
              <w:jc w:val="center"/>
              <w:rPr>
                <w:b/>
                <w:noProof/>
                <w:sz w:val="20"/>
              </w:rPr>
            </w:pPr>
          </w:p>
        </w:tc>
        <w:tc>
          <w:tcPr>
            <w:tcW w:w="868" w:type="dxa"/>
            <w:vAlign w:val="center"/>
          </w:tcPr>
          <w:p w:rsidR="00613CC4" w:rsidRDefault="00613CC4">
            <w:pPr>
              <w:jc w:val="center"/>
              <w:rPr>
                <w:b/>
                <w:noProof/>
                <w:sz w:val="20"/>
              </w:rPr>
            </w:pPr>
          </w:p>
        </w:tc>
        <w:tc>
          <w:tcPr>
            <w:tcW w:w="868" w:type="dxa"/>
            <w:vAlign w:val="center"/>
          </w:tcPr>
          <w:p w:rsidR="00613CC4" w:rsidRDefault="00613CC4">
            <w:pPr>
              <w:jc w:val="center"/>
              <w:rPr>
                <w:b/>
                <w:noProof/>
                <w:sz w:val="20"/>
              </w:rPr>
            </w:pPr>
          </w:p>
        </w:tc>
        <w:tc>
          <w:tcPr>
            <w:tcW w:w="868" w:type="dxa"/>
            <w:vAlign w:val="center"/>
          </w:tcPr>
          <w:p w:rsidR="00613CC4" w:rsidRDefault="00613CC4">
            <w:pPr>
              <w:jc w:val="center"/>
              <w:rPr>
                <w:b/>
                <w:noProof/>
                <w:sz w:val="20"/>
              </w:rPr>
            </w:pPr>
          </w:p>
        </w:tc>
        <w:tc>
          <w:tcPr>
            <w:tcW w:w="868" w:type="dxa"/>
            <w:vAlign w:val="center"/>
          </w:tcPr>
          <w:p w:rsidR="00613CC4" w:rsidRDefault="00613CC4">
            <w:pPr>
              <w:jc w:val="center"/>
              <w:rPr>
                <w:b/>
                <w:noProof/>
                <w:sz w:val="20"/>
              </w:rPr>
            </w:pPr>
          </w:p>
        </w:tc>
        <w:tc>
          <w:tcPr>
            <w:tcW w:w="868" w:type="dxa"/>
            <w:vAlign w:val="center"/>
          </w:tcPr>
          <w:p w:rsidR="00613CC4" w:rsidRDefault="00613CC4">
            <w:pPr>
              <w:jc w:val="center"/>
              <w:rPr>
                <w:b/>
                <w:noProof/>
                <w:sz w:val="20"/>
              </w:rPr>
            </w:pPr>
          </w:p>
        </w:tc>
        <w:tc>
          <w:tcPr>
            <w:tcW w:w="950" w:type="dxa"/>
            <w:vAlign w:val="center"/>
          </w:tcPr>
          <w:p w:rsidR="00613CC4" w:rsidRDefault="00613CC4">
            <w:pPr>
              <w:jc w:val="center"/>
              <w:rPr>
                <w:b/>
                <w:noProof/>
                <w:sz w:val="20"/>
              </w:rPr>
            </w:pPr>
          </w:p>
        </w:tc>
        <w:tc>
          <w:tcPr>
            <w:tcW w:w="1052" w:type="dxa"/>
            <w:vAlign w:val="center"/>
          </w:tcPr>
          <w:p w:rsidR="00613CC4" w:rsidRDefault="00613CC4">
            <w:pPr>
              <w:jc w:val="center"/>
              <w:rPr>
                <w:b/>
                <w:noProof/>
                <w:sz w:val="20"/>
              </w:rPr>
            </w:pPr>
          </w:p>
        </w:tc>
      </w:tr>
      <w:tr w:rsidR="00613CC4">
        <w:trPr>
          <w:trHeight w:val="319"/>
        </w:trPr>
        <w:tc>
          <w:tcPr>
            <w:tcW w:w="3960" w:type="dxa"/>
            <w:vAlign w:val="center"/>
          </w:tcPr>
          <w:p w:rsidR="00613CC4" w:rsidRDefault="00950A85">
            <w:pPr>
              <w:spacing w:before="60" w:after="60"/>
              <w:rPr>
                <w:noProof/>
              </w:rPr>
            </w:pPr>
            <w:r>
              <w:rPr>
                <w:noProof/>
                <w:sz w:val="20"/>
              </w:rPr>
              <w:t>Tidligere</w:t>
            </w:r>
            <w:r>
              <w:rPr>
                <w:noProof/>
                <w:sz w:val="20"/>
              </w:rPr>
              <w:t xml:space="preserve"> budgetpost for ISF (18.010401) under den flerårige finansielle ramme 2014-2020</w:t>
            </w:r>
          </w:p>
        </w:tc>
        <w:tc>
          <w:tcPr>
            <w:tcW w:w="1440" w:type="dxa"/>
            <w:gridSpan w:val="2"/>
            <w:vAlign w:val="center"/>
          </w:tcPr>
          <w:p w:rsidR="00613CC4" w:rsidRDefault="00613CC4">
            <w:pPr>
              <w:spacing w:before="40" w:after="40"/>
              <w:jc w:val="right"/>
              <w:rPr>
                <w:noProof/>
                <w:sz w:val="18"/>
              </w:rPr>
            </w:pPr>
          </w:p>
        </w:tc>
        <w:tc>
          <w:tcPr>
            <w:tcW w:w="414" w:type="dxa"/>
            <w:vAlign w:val="center"/>
          </w:tcPr>
          <w:p w:rsidR="00613CC4" w:rsidRDefault="00950A85">
            <w:pPr>
              <w:spacing w:before="40" w:after="40"/>
              <w:jc w:val="center"/>
              <w:rPr>
                <w:noProof/>
                <w:sz w:val="14"/>
              </w:rPr>
            </w:pPr>
            <w:r>
              <w:rPr>
                <w:noProof/>
                <w:sz w:val="14"/>
              </w:rPr>
              <w:t>(3)</w:t>
            </w:r>
          </w:p>
        </w:tc>
        <w:tc>
          <w:tcPr>
            <w:tcW w:w="868" w:type="dxa"/>
            <w:vAlign w:val="center"/>
          </w:tcPr>
          <w:p w:rsidR="00613CC4" w:rsidRDefault="00613CC4">
            <w:pPr>
              <w:spacing w:before="40" w:after="40"/>
              <w:jc w:val="center"/>
              <w:rPr>
                <w:noProof/>
                <w:sz w:val="20"/>
              </w:rPr>
            </w:pPr>
          </w:p>
        </w:tc>
        <w:tc>
          <w:tcPr>
            <w:tcW w:w="868" w:type="dxa"/>
            <w:vAlign w:val="center"/>
          </w:tcPr>
          <w:p w:rsidR="00613CC4" w:rsidRDefault="00613CC4">
            <w:pPr>
              <w:spacing w:before="40" w:after="40"/>
              <w:jc w:val="center"/>
              <w:rPr>
                <w:noProof/>
                <w:sz w:val="20"/>
              </w:rPr>
            </w:pPr>
          </w:p>
        </w:tc>
        <w:tc>
          <w:tcPr>
            <w:tcW w:w="868" w:type="dxa"/>
            <w:vAlign w:val="center"/>
          </w:tcPr>
          <w:p w:rsidR="00613CC4" w:rsidRDefault="00950A85">
            <w:pPr>
              <w:spacing w:before="40" w:after="40"/>
              <w:jc w:val="center"/>
              <w:rPr>
                <w:noProof/>
                <w:sz w:val="20"/>
              </w:rPr>
            </w:pPr>
            <w:r>
              <w:rPr>
                <w:noProof/>
                <w:sz w:val="20"/>
              </w:rPr>
              <w:t>0,500</w:t>
            </w:r>
          </w:p>
        </w:tc>
        <w:tc>
          <w:tcPr>
            <w:tcW w:w="868" w:type="dxa"/>
            <w:vAlign w:val="center"/>
          </w:tcPr>
          <w:p w:rsidR="00613CC4" w:rsidRDefault="00950A85">
            <w:pPr>
              <w:jc w:val="center"/>
              <w:rPr>
                <w:noProof/>
              </w:rPr>
            </w:pPr>
            <w:r>
              <w:rPr>
                <w:noProof/>
                <w:sz w:val="20"/>
              </w:rPr>
              <w:t>0,500</w:t>
            </w:r>
          </w:p>
        </w:tc>
        <w:tc>
          <w:tcPr>
            <w:tcW w:w="868" w:type="dxa"/>
            <w:vAlign w:val="center"/>
          </w:tcPr>
          <w:p w:rsidR="00613CC4" w:rsidRDefault="00950A85">
            <w:pPr>
              <w:jc w:val="center"/>
              <w:rPr>
                <w:noProof/>
              </w:rPr>
            </w:pPr>
            <w:r>
              <w:rPr>
                <w:noProof/>
                <w:sz w:val="20"/>
              </w:rPr>
              <w:t>0,500</w:t>
            </w:r>
          </w:p>
        </w:tc>
        <w:tc>
          <w:tcPr>
            <w:tcW w:w="868" w:type="dxa"/>
            <w:vAlign w:val="center"/>
          </w:tcPr>
          <w:p w:rsidR="00613CC4" w:rsidRDefault="00950A85">
            <w:pPr>
              <w:jc w:val="center"/>
              <w:rPr>
                <w:noProof/>
              </w:rPr>
            </w:pPr>
            <w:r>
              <w:rPr>
                <w:noProof/>
                <w:sz w:val="20"/>
              </w:rPr>
              <w:t>0,500</w:t>
            </w:r>
          </w:p>
        </w:tc>
        <w:tc>
          <w:tcPr>
            <w:tcW w:w="868" w:type="dxa"/>
            <w:vAlign w:val="center"/>
          </w:tcPr>
          <w:p w:rsidR="00613CC4" w:rsidRDefault="00950A85">
            <w:pPr>
              <w:jc w:val="center"/>
              <w:rPr>
                <w:noProof/>
              </w:rPr>
            </w:pPr>
            <w:r>
              <w:rPr>
                <w:noProof/>
                <w:sz w:val="20"/>
              </w:rPr>
              <w:t>0,500</w:t>
            </w:r>
          </w:p>
        </w:tc>
        <w:tc>
          <w:tcPr>
            <w:tcW w:w="868" w:type="dxa"/>
            <w:vAlign w:val="center"/>
          </w:tcPr>
          <w:p w:rsidR="00613CC4" w:rsidRDefault="00950A85">
            <w:pPr>
              <w:jc w:val="center"/>
              <w:rPr>
                <w:noProof/>
              </w:rPr>
            </w:pPr>
            <w:r>
              <w:rPr>
                <w:noProof/>
                <w:sz w:val="20"/>
              </w:rPr>
              <w:t>0,500</w:t>
            </w:r>
          </w:p>
        </w:tc>
        <w:tc>
          <w:tcPr>
            <w:tcW w:w="950" w:type="dxa"/>
            <w:vAlign w:val="center"/>
          </w:tcPr>
          <w:p w:rsidR="00613CC4" w:rsidRDefault="00950A85">
            <w:pPr>
              <w:jc w:val="center"/>
              <w:rPr>
                <w:noProof/>
              </w:rPr>
            </w:pPr>
            <w:r>
              <w:rPr>
                <w:noProof/>
                <w:sz w:val="20"/>
              </w:rPr>
              <w:t>0,500</w:t>
            </w:r>
          </w:p>
        </w:tc>
        <w:tc>
          <w:tcPr>
            <w:tcW w:w="1052" w:type="dxa"/>
            <w:vAlign w:val="center"/>
          </w:tcPr>
          <w:p w:rsidR="00613CC4" w:rsidRDefault="00950A85">
            <w:pPr>
              <w:spacing w:before="40" w:after="40"/>
              <w:jc w:val="center"/>
              <w:rPr>
                <w:b/>
                <w:noProof/>
                <w:sz w:val="20"/>
              </w:rPr>
            </w:pPr>
            <w:r>
              <w:rPr>
                <w:b/>
                <w:noProof/>
                <w:sz w:val="20"/>
              </w:rPr>
              <w:t>3,500</w:t>
            </w:r>
          </w:p>
        </w:tc>
      </w:tr>
      <w:tr w:rsidR="00613CC4">
        <w:tc>
          <w:tcPr>
            <w:tcW w:w="3960" w:type="dxa"/>
            <w:vMerge w:val="restart"/>
            <w:vAlign w:val="center"/>
          </w:tcPr>
          <w:p w:rsidR="00613CC4" w:rsidRDefault="00950A85">
            <w:pPr>
              <w:jc w:val="center"/>
              <w:rPr>
                <w:b/>
                <w:noProof/>
              </w:rPr>
            </w:pPr>
            <w:r>
              <w:rPr>
                <w:b/>
                <w:noProof/>
                <w:sz w:val="22"/>
              </w:rPr>
              <w:t>Bevillinger I ALT</w:t>
            </w:r>
            <w:r>
              <w:rPr>
                <w:noProof/>
                <w:sz w:val="22"/>
              </w:rPr>
              <w:br/>
            </w:r>
            <w:r>
              <w:rPr>
                <w:b/>
                <w:noProof/>
                <w:sz w:val="22"/>
              </w:rPr>
              <w:t>til GD HOME</w:t>
            </w:r>
            <w:r>
              <w:rPr>
                <w:noProof/>
                <w:sz w:val="22"/>
              </w:rPr>
              <w:t xml:space="preserve"> </w:t>
            </w:r>
          </w:p>
        </w:tc>
        <w:tc>
          <w:tcPr>
            <w:tcW w:w="1440" w:type="dxa"/>
            <w:gridSpan w:val="2"/>
            <w:vAlign w:val="center"/>
          </w:tcPr>
          <w:p w:rsidR="00613CC4" w:rsidRDefault="00950A85">
            <w:pPr>
              <w:rPr>
                <w:noProof/>
                <w:sz w:val="18"/>
              </w:rPr>
            </w:pPr>
            <w:r>
              <w:rPr>
                <w:noProof/>
                <w:sz w:val="18"/>
              </w:rPr>
              <w:t>Forpligtelser</w:t>
            </w:r>
          </w:p>
        </w:tc>
        <w:tc>
          <w:tcPr>
            <w:tcW w:w="414" w:type="dxa"/>
            <w:vAlign w:val="center"/>
          </w:tcPr>
          <w:p w:rsidR="00613CC4" w:rsidRDefault="00950A85">
            <w:pPr>
              <w:jc w:val="center"/>
              <w:rPr>
                <w:noProof/>
                <w:sz w:val="14"/>
              </w:rPr>
            </w:pPr>
            <w:r>
              <w:rPr>
                <w:noProof/>
                <w:sz w:val="14"/>
              </w:rPr>
              <w:t>= 1 + 1a + 3</w:t>
            </w:r>
          </w:p>
        </w:tc>
        <w:tc>
          <w:tcPr>
            <w:tcW w:w="868" w:type="dxa"/>
            <w:vAlign w:val="center"/>
          </w:tcPr>
          <w:p w:rsidR="00613CC4" w:rsidRDefault="00950A85">
            <w:pPr>
              <w:spacing w:before="20" w:after="20"/>
              <w:jc w:val="center"/>
              <w:rPr>
                <w:noProof/>
                <w:sz w:val="20"/>
              </w:rPr>
            </w:pPr>
            <w:r>
              <w:rPr>
                <w:noProof/>
                <w:sz w:val="20"/>
              </w:rPr>
              <w:t>0,360</w:t>
            </w:r>
          </w:p>
        </w:tc>
        <w:tc>
          <w:tcPr>
            <w:tcW w:w="868" w:type="dxa"/>
            <w:vAlign w:val="center"/>
          </w:tcPr>
          <w:p w:rsidR="00613CC4" w:rsidRDefault="00950A85">
            <w:pPr>
              <w:spacing w:before="20" w:after="20"/>
              <w:jc w:val="center"/>
              <w:rPr>
                <w:noProof/>
                <w:sz w:val="20"/>
              </w:rPr>
            </w:pPr>
            <w:r>
              <w:rPr>
                <w:noProof/>
                <w:sz w:val="20"/>
              </w:rPr>
              <w:t>0,500</w:t>
            </w:r>
          </w:p>
        </w:tc>
        <w:tc>
          <w:tcPr>
            <w:tcW w:w="868" w:type="dxa"/>
            <w:vAlign w:val="center"/>
          </w:tcPr>
          <w:p w:rsidR="00613CC4" w:rsidRDefault="00950A85">
            <w:pPr>
              <w:spacing w:before="20" w:after="20"/>
              <w:jc w:val="center"/>
              <w:rPr>
                <w:noProof/>
                <w:sz w:val="20"/>
              </w:rPr>
            </w:pPr>
            <w:r>
              <w:rPr>
                <w:noProof/>
                <w:sz w:val="20"/>
              </w:rPr>
              <w:t>4,500</w:t>
            </w:r>
          </w:p>
        </w:tc>
        <w:tc>
          <w:tcPr>
            <w:tcW w:w="868" w:type="dxa"/>
            <w:vAlign w:val="center"/>
          </w:tcPr>
          <w:p w:rsidR="00613CC4" w:rsidRDefault="00950A85">
            <w:pPr>
              <w:spacing w:before="20" w:after="20"/>
              <w:jc w:val="center"/>
              <w:rPr>
                <w:noProof/>
                <w:sz w:val="20"/>
              </w:rPr>
            </w:pPr>
            <w:r>
              <w:rPr>
                <w:noProof/>
                <w:sz w:val="20"/>
              </w:rPr>
              <w:t>0,500</w:t>
            </w:r>
          </w:p>
        </w:tc>
        <w:tc>
          <w:tcPr>
            <w:tcW w:w="868" w:type="dxa"/>
            <w:vAlign w:val="center"/>
          </w:tcPr>
          <w:p w:rsidR="00613CC4" w:rsidRDefault="00950A85">
            <w:pPr>
              <w:spacing w:before="40" w:after="40"/>
              <w:jc w:val="center"/>
              <w:rPr>
                <w:noProof/>
                <w:sz w:val="20"/>
              </w:rPr>
            </w:pPr>
            <w:r>
              <w:rPr>
                <w:noProof/>
                <w:sz w:val="20"/>
              </w:rPr>
              <w:t>5,000</w:t>
            </w:r>
          </w:p>
        </w:tc>
        <w:tc>
          <w:tcPr>
            <w:tcW w:w="868" w:type="dxa"/>
            <w:vAlign w:val="center"/>
          </w:tcPr>
          <w:p w:rsidR="00613CC4" w:rsidRDefault="00950A85">
            <w:pPr>
              <w:spacing w:before="40" w:after="40"/>
              <w:jc w:val="center"/>
              <w:rPr>
                <w:noProof/>
                <w:sz w:val="20"/>
              </w:rPr>
            </w:pPr>
            <w:r>
              <w:rPr>
                <w:noProof/>
                <w:sz w:val="20"/>
              </w:rPr>
              <w:t>0,500</w:t>
            </w:r>
          </w:p>
        </w:tc>
        <w:tc>
          <w:tcPr>
            <w:tcW w:w="868" w:type="dxa"/>
            <w:vAlign w:val="center"/>
          </w:tcPr>
          <w:p w:rsidR="00613CC4" w:rsidRDefault="00950A85">
            <w:pPr>
              <w:spacing w:before="20" w:after="20"/>
              <w:jc w:val="center"/>
              <w:rPr>
                <w:noProof/>
                <w:sz w:val="20"/>
              </w:rPr>
            </w:pPr>
            <w:r>
              <w:rPr>
                <w:noProof/>
                <w:sz w:val="20"/>
              </w:rPr>
              <w:t>0,500</w:t>
            </w:r>
          </w:p>
        </w:tc>
        <w:tc>
          <w:tcPr>
            <w:tcW w:w="868" w:type="dxa"/>
            <w:vAlign w:val="center"/>
          </w:tcPr>
          <w:p w:rsidR="00613CC4" w:rsidRDefault="00950A85">
            <w:pPr>
              <w:spacing w:before="20" w:after="20"/>
              <w:jc w:val="center"/>
              <w:rPr>
                <w:noProof/>
                <w:sz w:val="20"/>
              </w:rPr>
            </w:pPr>
            <w:r>
              <w:rPr>
                <w:noProof/>
                <w:sz w:val="20"/>
              </w:rPr>
              <w:t>0,500</w:t>
            </w:r>
          </w:p>
        </w:tc>
        <w:tc>
          <w:tcPr>
            <w:tcW w:w="950" w:type="dxa"/>
            <w:vAlign w:val="center"/>
          </w:tcPr>
          <w:p w:rsidR="00613CC4" w:rsidRDefault="00950A85">
            <w:pPr>
              <w:spacing w:before="20" w:after="20"/>
              <w:jc w:val="center"/>
              <w:rPr>
                <w:b/>
                <w:noProof/>
                <w:sz w:val="20"/>
              </w:rPr>
            </w:pPr>
            <w:r>
              <w:rPr>
                <w:noProof/>
                <w:sz w:val="20"/>
              </w:rPr>
              <w:t>4,000</w:t>
            </w:r>
          </w:p>
        </w:tc>
        <w:tc>
          <w:tcPr>
            <w:tcW w:w="1052" w:type="dxa"/>
            <w:vAlign w:val="center"/>
          </w:tcPr>
          <w:p w:rsidR="00613CC4" w:rsidRDefault="00950A85">
            <w:pPr>
              <w:spacing w:before="20" w:after="20"/>
              <w:jc w:val="center"/>
              <w:rPr>
                <w:b/>
                <w:noProof/>
                <w:sz w:val="20"/>
              </w:rPr>
            </w:pPr>
            <w:r>
              <w:rPr>
                <w:b/>
                <w:noProof/>
                <w:sz w:val="20"/>
              </w:rPr>
              <w:t>17,360</w:t>
            </w:r>
          </w:p>
        </w:tc>
      </w:tr>
      <w:tr w:rsidR="00613CC4">
        <w:tc>
          <w:tcPr>
            <w:tcW w:w="3960" w:type="dxa"/>
            <w:vMerge/>
          </w:tcPr>
          <w:p w:rsidR="00613CC4" w:rsidRDefault="00613CC4">
            <w:pPr>
              <w:rPr>
                <w:noProof/>
                <w:sz w:val="20"/>
              </w:rPr>
            </w:pPr>
          </w:p>
        </w:tc>
        <w:tc>
          <w:tcPr>
            <w:tcW w:w="1440" w:type="dxa"/>
            <w:gridSpan w:val="2"/>
            <w:vAlign w:val="center"/>
          </w:tcPr>
          <w:p w:rsidR="00613CC4" w:rsidRDefault="00950A85">
            <w:pPr>
              <w:rPr>
                <w:noProof/>
                <w:sz w:val="18"/>
              </w:rPr>
            </w:pPr>
            <w:r>
              <w:rPr>
                <w:noProof/>
                <w:sz w:val="18"/>
              </w:rPr>
              <w:t>Betalinger</w:t>
            </w:r>
          </w:p>
        </w:tc>
        <w:tc>
          <w:tcPr>
            <w:tcW w:w="414" w:type="dxa"/>
            <w:vAlign w:val="center"/>
          </w:tcPr>
          <w:p w:rsidR="00613CC4" w:rsidRDefault="00950A85">
            <w:pPr>
              <w:jc w:val="center"/>
              <w:rPr>
                <w:noProof/>
                <w:sz w:val="14"/>
              </w:rPr>
            </w:pPr>
            <w:r>
              <w:rPr>
                <w:noProof/>
                <w:sz w:val="14"/>
              </w:rPr>
              <w:t>= 2 + 2a</w:t>
            </w:r>
          </w:p>
          <w:p w:rsidR="00613CC4" w:rsidRDefault="00950A85">
            <w:pPr>
              <w:jc w:val="center"/>
              <w:rPr>
                <w:noProof/>
                <w:sz w:val="14"/>
              </w:rPr>
            </w:pPr>
            <w:r>
              <w:rPr>
                <w:noProof/>
                <w:sz w:val="14"/>
              </w:rPr>
              <w:t>+3</w:t>
            </w:r>
          </w:p>
        </w:tc>
        <w:tc>
          <w:tcPr>
            <w:tcW w:w="868" w:type="dxa"/>
            <w:vAlign w:val="center"/>
          </w:tcPr>
          <w:p w:rsidR="00613CC4" w:rsidRDefault="00950A85">
            <w:pPr>
              <w:spacing w:before="20" w:after="20"/>
              <w:jc w:val="center"/>
              <w:rPr>
                <w:noProof/>
                <w:sz w:val="20"/>
              </w:rPr>
            </w:pPr>
            <w:r>
              <w:rPr>
                <w:noProof/>
                <w:sz w:val="20"/>
              </w:rPr>
              <w:t>0,180</w:t>
            </w:r>
          </w:p>
        </w:tc>
        <w:tc>
          <w:tcPr>
            <w:tcW w:w="868" w:type="dxa"/>
            <w:vAlign w:val="center"/>
          </w:tcPr>
          <w:p w:rsidR="00613CC4" w:rsidRDefault="00950A85">
            <w:pPr>
              <w:spacing w:before="20" w:after="20"/>
              <w:jc w:val="center"/>
              <w:rPr>
                <w:noProof/>
                <w:sz w:val="20"/>
              </w:rPr>
            </w:pPr>
            <w:r>
              <w:rPr>
                <w:noProof/>
                <w:sz w:val="20"/>
              </w:rPr>
              <w:t>0,430</w:t>
            </w:r>
          </w:p>
        </w:tc>
        <w:tc>
          <w:tcPr>
            <w:tcW w:w="868" w:type="dxa"/>
            <w:vAlign w:val="center"/>
          </w:tcPr>
          <w:p w:rsidR="00613CC4" w:rsidRDefault="00950A85">
            <w:pPr>
              <w:spacing w:before="20" w:after="20"/>
              <w:jc w:val="center"/>
              <w:rPr>
                <w:noProof/>
                <w:sz w:val="20"/>
              </w:rPr>
            </w:pPr>
            <w:r>
              <w:rPr>
                <w:noProof/>
                <w:sz w:val="20"/>
              </w:rPr>
              <w:t>2,750</w:t>
            </w:r>
          </w:p>
        </w:tc>
        <w:tc>
          <w:tcPr>
            <w:tcW w:w="868" w:type="dxa"/>
            <w:vAlign w:val="center"/>
          </w:tcPr>
          <w:p w:rsidR="00613CC4" w:rsidRDefault="00950A85">
            <w:pPr>
              <w:spacing w:before="20" w:after="20"/>
              <w:jc w:val="center"/>
              <w:rPr>
                <w:noProof/>
                <w:sz w:val="20"/>
              </w:rPr>
            </w:pPr>
            <w:r>
              <w:rPr>
                <w:noProof/>
                <w:sz w:val="20"/>
              </w:rPr>
              <w:t>2,750</w:t>
            </w:r>
          </w:p>
        </w:tc>
        <w:tc>
          <w:tcPr>
            <w:tcW w:w="868" w:type="dxa"/>
            <w:vAlign w:val="center"/>
          </w:tcPr>
          <w:p w:rsidR="00613CC4" w:rsidRDefault="00950A85">
            <w:pPr>
              <w:spacing w:before="20" w:after="20"/>
              <w:jc w:val="center"/>
              <w:rPr>
                <w:noProof/>
                <w:sz w:val="20"/>
              </w:rPr>
            </w:pPr>
            <w:r>
              <w:rPr>
                <w:noProof/>
                <w:sz w:val="20"/>
              </w:rPr>
              <w:t>3,000</w:t>
            </w:r>
          </w:p>
        </w:tc>
        <w:tc>
          <w:tcPr>
            <w:tcW w:w="868" w:type="dxa"/>
            <w:vAlign w:val="center"/>
          </w:tcPr>
          <w:p w:rsidR="00613CC4" w:rsidRDefault="00950A85">
            <w:pPr>
              <w:spacing w:before="20" w:after="20"/>
              <w:jc w:val="center"/>
              <w:rPr>
                <w:noProof/>
                <w:sz w:val="20"/>
              </w:rPr>
            </w:pPr>
            <w:r>
              <w:rPr>
                <w:noProof/>
                <w:sz w:val="20"/>
              </w:rPr>
              <w:t>3,000</w:t>
            </w:r>
          </w:p>
        </w:tc>
        <w:tc>
          <w:tcPr>
            <w:tcW w:w="868" w:type="dxa"/>
            <w:vAlign w:val="center"/>
          </w:tcPr>
          <w:p w:rsidR="00613CC4" w:rsidRDefault="00950A85">
            <w:pPr>
              <w:spacing w:before="20" w:after="20"/>
              <w:jc w:val="center"/>
              <w:rPr>
                <w:noProof/>
                <w:sz w:val="20"/>
              </w:rPr>
            </w:pPr>
            <w:r>
              <w:rPr>
                <w:noProof/>
                <w:sz w:val="20"/>
              </w:rPr>
              <w:t>0,550</w:t>
            </w:r>
          </w:p>
        </w:tc>
        <w:tc>
          <w:tcPr>
            <w:tcW w:w="868" w:type="dxa"/>
            <w:vAlign w:val="center"/>
          </w:tcPr>
          <w:p w:rsidR="00613CC4" w:rsidRDefault="00950A85">
            <w:pPr>
              <w:spacing w:before="20" w:after="20"/>
              <w:jc w:val="center"/>
              <w:rPr>
                <w:noProof/>
                <w:sz w:val="20"/>
              </w:rPr>
            </w:pPr>
            <w:r>
              <w:rPr>
                <w:noProof/>
                <w:sz w:val="20"/>
              </w:rPr>
              <w:t>2,300</w:t>
            </w:r>
          </w:p>
        </w:tc>
        <w:tc>
          <w:tcPr>
            <w:tcW w:w="950" w:type="dxa"/>
            <w:vAlign w:val="center"/>
          </w:tcPr>
          <w:p w:rsidR="00613CC4" w:rsidRDefault="00950A85">
            <w:pPr>
              <w:spacing w:before="20" w:after="20"/>
              <w:jc w:val="center"/>
              <w:rPr>
                <w:noProof/>
                <w:sz w:val="20"/>
              </w:rPr>
            </w:pPr>
            <w:r>
              <w:rPr>
                <w:noProof/>
                <w:sz w:val="20"/>
              </w:rPr>
              <w:t>2,400</w:t>
            </w:r>
          </w:p>
        </w:tc>
        <w:tc>
          <w:tcPr>
            <w:tcW w:w="1052" w:type="dxa"/>
            <w:vAlign w:val="center"/>
          </w:tcPr>
          <w:p w:rsidR="00613CC4" w:rsidRDefault="00950A85">
            <w:pPr>
              <w:spacing w:before="20" w:after="20"/>
              <w:jc w:val="center"/>
              <w:rPr>
                <w:b/>
                <w:noProof/>
                <w:sz w:val="20"/>
              </w:rPr>
            </w:pPr>
            <w:r>
              <w:rPr>
                <w:b/>
                <w:noProof/>
                <w:sz w:val="20"/>
              </w:rPr>
              <w:t>17,360</w:t>
            </w:r>
          </w:p>
        </w:tc>
      </w:tr>
    </w:tbl>
    <w:p w:rsidR="00613CC4" w:rsidRDefault="00613CC4">
      <w:pPr>
        <w:rPr>
          <w:noProof/>
          <w:sz w:val="16"/>
        </w:rPr>
      </w:pPr>
    </w:p>
    <w:tbl>
      <w:tblPr>
        <w:tblW w:w="149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94"/>
        <w:gridCol w:w="895"/>
        <w:gridCol w:w="894"/>
        <w:gridCol w:w="895"/>
        <w:gridCol w:w="895"/>
        <w:gridCol w:w="894"/>
        <w:gridCol w:w="895"/>
        <w:gridCol w:w="894"/>
        <w:gridCol w:w="895"/>
        <w:gridCol w:w="840"/>
      </w:tblGrid>
      <w:tr w:rsidR="00613CC4">
        <w:trPr>
          <w:trHeight w:val="277"/>
        </w:trPr>
        <w:tc>
          <w:tcPr>
            <w:tcW w:w="3960" w:type="dxa"/>
            <w:vMerge w:val="restart"/>
            <w:vAlign w:val="center"/>
          </w:tcPr>
          <w:p w:rsidR="00613CC4" w:rsidRDefault="00950A85">
            <w:pPr>
              <w:spacing w:before="20" w:after="20"/>
              <w:rPr>
                <w:noProof/>
              </w:rPr>
            </w:pPr>
            <w:r>
              <w:rPr>
                <w:noProof/>
              </w:rPr>
              <w:br w:type="page"/>
            </w:r>
            <w:r>
              <w:rPr>
                <w:noProof/>
                <w:sz w:val="21"/>
              </w:rPr>
              <w:sym w:font="Wingdings" w:char="F09F"/>
            </w:r>
            <w:r>
              <w:rPr>
                <w:noProof/>
                <w:sz w:val="21"/>
              </w:rPr>
              <w:t xml:space="preserve"> Aktionsbevillinger I ALT</w:t>
            </w:r>
          </w:p>
        </w:tc>
        <w:tc>
          <w:tcPr>
            <w:tcW w:w="1440" w:type="dxa"/>
            <w:vAlign w:val="center"/>
          </w:tcPr>
          <w:p w:rsidR="00613CC4" w:rsidRDefault="00950A85">
            <w:pPr>
              <w:spacing w:beforeLines="20" w:before="48" w:afterLines="20" w:after="48"/>
              <w:rPr>
                <w:noProof/>
                <w:sz w:val="18"/>
              </w:rPr>
            </w:pPr>
            <w:r>
              <w:rPr>
                <w:noProof/>
                <w:sz w:val="18"/>
              </w:rPr>
              <w:t>Forpligtelser</w:t>
            </w:r>
          </w:p>
        </w:tc>
        <w:tc>
          <w:tcPr>
            <w:tcW w:w="654" w:type="dxa"/>
            <w:vAlign w:val="center"/>
          </w:tcPr>
          <w:p w:rsidR="00613CC4" w:rsidRDefault="00950A85">
            <w:pPr>
              <w:spacing w:beforeLines="20" w:before="48" w:afterLines="20" w:after="48"/>
              <w:jc w:val="center"/>
              <w:rPr>
                <w:noProof/>
                <w:sz w:val="14"/>
              </w:rPr>
            </w:pPr>
            <w:r>
              <w:rPr>
                <w:noProof/>
                <w:sz w:val="14"/>
              </w:rPr>
              <w:t>(4)</w:t>
            </w:r>
          </w:p>
        </w:tc>
        <w:tc>
          <w:tcPr>
            <w:tcW w:w="894" w:type="dxa"/>
            <w:vAlign w:val="center"/>
          </w:tcPr>
          <w:p w:rsidR="00613CC4" w:rsidRDefault="00613CC4">
            <w:pPr>
              <w:spacing w:before="20" w:after="20"/>
              <w:jc w:val="right"/>
              <w:rPr>
                <w:noProof/>
                <w:sz w:val="20"/>
              </w:rPr>
            </w:pPr>
          </w:p>
        </w:tc>
        <w:tc>
          <w:tcPr>
            <w:tcW w:w="895" w:type="dxa"/>
            <w:vAlign w:val="center"/>
          </w:tcPr>
          <w:p w:rsidR="00613CC4" w:rsidRDefault="00613CC4">
            <w:pPr>
              <w:spacing w:before="20" w:after="20"/>
              <w:jc w:val="right"/>
              <w:rPr>
                <w:noProof/>
                <w:sz w:val="20"/>
              </w:rPr>
            </w:pPr>
          </w:p>
        </w:tc>
        <w:tc>
          <w:tcPr>
            <w:tcW w:w="894" w:type="dxa"/>
            <w:vAlign w:val="center"/>
          </w:tcPr>
          <w:p w:rsidR="00613CC4" w:rsidRDefault="00613CC4">
            <w:pPr>
              <w:spacing w:before="20" w:after="20"/>
              <w:jc w:val="right"/>
              <w:rPr>
                <w:noProof/>
                <w:sz w:val="20"/>
              </w:rPr>
            </w:pPr>
          </w:p>
        </w:tc>
        <w:tc>
          <w:tcPr>
            <w:tcW w:w="895" w:type="dxa"/>
            <w:vAlign w:val="center"/>
          </w:tcPr>
          <w:p w:rsidR="00613CC4" w:rsidRDefault="00613CC4">
            <w:pPr>
              <w:spacing w:before="20" w:after="20"/>
              <w:jc w:val="right"/>
              <w:rPr>
                <w:noProof/>
                <w:sz w:val="20"/>
              </w:rPr>
            </w:pPr>
          </w:p>
        </w:tc>
        <w:tc>
          <w:tcPr>
            <w:tcW w:w="895" w:type="dxa"/>
            <w:vAlign w:val="center"/>
          </w:tcPr>
          <w:p w:rsidR="00613CC4" w:rsidRDefault="00613CC4">
            <w:pPr>
              <w:spacing w:before="20" w:after="20"/>
              <w:jc w:val="right"/>
              <w:rPr>
                <w:noProof/>
                <w:sz w:val="20"/>
              </w:rPr>
            </w:pPr>
          </w:p>
        </w:tc>
        <w:tc>
          <w:tcPr>
            <w:tcW w:w="894" w:type="dxa"/>
            <w:vAlign w:val="center"/>
          </w:tcPr>
          <w:p w:rsidR="00613CC4" w:rsidRDefault="00613CC4">
            <w:pPr>
              <w:spacing w:before="20" w:after="20"/>
              <w:jc w:val="right"/>
              <w:rPr>
                <w:noProof/>
                <w:sz w:val="20"/>
              </w:rPr>
            </w:pPr>
          </w:p>
        </w:tc>
        <w:tc>
          <w:tcPr>
            <w:tcW w:w="895" w:type="dxa"/>
            <w:vAlign w:val="center"/>
          </w:tcPr>
          <w:p w:rsidR="00613CC4" w:rsidRDefault="00613CC4">
            <w:pPr>
              <w:spacing w:before="20" w:after="20"/>
              <w:jc w:val="right"/>
              <w:rPr>
                <w:noProof/>
                <w:sz w:val="20"/>
              </w:rPr>
            </w:pPr>
          </w:p>
        </w:tc>
        <w:tc>
          <w:tcPr>
            <w:tcW w:w="894" w:type="dxa"/>
            <w:vAlign w:val="center"/>
          </w:tcPr>
          <w:p w:rsidR="00613CC4" w:rsidRDefault="00613CC4">
            <w:pPr>
              <w:spacing w:before="20" w:after="20"/>
              <w:jc w:val="right"/>
              <w:rPr>
                <w:b/>
                <w:noProof/>
                <w:sz w:val="20"/>
              </w:rPr>
            </w:pPr>
          </w:p>
        </w:tc>
        <w:tc>
          <w:tcPr>
            <w:tcW w:w="895" w:type="dxa"/>
          </w:tcPr>
          <w:p w:rsidR="00613CC4" w:rsidRDefault="00613CC4">
            <w:pPr>
              <w:spacing w:before="20" w:after="20"/>
              <w:jc w:val="right"/>
              <w:rPr>
                <w:b/>
                <w:noProof/>
                <w:sz w:val="20"/>
              </w:rPr>
            </w:pPr>
          </w:p>
        </w:tc>
        <w:tc>
          <w:tcPr>
            <w:tcW w:w="840" w:type="dxa"/>
            <w:vAlign w:val="center"/>
          </w:tcPr>
          <w:p w:rsidR="00613CC4" w:rsidRDefault="00613CC4">
            <w:pPr>
              <w:spacing w:before="20" w:after="20"/>
              <w:jc w:val="right"/>
              <w:rPr>
                <w:b/>
                <w:noProof/>
                <w:sz w:val="20"/>
              </w:rPr>
            </w:pPr>
          </w:p>
        </w:tc>
      </w:tr>
      <w:tr w:rsidR="00613CC4">
        <w:tc>
          <w:tcPr>
            <w:tcW w:w="3960" w:type="dxa"/>
            <w:vMerge/>
          </w:tcPr>
          <w:p w:rsidR="00613CC4" w:rsidRDefault="00613CC4">
            <w:pPr>
              <w:jc w:val="center"/>
              <w:rPr>
                <w:noProof/>
                <w:sz w:val="20"/>
              </w:rPr>
            </w:pPr>
          </w:p>
        </w:tc>
        <w:tc>
          <w:tcPr>
            <w:tcW w:w="1440" w:type="dxa"/>
            <w:vAlign w:val="center"/>
          </w:tcPr>
          <w:p w:rsidR="00613CC4" w:rsidRDefault="00950A85">
            <w:pPr>
              <w:spacing w:beforeLines="20" w:before="48" w:afterLines="20" w:after="48"/>
              <w:rPr>
                <w:noProof/>
                <w:sz w:val="18"/>
              </w:rPr>
            </w:pPr>
            <w:r>
              <w:rPr>
                <w:noProof/>
                <w:sz w:val="18"/>
              </w:rPr>
              <w:t>Betalinger</w:t>
            </w:r>
          </w:p>
        </w:tc>
        <w:tc>
          <w:tcPr>
            <w:tcW w:w="654" w:type="dxa"/>
            <w:vAlign w:val="center"/>
          </w:tcPr>
          <w:p w:rsidR="00613CC4" w:rsidRDefault="00950A85">
            <w:pPr>
              <w:spacing w:beforeLines="20" w:before="48" w:afterLines="20" w:after="48"/>
              <w:jc w:val="center"/>
              <w:rPr>
                <w:noProof/>
                <w:sz w:val="14"/>
              </w:rPr>
            </w:pPr>
            <w:r>
              <w:rPr>
                <w:noProof/>
                <w:sz w:val="14"/>
              </w:rPr>
              <w:t>(5)</w:t>
            </w:r>
          </w:p>
        </w:tc>
        <w:tc>
          <w:tcPr>
            <w:tcW w:w="894" w:type="dxa"/>
            <w:vAlign w:val="center"/>
          </w:tcPr>
          <w:p w:rsidR="00613CC4" w:rsidRDefault="00613CC4">
            <w:pPr>
              <w:spacing w:before="20" w:after="20"/>
              <w:jc w:val="right"/>
              <w:rPr>
                <w:noProof/>
                <w:sz w:val="20"/>
              </w:rPr>
            </w:pPr>
          </w:p>
        </w:tc>
        <w:tc>
          <w:tcPr>
            <w:tcW w:w="895" w:type="dxa"/>
            <w:vAlign w:val="center"/>
          </w:tcPr>
          <w:p w:rsidR="00613CC4" w:rsidRDefault="00613CC4">
            <w:pPr>
              <w:spacing w:before="20" w:after="20"/>
              <w:jc w:val="right"/>
              <w:rPr>
                <w:noProof/>
                <w:sz w:val="20"/>
              </w:rPr>
            </w:pPr>
          </w:p>
        </w:tc>
        <w:tc>
          <w:tcPr>
            <w:tcW w:w="894" w:type="dxa"/>
            <w:vAlign w:val="center"/>
          </w:tcPr>
          <w:p w:rsidR="00613CC4" w:rsidRDefault="00613CC4">
            <w:pPr>
              <w:spacing w:before="20" w:after="20"/>
              <w:jc w:val="right"/>
              <w:rPr>
                <w:noProof/>
                <w:sz w:val="20"/>
              </w:rPr>
            </w:pPr>
          </w:p>
        </w:tc>
        <w:tc>
          <w:tcPr>
            <w:tcW w:w="895" w:type="dxa"/>
            <w:vAlign w:val="center"/>
          </w:tcPr>
          <w:p w:rsidR="00613CC4" w:rsidRDefault="00613CC4">
            <w:pPr>
              <w:spacing w:before="20" w:after="20"/>
              <w:jc w:val="right"/>
              <w:rPr>
                <w:noProof/>
                <w:sz w:val="20"/>
              </w:rPr>
            </w:pPr>
          </w:p>
        </w:tc>
        <w:tc>
          <w:tcPr>
            <w:tcW w:w="895" w:type="dxa"/>
            <w:vAlign w:val="center"/>
          </w:tcPr>
          <w:p w:rsidR="00613CC4" w:rsidRDefault="00613CC4">
            <w:pPr>
              <w:spacing w:before="20" w:after="20"/>
              <w:jc w:val="right"/>
              <w:rPr>
                <w:noProof/>
                <w:sz w:val="20"/>
              </w:rPr>
            </w:pPr>
          </w:p>
        </w:tc>
        <w:tc>
          <w:tcPr>
            <w:tcW w:w="894" w:type="dxa"/>
            <w:vAlign w:val="center"/>
          </w:tcPr>
          <w:p w:rsidR="00613CC4" w:rsidRDefault="00613CC4">
            <w:pPr>
              <w:spacing w:before="20" w:after="20"/>
              <w:jc w:val="right"/>
              <w:rPr>
                <w:noProof/>
                <w:sz w:val="20"/>
              </w:rPr>
            </w:pPr>
          </w:p>
        </w:tc>
        <w:tc>
          <w:tcPr>
            <w:tcW w:w="895" w:type="dxa"/>
            <w:vAlign w:val="center"/>
          </w:tcPr>
          <w:p w:rsidR="00613CC4" w:rsidRDefault="00613CC4">
            <w:pPr>
              <w:spacing w:before="20" w:after="20"/>
              <w:jc w:val="right"/>
              <w:rPr>
                <w:noProof/>
                <w:sz w:val="20"/>
              </w:rPr>
            </w:pPr>
          </w:p>
        </w:tc>
        <w:tc>
          <w:tcPr>
            <w:tcW w:w="894" w:type="dxa"/>
            <w:vAlign w:val="center"/>
          </w:tcPr>
          <w:p w:rsidR="00613CC4" w:rsidRDefault="00613CC4">
            <w:pPr>
              <w:spacing w:before="20" w:after="20"/>
              <w:jc w:val="right"/>
              <w:rPr>
                <w:b/>
                <w:noProof/>
                <w:sz w:val="20"/>
              </w:rPr>
            </w:pPr>
          </w:p>
        </w:tc>
        <w:tc>
          <w:tcPr>
            <w:tcW w:w="895" w:type="dxa"/>
          </w:tcPr>
          <w:p w:rsidR="00613CC4" w:rsidRDefault="00613CC4">
            <w:pPr>
              <w:spacing w:before="20" w:after="20"/>
              <w:jc w:val="right"/>
              <w:rPr>
                <w:b/>
                <w:noProof/>
                <w:sz w:val="20"/>
              </w:rPr>
            </w:pPr>
          </w:p>
        </w:tc>
        <w:tc>
          <w:tcPr>
            <w:tcW w:w="840" w:type="dxa"/>
            <w:vAlign w:val="center"/>
          </w:tcPr>
          <w:p w:rsidR="00613CC4" w:rsidRDefault="00613CC4">
            <w:pPr>
              <w:spacing w:before="20" w:after="20"/>
              <w:jc w:val="right"/>
              <w:rPr>
                <w:b/>
                <w:noProof/>
                <w:sz w:val="20"/>
              </w:rPr>
            </w:pPr>
          </w:p>
        </w:tc>
      </w:tr>
      <w:tr w:rsidR="00613CC4">
        <w:trPr>
          <w:trHeight w:val="533"/>
        </w:trPr>
        <w:tc>
          <w:tcPr>
            <w:tcW w:w="5400" w:type="dxa"/>
            <w:gridSpan w:val="2"/>
            <w:vAlign w:val="center"/>
          </w:tcPr>
          <w:p w:rsidR="00613CC4" w:rsidRDefault="00950A85">
            <w:pPr>
              <w:spacing w:beforeLines="20" w:before="48" w:afterLines="20" w:after="48"/>
              <w:rPr>
                <w:noProof/>
              </w:rPr>
            </w:pPr>
            <w:r>
              <w:rPr>
                <w:noProof/>
                <w:sz w:val="21"/>
              </w:rPr>
              <w:sym w:font="Wingdings" w:char="F09F"/>
            </w:r>
            <w:r>
              <w:rPr>
                <w:noProof/>
                <w:sz w:val="21"/>
              </w:rPr>
              <w:t xml:space="preserve"> Administrationsbevillinger finansieret over bevillingsrammen for særprogrammer I ALT</w:t>
            </w:r>
          </w:p>
        </w:tc>
        <w:tc>
          <w:tcPr>
            <w:tcW w:w="654" w:type="dxa"/>
            <w:vAlign w:val="center"/>
          </w:tcPr>
          <w:p w:rsidR="00613CC4" w:rsidRDefault="00950A85">
            <w:pPr>
              <w:spacing w:beforeLines="20" w:before="48" w:afterLines="20" w:after="48"/>
              <w:jc w:val="center"/>
              <w:rPr>
                <w:noProof/>
                <w:sz w:val="14"/>
              </w:rPr>
            </w:pPr>
            <w:r>
              <w:rPr>
                <w:noProof/>
                <w:sz w:val="14"/>
              </w:rPr>
              <w:t>(6)</w:t>
            </w:r>
          </w:p>
        </w:tc>
        <w:tc>
          <w:tcPr>
            <w:tcW w:w="894" w:type="dxa"/>
            <w:vAlign w:val="center"/>
          </w:tcPr>
          <w:p w:rsidR="00613CC4" w:rsidRDefault="00613CC4">
            <w:pPr>
              <w:spacing w:before="20" w:after="20"/>
              <w:jc w:val="right"/>
              <w:rPr>
                <w:b/>
                <w:noProof/>
                <w:sz w:val="20"/>
              </w:rPr>
            </w:pPr>
          </w:p>
        </w:tc>
        <w:tc>
          <w:tcPr>
            <w:tcW w:w="895" w:type="dxa"/>
            <w:vAlign w:val="center"/>
          </w:tcPr>
          <w:p w:rsidR="00613CC4" w:rsidRDefault="00613CC4">
            <w:pPr>
              <w:spacing w:before="20" w:after="20"/>
              <w:jc w:val="right"/>
              <w:rPr>
                <w:b/>
                <w:noProof/>
                <w:sz w:val="20"/>
              </w:rPr>
            </w:pPr>
          </w:p>
        </w:tc>
        <w:tc>
          <w:tcPr>
            <w:tcW w:w="894" w:type="dxa"/>
            <w:vAlign w:val="center"/>
          </w:tcPr>
          <w:p w:rsidR="00613CC4" w:rsidRDefault="00613CC4">
            <w:pPr>
              <w:spacing w:before="20" w:after="20"/>
              <w:jc w:val="right"/>
              <w:rPr>
                <w:b/>
                <w:noProof/>
                <w:sz w:val="20"/>
              </w:rPr>
            </w:pPr>
          </w:p>
        </w:tc>
        <w:tc>
          <w:tcPr>
            <w:tcW w:w="895" w:type="dxa"/>
            <w:vAlign w:val="center"/>
          </w:tcPr>
          <w:p w:rsidR="00613CC4" w:rsidRDefault="00613CC4">
            <w:pPr>
              <w:spacing w:before="20" w:after="20"/>
              <w:jc w:val="right"/>
              <w:rPr>
                <w:b/>
                <w:noProof/>
                <w:sz w:val="20"/>
              </w:rPr>
            </w:pPr>
          </w:p>
        </w:tc>
        <w:tc>
          <w:tcPr>
            <w:tcW w:w="895" w:type="dxa"/>
            <w:vAlign w:val="center"/>
          </w:tcPr>
          <w:p w:rsidR="00613CC4" w:rsidRDefault="00613CC4">
            <w:pPr>
              <w:spacing w:before="20" w:after="20"/>
              <w:jc w:val="right"/>
              <w:rPr>
                <w:b/>
                <w:noProof/>
                <w:sz w:val="20"/>
              </w:rPr>
            </w:pPr>
          </w:p>
        </w:tc>
        <w:tc>
          <w:tcPr>
            <w:tcW w:w="894" w:type="dxa"/>
            <w:vAlign w:val="center"/>
          </w:tcPr>
          <w:p w:rsidR="00613CC4" w:rsidRDefault="00613CC4">
            <w:pPr>
              <w:spacing w:before="20" w:after="20"/>
              <w:jc w:val="right"/>
              <w:rPr>
                <w:b/>
                <w:noProof/>
                <w:sz w:val="20"/>
              </w:rPr>
            </w:pPr>
          </w:p>
        </w:tc>
        <w:tc>
          <w:tcPr>
            <w:tcW w:w="895" w:type="dxa"/>
            <w:vAlign w:val="center"/>
          </w:tcPr>
          <w:p w:rsidR="00613CC4" w:rsidRDefault="00613CC4">
            <w:pPr>
              <w:spacing w:before="20" w:after="20"/>
              <w:jc w:val="right"/>
              <w:rPr>
                <w:b/>
                <w:noProof/>
                <w:sz w:val="20"/>
              </w:rPr>
            </w:pPr>
          </w:p>
        </w:tc>
        <w:tc>
          <w:tcPr>
            <w:tcW w:w="894" w:type="dxa"/>
            <w:vAlign w:val="center"/>
          </w:tcPr>
          <w:p w:rsidR="00613CC4" w:rsidRDefault="00613CC4">
            <w:pPr>
              <w:spacing w:before="20" w:after="20"/>
              <w:jc w:val="right"/>
              <w:rPr>
                <w:b/>
                <w:noProof/>
                <w:sz w:val="20"/>
              </w:rPr>
            </w:pPr>
          </w:p>
        </w:tc>
        <w:tc>
          <w:tcPr>
            <w:tcW w:w="895" w:type="dxa"/>
          </w:tcPr>
          <w:p w:rsidR="00613CC4" w:rsidRDefault="00613CC4">
            <w:pPr>
              <w:spacing w:before="20" w:after="20"/>
              <w:jc w:val="right"/>
              <w:rPr>
                <w:b/>
                <w:noProof/>
                <w:sz w:val="20"/>
              </w:rPr>
            </w:pPr>
          </w:p>
        </w:tc>
        <w:tc>
          <w:tcPr>
            <w:tcW w:w="840" w:type="dxa"/>
            <w:vAlign w:val="center"/>
          </w:tcPr>
          <w:p w:rsidR="00613CC4" w:rsidRDefault="00613CC4">
            <w:pPr>
              <w:spacing w:before="20" w:after="20"/>
              <w:jc w:val="right"/>
              <w:rPr>
                <w:b/>
                <w:noProof/>
                <w:sz w:val="20"/>
              </w:rPr>
            </w:pPr>
          </w:p>
        </w:tc>
      </w:tr>
      <w:tr w:rsidR="00613CC4">
        <w:tc>
          <w:tcPr>
            <w:tcW w:w="3960" w:type="dxa"/>
            <w:vMerge w:val="restart"/>
            <w:shd w:val="thinDiagStripe" w:color="C0C0C0" w:fill="auto"/>
            <w:vAlign w:val="center"/>
          </w:tcPr>
          <w:p w:rsidR="00613CC4" w:rsidRDefault="00950A85">
            <w:pPr>
              <w:jc w:val="center"/>
              <w:rPr>
                <w:b/>
                <w:noProof/>
              </w:rPr>
            </w:pPr>
            <w:r>
              <w:rPr>
                <w:b/>
                <w:noProof/>
                <w:sz w:val="22"/>
              </w:rPr>
              <w:t xml:space="preserve">Bevillinger I ALT </w:t>
            </w:r>
            <w:r>
              <w:rPr>
                <w:noProof/>
                <w:sz w:val="22"/>
              </w:rPr>
              <w:br/>
            </w:r>
            <w:r>
              <w:rPr>
                <w:b/>
                <w:noProof/>
                <w:sz w:val="22"/>
              </w:rPr>
              <w:t>under UDGIFTSOMRÅDE 3</w:t>
            </w:r>
            <w:r>
              <w:rPr>
                <w:noProof/>
                <w:sz w:val="22"/>
              </w:rPr>
              <w:br/>
              <w:t>i den flerårige finansielle ramme</w:t>
            </w:r>
          </w:p>
        </w:tc>
        <w:tc>
          <w:tcPr>
            <w:tcW w:w="1440" w:type="dxa"/>
            <w:vAlign w:val="center"/>
          </w:tcPr>
          <w:p w:rsidR="00613CC4" w:rsidRDefault="00950A85">
            <w:pPr>
              <w:rPr>
                <w:noProof/>
                <w:sz w:val="18"/>
              </w:rPr>
            </w:pPr>
            <w:r>
              <w:rPr>
                <w:noProof/>
                <w:sz w:val="18"/>
              </w:rPr>
              <w:t>Forpligtelser</w:t>
            </w:r>
          </w:p>
        </w:tc>
        <w:tc>
          <w:tcPr>
            <w:tcW w:w="654" w:type="dxa"/>
            <w:vAlign w:val="center"/>
          </w:tcPr>
          <w:p w:rsidR="00613CC4" w:rsidRDefault="00950A85">
            <w:pPr>
              <w:jc w:val="center"/>
              <w:rPr>
                <w:noProof/>
                <w:sz w:val="14"/>
              </w:rPr>
            </w:pPr>
            <w:r>
              <w:rPr>
                <w:noProof/>
                <w:sz w:val="14"/>
              </w:rPr>
              <w:t>=4+ 6</w:t>
            </w:r>
          </w:p>
        </w:tc>
        <w:tc>
          <w:tcPr>
            <w:tcW w:w="894" w:type="dxa"/>
            <w:vAlign w:val="center"/>
          </w:tcPr>
          <w:p w:rsidR="00613CC4" w:rsidRDefault="00950A85">
            <w:pPr>
              <w:spacing w:before="20" w:after="20"/>
              <w:jc w:val="center"/>
              <w:rPr>
                <w:noProof/>
                <w:sz w:val="20"/>
              </w:rPr>
            </w:pPr>
            <w:r>
              <w:rPr>
                <w:noProof/>
                <w:sz w:val="20"/>
              </w:rPr>
              <w:t>0,360</w:t>
            </w:r>
          </w:p>
        </w:tc>
        <w:tc>
          <w:tcPr>
            <w:tcW w:w="895" w:type="dxa"/>
            <w:vAlign w:val="center"/>
          </w:tcPr>
          <w:p w:rsidR="00613CC4" w:rsidRDefault="00950A85">
            <w:pPr>
              <w:spacing w:before="20" w:after="20"/>
              <w:jc w:val="center"/>
              <w:rPr>
                <w:noProof/>
                <w:sz w:val="20"/>
              </w:rPr>
            </w:pPr>
            <w:r>
              <w:rPr>
                <w:noProof/>
                <w:sz w:val="20"/>
              </w:rPr>
              <w:t>0,500</w:t>
            </w:r>
          </w:p>
        </w:tc>
        <w:tc>
          <w:tcPr>
            <w:tcW w:w="894" w:type="dxa"/>
            <w:vAlign w:val="center"/>
          </w:tcPr>
          <w:p w:rsidR="00613CC4" w:rsidRDefault="00950A85">
            <w:pPr>
              <w:spacing w:before="20" w:after="20"/>
              <w:jc w:val="center"/>
              <w:rPr>
                <w:noProof/>
                <w:sz w:val="20"/>
              </w:rPr>
            </w:pPr>
            <w:r>
              <w:rPr>
                <w:noProof/>
                <w:sz w:val="20"/>
              </w:rPr>
              <w:t>4,500</w:t>
            </w:r>
          </w:p>
        </w:tc>
        <w:tc>
          <w:tcPr>
            <w:tcW w:w="895" w:type="dxa"/>
            <w:vAlign w:val="center"/>
          </w:tcPr>
          <w:p w:rsidR="00613CC4" w:rsidRDefault="00950A85">
            <w:pPr>
              <w:spacing w:before="20" w:after="20"/>
              <w:jc w:val="center"/>
              <w:rPr>
                <w:noProof/>
                <w:sz w:val="20"/>
              </w:rPr>
            </w:pPr>
            <w:r>
              <w:rPr>
                <w:noProof/>
                <w:sz w:val="20"/>
              </w:rPr>
              <w:t>0,500</w:t>
            </w:r>
          </w:p>
        </w:tc>
        <w:tc>
          <w:tcPr>
            <w:tcW w:w="895" w:type="dxa"/>
            <w:vAlign w:val="center"/>
          </w:tcPr>
          <w:p w:rsidR="00613CC4" w:rsidRDefault="00950A85">
            <w:pPr>
              <w:spacing w:before="40" w:after="40"/>
              <w:jc w:val="center"/>
              <w:rPr>
                <w:noProof/>
                <w:sz w:val="20"/>
              </w:rPr>
            </w:pPr>
            <w:r>
              <w:rPr>
                <w:noProof/>
                <w:sz w:val="20"/>
              </w:rPr>
              <w:t>5,000</w:t>
            </w:r>
          </w:p>
        </w:tc>
        <w:tc>
          <w:tcPr>
            <w:tcW w:w="894" w:type="dxa"/>
            <w:vAlign w:val="center"/>
          </w:tcPr>
          <w:p w:rsidR="00613CC4" w:rsidRDefault="00950A85">
            <w:pPr>
              <w:spacing w:before="40" w:after="40"/>
              <w:jc w:val="center"/>
              <w:rPr>
                <w:noProof/>
                <w:sz w:val="20"/>
              </w:rPr>
            </w:pPr>
            <w:r>
              <w:rPr>
                <w:noProof/>
                <w:sz w:val="20"/>
              </w:rPr>
              <w:t>0,500</w:t>
            </w:r>
          </w:p>
        </w:tc>
        <w:tc>
          <w:tcPr>
            <w:tcW w:w="895" w:type="dxa"/>
            <w:vAlign w:val="center"/>
          </w:tcPr>
          <w:p w:rsidR="00613CC4" w:rsidRDefault="00950A85">
            <w:pPr>
              <w:spacing w:before="20" w:after="20"/>
              <w:jc w:val="center"/>
              <w:rPr>
                <w:noProof/>
                <w:sz w:val="20"/>
              </w:rPr>
            </w:pPr>
            <w:r>
              <w:rPr>
                <w:noProof/>
                <w:sz w:val="20"/>
              </w:rPr>
              <w:t>0,500</w:t>
            </w:r>
          </w:p>
        </w:tc>
        <w:tc>
          <w:tcPr>
            <w:tcW w:w="894" w:type="dxa"/>
            <w:vAlign w:val="center"/>
          </w:tcPr>
          <w:p w:rsidR="00613CC4" w:rsidRDefault="00950A85">
            <w:pPr>
              <w:spacing w:before="20" w:after="20"/>
              <w:jc w:val="center"/>
              <w:rPr>
                <w:noProof/>
                <w:sz w:val="20"/>
              </w:rPr>
            </w:pPr>
            <w:r>
              <w:rPr>
                <w:noProof/>
                <w:sz w:val="20"/>
              </w:rPr>
              <w:t>0,500</w:t>
            </w:r>
          </w:p>
        </w:tc>
        <w:tc>
          <w:tcPr>
            <w:tcW w:w="895" w:type="dxa"/>
            <w:vAlign w:val="center"/>
          </w:tcPr>
          <w:p w:rsidR="00613CC4" w:rsidRDefault="00950A85">
            <w:pPr>
              <w:spacing w:before="20" w:after="20"/>
              <w:jc w:val="center"/>
              <w:rPr>
                <w:b/>
                <w:noProof/>
                <w:sz w:val="20"/>
              </w:rPr>
            </w:pPr>
            <w:r>
              <w:rPr>
                <w:noProof/>
                <w:sz w:val="20"/>
              </w:rPr>
              <w:t>4,000</w:t>
            </w:r>
          </w:p>
        </w:tc>
        <w:tc>
          <w:tcPr>
            <w:tcW w:w="840" w:type="dxa"/>
            <w:vAlign w:val="center"/>
          </w:tcPr>
          <w:p w:rsidR="00613CC4" w:rsidRDefault="00950A85">
            <w:pPr>
              <w:spacing w:before="20" w:after="20"/>
              <w:jc w:val="center"/>
              <w:rPr>
                <w:b/>
                <w:noProof/>
                <w:sz w:val="20"/>
              </w:rPr>
            </w:pPr>
            <w:r>
              <w:rPr>
                <w:b/>
                <w:noProof/>
                <w:sz w:val="20"/>
              </w:rPr>
              <w:t>17,360</w:t>
            </w:r>
          </w:p>
        </w:tc>
      </w:tr>
      <w:tr w:rsidR="00613CC4">
        <w:tc>
          <w:tcPr>
            <w:tcW w:w="3960" w:type="dxa"/>
            <w:vMerge/>
            <w:shd w:val="thinDiagStripe" w:color="C0C0C0" w:fill="auto"/>
          </w:tcPr>
          <w:p w:rsidR="00613CC4" w:rsidRDefault="00613CC4">
            <w:pPr>
              <w:rPr>
                <w:noProof/>
                <w:sz w:val="20"/>
              </w:rPr>
            </w:pPr>
          </w:p>
        </w:tc>
        <w:tc>
          <w:tcPr>
            <w:tcW w:w="1440" w:type="dxa"/>
            <w:vAlign w:val="center"/>
          </w:tcPr>
          <w:p w:rsidR="00613CC4" w:rsidRDefault="00950A85">
            <w:pPr>
              <w:rPr>
                <w:noProof/>
                <w:sz w:val="18"/>
              </w:rPr>
            </w:pPr>
            <w:r>
              <w:rPr>
                <w:noProof/>
                <w:sz w:val="18"/>
              </w:rPr>
              <w:t>Betalinger</w:t>
            </w:r>
          </w:p>
        </w:tc>
        <w:tc>
          <w:tcPr>
            <w:tcW w:w="654" w:type="dxa"/>
            <w:vAlign w:val="center"/>
          </w:tcPr>
          <w:p w:rsidR="00613CC4" w:rsidRDefault="00950A85">
            <w:pPr>
              <w:jc w:val="center"/>
              <w:rPr>
                <w:noProof/>
                <w:sz w:val="14"/>
              </w:rPr>
            </w:pPr>
            <w:r>
              <w:rPr>
                <w:noProof/>
                <w:sz w:val="14"/>
              </w:rPr>
              <w:t>=5+ 6</w:t>
            </w:r>
          </w:p>
        </w:tc>
        <w:tc>
          <w:tcPr>
            <w:tcW w:w="894" w:type="dxa"/>
            <w:vAlign w:val="center"/>
          </w:tcPr>
          <w:p w:rsidR="00613CC4" w:rsidRDefault="00950A85">
            <w:pPr>
              <w:spacing w:before="20" w:after="20"/>
              <w:jc w:val="center"/>
              <w:rPr>
                <w:noProof/>
                <w:sz w:val="20"/>
              </w:rPr>
            </w:pPr>
            <w:r>
              <w:rPr>
                <w:noProof/>
                <w:sz w:val="20"/>
              </w:rPr>
              <w:t>0,180</w:t>
            </w:r>
          </w:p>
        </w:tc>
        <w:tc>
          <w:tcPr>
            <w:tcW w:w="895" w:type="dxa"/>
            <w:vAlign w:val="center"/>
          </w:tcPr>
          <w:p w:rsidR="00613CC4" w:rsidRDefault="00950A85">
            <w:pPr>
              <w:spacing w:before="20" w:after="20"/>
              <w:jc w:val="center"/>
              <w:rPr>
                <w:noProof/>
                <w:sz w:val="20"/>
              </w:rPr>
            </w:pPr>
            <w:r>
              <w:rPr>
                <w:noProof/>
                <w:sz w:val="20"/>
              </w:rPr>
              <w:t>0,430</w:t>
            </w:r>
          </w:p>
        </w:tc>
        <w:tc>
          <w:tcPr>
            <w:tcW w:w="894" w:type="dxa"/>
            <w:vAlign w:val="center"/>
          </w:tcPr>
          <w:p w:rsidR="00613CC4" w:rsidRDefault="00950A85">
            <w:pPr>
              <w:spacing w:before="20" w:after="20"/>
              <w:jc w:val="center"/>
              <w:rPr>
                <w:noProof/>
                <w:sz w:val="20"/>
              </w:rPr>
            </w:pPr>
            <w:r>
              <w:rPr>
                <w:noProof/>
                <w:sz w:val="20"/>
              </w:rPr>
              <w:t>2,750</w:t>
            </w:r>
          </w:p>
        </w:tc>
        <w:tc>
          <w:tcPr>
            <w:tcW w:w="895" w:type="dxa"/>
            <w:vAlign w:val="center"/>
          </w:tcPr>
          <w:p w:rsidR="00613CC4" w:rsidRDefault="00950A85">
            <w:pPr>
              <w:spacing w:before="20" w:after="20"/>
              <w:jc w:val="center"/>
              <w:rPr>
                <w:noProof/>
                <w:sz w:val="20"/>
              </w:rPr>
            </w:pPr>
            <w:r>
              <w:rPr>
                <w:noProof/>
                <w:sz w:val="20"/>
              </w:rPr>
              <w:t>2,750</w:t>
            </w:r>
          </w:p>
        </w:tc>
        <w:tc>
          <w:tcPr>
            <w:tcW w:w="895" w:type="dxa"/>
            <w:vAlign w:val="center"/>
          </w:tcPr>
          <w:p w:rsidR="00613CC4" w:rsidRDefault="00950A85">
            <w:pPr>
              <w:spacing w:before="20" w:after="20"/>
              <w:jc w:val="center"/>
              <w:rPr>
                <w:noProof/>
                <w:sz w:val="20"/>
              </w:rPr>
            </w:pPr>
            <w:r>
              <w:rPr>
                <w:noProof/>
                <w:sz w:val="20"/>
              </w:rPr>
              <w:t>3,000</w:t>
            </w:r>
          </w:p>
        </w:tc>
        <w:tc>
          <w:tcPr>
            <w:tcW w:w="894" w:type="dxa"/>
            <w:vAlign w:val="center"/>
          </w:tcPr>
          <w:p w:rsidR="00613CC4" w:rsidRDefault="00950A85">
            <w:pPr>
              <w:spacing w:before="20" w:after="20"/>
              <w:jc w:val="center"/>
              <w:rPr>
                <w:noProof/>
                <w:sz w:val="20"/>
              </w:rPr>
            </w:pPr>
            <w:r>
              <w:rPr>
                <w:noProof/>
                <w:sz w:val="20"/>
              </w:rPr>
              <w:t>3,000</w:t>
            </w:r>
          </w:p>
        </w:tc>
        <w:tc>
          <w:tcPr>
            <w:tcW w:w="895" w:type="dxa"/>
            <w:vAlign w:val="center"/>
          </w:tcPr>
          <w:p w:rsidR="00613CC4" w:rsidRDefault="00950A85">
            <w:pPr>
              <w:spacing w:before="20" w:after="20"/>
              <w:jc w:val="center"/>
              <w:rPr>
                <w:noProof/>
                <w:sz w:val="20"/>
              </w:rPr>
            </w:pPr>
            <w:r>
              <w:rPr>
                <w:noProof/>
                <w:sz w:val="20"/>
              </w:rPr>
              <w:t>0,550</w:t>
            </w:r>
          </w:p>
        </w:tc>
        <w:tc>
          <w:tcPr>
            <w:tcW w:w="894" w:type="dxa"/>
            <w:vAlign w:val="center"/>
          </w:tcPr>
          <w:p w:rsidR="00613CC4" w:rsidRDefault="00950A85">
            <w:pPr>
              <w:spacing w:before="20" w:after="20"/>
              <w:jc w:val="center"/>
              <w:rPr>
                <w:noProof/>
                <w:sz w:val="20"/>
              </w:rPr>
            </w:pPr>
            <w:r>
              <w:rPr>
                <w:noProof/>
                <w:sz w:val="20"/>
              </w:rPr>
              <w:t>2,300</w:t>
            </w:r>
          </w:p>
        </w:tc>
        <w:tc>
          <w:tcPr>
            <w:tcW w:w="895" w:type="dxa"/>
            <w:vAlign w:val="center"/>
          </w:tcPr>
          <w:p w:rsidR="00613CC4" w:rsidRDefault="00950A85">
            <w:pPr>
              <w:spacing w:before="20" w:after="20"/>
              <w:jc w:val="center"/>
              <w:rPr>
                <w:noProof/>
                <w:sz w:val="20"/>
              </w:rPr>
            </w:pPr>
            <w:r>
              <w:rPr>
                <w:noProof/>
                <w:sz w:val="20"/>
              </w:rPr>
              <w:t>2,400</w:t>
            </w:r>
          </w:p>
        </w:tc>
        <w:tc>
          <w:tcPr>
            <w:tcW w:w="840" w:type="dxa"/>
            <w:vAlign w:val="center"/>
          </w:tcPr>
          <w:p w:rsidR="00613CC4" w:rsidRDefault="00950A85">
            <w:pPr>
              <w:spacing w:before="20" w:after="20"/>
              <w:jc w:val="center"/>
              <w:rPr>
                <w:b/>
                <w:noProof/>
                <w:sz w:val="20"/>
              </w:rPr>
            </w:pPr>
            <w:r>
              <w:rPr>
                <w:b/>
                <w:noProof/>
                <w:sz w:val="20"/>
              </w:rPr>
              <w:t>17,360</w:t>
            </w:r>
          </w:p>
        </w:tc>
      </w:tr>
    </w:tbl>
    <w:p w:rsidR="00613CC4" w:rsidRDefault="00950A85">
      <w:pPr>
        <w:spacing w:before="0"/>
        <w:contextualSpacing/>
        <w:rPr>
          <w:rFonts w:eastAsia="Calibri"/>
          <w:bCs/>
          <w:noProof/>
          <w:szCs w:val="24"/>
        </w:rPr>
      </w:pPr>
      <w:r>
        <w:rPr>
          <w:noProof/>
        </w:rPr>
        <w:t>* driftsbudgetposten omfatter gennemførelse af aktiviteterne i et europæisk ILO-netværk og styringsrådets funktioner</w:t>
      </w:r>
    </w:p>
    <w:p w:rsidR="00613CC4" w:rsidRDefault="00950A85">
      <w:pPr>
        <w:spacing w:before="0"/>
        <w:contextualSpacing/>
        <w:rPr>
          <w:rFonts w:eastAsia="Calibri"/>
          <w:bCs/>
          <w:noProof/>
          <w:szCs w:val="24"/>
        </w:rPr>
      </w:pPr>
      <w:r>
        <w:rPr>
          <w:noProof/>
        </w:rPr>
        <w:t xml:space="preserve">** støttebudgetposten omfatter udgifter til Kommissionens udsendelse af ILO'er. </w:t>
      </w:r>
    </w:p>
    <w:p w:rsidR="00613CC4" w:rsidRDefault="00613CC4">
      <w:pPr>
        <w:spacing w:after="40"/>
        <w:rPr>
          <w:b/>
          <w:noProof/>
          <w:sz w:val="22"/>
          <w:u w:val="single"/>
        </w:rPr>
      </w:pPr>
    </w:p>
    <w:p w:rsidR="00613CC4" w:rsidRDefault="00950A85">
      <w:pPr>
        <w:spacing w:after="40"/>
        <w:rPr>
          <w:b/>
          <w:noProof/>
          <w:sz w:val="22"/>
          <w:u w:val="single"/>
        </w:rPr>
      </w:pPr>
      <w:r>
        <w:rPr>
          <w:b/>
          <w:noProof/>
          <w:sz w:val="22"/>
          <w:u w:val="single"/>
        </w:rPr>
        <w:t>Hvis flere udgiftsområder påvirkes af forslaget/initiativet:</w:t>
      </w:r>
    </w:p>
    <w:tbl>
      <w:tblPr>
        <w:tblW w:w="15000" w:type="dxa"/>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94"/>
        <w:gridCol w:w="895"/>
        <w:gridCol w:w="894"/>
        <w:gridCol w:w="895"/>
        <w:gridCol w:w="895"/>
        <w:gridCol w:w="894"/>
        <w:gridCol w:w="895"/>
        <w:gridCol w:w="894"/>
        <w:gridCol w:w="895"/>
        <w:gridCol w:w="895"/>
      </w:tblGrid>
      <w:tr w:rsidR="00613CC4" w:rsidTr="00950A85">
        <w:trPr>
          <w:trHeight w:val="277"/>
        </w:trPr>
        <w:tc>
          <w:tcPr>
            <w:tcW w:w="3960" w:type="dxa"/>
            <w:vMerge w:val="restart"/>
            <w:tcBorders>
              <w:top w:val="single" w:sz="4" w:space="0" w:color="auto"/>
              <w:left w:val="single" w:sz="4" w:space="0" w:color="auto"/>
              <w:bottom w:val="single" w:sz="4" w:space="0" w:color="FF0000"/>
            </w:tcBorders>
            <w:vAlign w:val="center"/>
          </w:tcPr>
          <w:p w:rsidR="00613CC4" w:rsidRDefault="00950A85">
            <w:pPr>
              <w:spacing w:before="20" w:after="20"/>
              <w:rPr>
                <w:noProof/>
              </w:rPr>
            </w:pPr>
            <w:bookmarkStart w:id="0" w:name="_GoBack"/>
            <w:r>
              <w:rPr>
                <w:noProof/>
                <w:sz w:val="21"/>
              </w:rPr>
              <w:sym w:font="Wingdings" w:char="F09F"/>
            </w:r>
            <w:r>
              <w:rPr>
                <w:noProof/>
                <w:sz w:val="21"/>
              </w:rPr>
              <w:t xml:space="preserve"> Aktionsbevillinger I ALT</w:t>
            </w:r>
          </w:p>
        </w:tc>
        <w:tc>
          <w:tcPr>
            <w:tcW w:w="1440" w:type="dxa"/>
            <w:tcBorders>
              <w:top w:val="single" w:sz="4" w:space="0" w:color="auto"/>
            </w:tcBorders>
            <w:vAlign w:val="center"/>
          </w:tcPr>
          <w:p w:rsidR="00613CC4" w:rsidRDefault="00950A85">
            <w:pPr>
              <w:spacing w:beforeLines="20" w:before="48" w:afterLines="20" w:after="48"/>
              <w:rPr>
                <w:noProof/>
                <w:sz w:val="18"/>
              </w:rPr>
            </w:pPr>
            <w:r>
              <w:rPr>
                <w:noProof/>
                <w:sz w:val="18"/>
              </w:rPr>
              <w:t>Forpligtelser</w:t>
            </w:r>
          </w:p>
        </w:tc>
        <w:tc>
          <w:tcPr>
            <w:tcW w:w="654" w:type="dxa"/>
            <w:tcBorders>
              <w:top w:val="single" w:sz="4" w:space="0" w:color="auto"/>
            </w:tcBorders>
            <w:vAlign w:val="center"/>
          </w:tcPr>
          <w:p w:rsidR="00613CC4" w:rsidRDefault="00950A85">
            <w:pPr>
              <w:spacing w:beforeLines="20" w:before="48" w:afterLines="20" w:after="48"/>
              <w:jc w:val="center"/>
              <w:rPr>
                <w:noProof/>
                <w:sz w:val="14"/>
              </w:rPr>
            </w:pPr>
            <w:r>
              <w:rPr>
                <w:noProof/>
                <w:sz w:val="14"/>
              </w:rPr>
              <w:t>(4)</w:t>
            </w:r>
          </w:p>
        </w:tc>
        <w:tc>
          <w:tcPr>
            <w:tcW w:w="894" w:type="dxa"/>
            <w:tcBorders>
              <w:top w:val="single" w:sz="4" w:space="0" w:color="auto"/>
            </w:tcBorders>
            <w:vAlign w:val="center"/>
          </w:tcPr>
          <w:p w:rsidR="00613CC4" w:rsidRDefault="00613CC4">
            <w:pPr>
              <w:spacing w:before="20" w:after="20"/>
              <w:jc w:val="right"/>
              <w:rPr>
                <w:noProof/>
                <w:sz w:val="20"/>
              </w:rPr>
            </w:pPr>
          </w:p>
        </w:tc>
        <w:tc>
          <w:tcPr>
            <w:tcW w:w="895" w:type="dxa"/>
            <w:tcBorders>
              <w:top w:val="single" w:sz="4" w:space="0" w:color="auto"/>
            </w:tcBorders>
            <w:vAlign w:val="center"/>
          </w:tcPr>
          <w:p w:rsidR="00613CC4" w:rsidRDefault="00613CC4">
            <w:pPr>
              <w:spacing w:before="20" w:after="20"/>
              <w:jc w:val="right"/>
              <w:rPr>
                <w:noProof/>
                <w:sz w:val="20"/>
              </w:rPr>
            </w:pPr>
          </w:p>
        </w:tc>
        <w:tc>
          <w:tcPr>
            <w:tcW w:w="894" w:type="dxa"/>
            <w:tcBorders>
              <w:top w:val="single" w:sz="4" w:space="0" w:color="auto"/>
            </w:tcBorders>
            <w:vAlign w:val="center"/>
          </w:tcPr>
          <w:p w:rsidR="00613CC4" w:rsidRDefault="00613CC4">
            <w:pPr>
              <w:spacing w:before="20" w:after="20"/>
              <w:jc w:val="right"/>
              <w:rPr>
                <w:noProof/>
                <w:sz w:val="20"/>
              </w:rPr>
            </w:pPr>
          </w:p>
        </w:tc>
        <w:tc>
          <w:tcPr>
            <w:tcW w:w="895" w:type="dxa"/>
            <w:tcBorders>
              <w:top w:val="single" w:sz="4" w:space="0" w:color="auto"/>
            </w:tcBorders>
            <w:vAlign w:val="center"/>
          </w:tcPr>
          <w:p w:rsidR="00613CC4" w:rsidRDefault="00613CC4">
            <w:pPr>
              <w:spacing w:before="20" w:after="20"/>
              <w:jc w:val="right"/>
              <w:rPr>
                <w:noProof/>
                <w:sz w:val="20"/>
              </w:rPr>
            </w:pPr>
          </w:p>
        </w:tc>
        <w:tc>
          <w:tcPr>
            <w:tcW w:w="895" w:type="dxa"/>
            <w:tcBorders>
              <w:top w:val="single" w:sz="4" w:space="0" w:color="auto"/>
            </w:tcBorders>
            <w:vAlign w:val="center"/>
          </w:tcPr>
          <w:p w:rsidR="00613CC4" w:rsidRDefault="00613CC4">
            <w:pPr>
              <w:spacing w:before="20" w:after="20"/>
              <w:jc w:val="right"/>
              <w:rPr>
                <w:noProof/>
                <w:sz w:val="20"/>
              </w:rPr>
            </w:pPr>
          </w:p>
        </w:tc>
        <w:tc>
          <w:tcPr>
            <w:tcW w:w="894" w:type="dxa"/>
            <w:tcBorders>
              <w:top w:val="single" w:sz="4" w:space="0" w:color="auto"/>
            </w:tcBorders>
            <w:vAlign w:val="center"/>
          </w:tcPr>
          <w:p w:rsidR="00613CC4" w:rsidRDefault="00613CC4">
            <w:pPr>
              <w:spacing w:before="20" w:after="20"/>
              <w:jc w:val="right"/>
              <w:rPr>
                <w:noProof/>
                <w:sz w:val="20"/>
              </w:rPr>
            </w:pPr>
          </w:p>
        </w:tc>
        <w:tc>
          <w:tcPr>
            <w:tcW w:w="895" w:type="dxa"/>
            <w:tcBorders>
              <w:top w:val="single" w:sz="4" w:space="0" w:color="auto"/>
            </w:tcBorders>
            <w:vAlign w:val="center"/>
          </w:tcPr>
          <w:p w:rsidR="00613CC4" w:rsidRDefault="00613CC4">
            <w:pPr>
              <w:spacing w:before="20" w:after="20"/>
              <w:jc w:val="right"/>
              <w:rPr>
                <w:noProof/>
                <w:sz w:val="20"/>
              </w:rPr>
            </w:pPr>
          </w:p>
        </w:tc>
        <w:tc>
          <w:tcPr>
            <w:tcW w:w="894" w:type="dxa"/>
            <w:tcBorders>
              <w:top w:val="single" w:sz="4" w:space="0" w:color="auto"/>
            </w:tcBorders>
            <w:vAlign w:val="center"/>
          </w:tcPr>
          <w:p w:rsidR="00613CC4" w:rsidRDefault="00613CC4">
            <w:pPr>
              <w:spacing w:before="20" w:after="20"/>
              <w:jc w:val="right"/>
              <w:rPr>
                <w:b/>
                <w:noProof/>
                <w:sz w:val="20"/>
              </w:rPr>
            </w:pPr>
          </w:p>
        </w:tc>
        <w:tc>
          <w:tcPr>
            <w:tcW w:w="895" w:type="dxa"/>
            <w:tcBorders>
              <w:top w:val="single" w:sz="4" w:space="0" w:color="auto"/>
            </w:tcBorders>
          </w:tcPr>
          <w:p w:rsidR="00613CC4" w:rsidRDefault="00613CC4">
            <w:pPr>
              <w:spacing w:before="20" w:after="20"/>
              <w:jc w:val="right"/>
              <w:rPr>
                <w:b/>
                <w:noProof/>
                <w:sz w:val="20"/>
              </w:rPr>
            </w:pPr>
          </w:p>
        </w:tc>
        <w:tc>
          <w:tcPr>
            <w:tcW w:w="895" w:type="dxa"/>
            <w:tcBorders>
              <w:top w:val="single" w:sz="4" w:space="0" w:color="auto"/>
              <w:right w:val="single" w:sz="4" w:space="0" w:color="auto"/>
            </w:tcBorders>
            <w:vAlign w:val="center"/>
          </w:tcPr>
          <w:p w:rsidR="00613CC4" w:rsidRDefault="00613CC4">
            <w:pPr>
              <w:spacing w:before="20" w:after="20"/>
              <w:jc w:val="right"/>
              <w:rPr>
                <w:b/>
                <w:noProof/>
                <w:sz w:val="20"/>
              </w:rPr>
            </w:pPr>
          </w:p>
        </w:tc>
      </w:tr>
      <w:tr w:rsidR="00613CC4">
        <w:tc>
          <w:tcPr>
            <w:tcW w:w="3960" w:type="dxa"/>
            <w:vMerge/>
            <w:tcBorders>
              <w:top w:val="single" w:sz="4" w:space="0" w:color="FF0000"/>
              <w:left w:val="single" w:sz="4" w:space="0" w:color="auto"/>
              <w:bottom w:val="single" w:sz="4" w:space="0" w:color="FF0000"/>
            </w:tcBorders>
          </w:tcPr>
          <w:p w:rsidR="00613CC4" w:rsidRDefault="00613CC4">
            <w:pPr>
              <w:jc w:val="center"/>
              <w:rPr>
                <w:noProof/>
                <w:sz w:val="20"/>
              </w:rPr>
            </w:pPr>
          </w:p>
        </w:tc>
        <w:tc>
          <w:tcPr>
            <w:tcW w:w="1440" w:type="dxa"/>
            <w:vAlign w:val="center"/>
          </w:tcPr>
          <w:p w:rsidR="00613CC4" w:rsidRDefault="00950A85">
            <w:pPr>
              <w:spacing w:beforeLines="20" w:before="48" w:afterLines="20" w:after="48"/>
              <w:rPr>
                <w:noProof/>
                <w:sz w:val="18"/>
              </w:rPr>
            </w:pPr>
            <w:r>
              <w:rPr>
                <w:noProof/>
                <w:sz w:val="18"/>
              </w:rPr>
              <w:t>Betalinger</w:t>
            </w:r>
          </w:p>
        </w:tc>
        <w:tc>
          <w:tcPr>
            <w:tcW w:w="654" w:type="dxa"/>
            <w:vAlign w:val="center"/>
          </w:tcPr>
          <w:p w:rsidR="00613CC4" w:rsidRDefault="00950A85">
            <w:pPr>
              <w:spacing w:beforeLines="20" w:before="48" w:afterLines="20" w:after="48"/>
              <w:jc w:val="center"/>
              <w:rPr>
                <w:noProof/>
                <w:sz w:val="14"/>
              </w:rPr>
            </w:pPr>
            <w:r>
              <w:rPr>
                <w:noProof/>
                <w:sz w:val="14"/>
              </w:rPr>
              <w:t>(5)</w:t>
            </w:r>
          </w:p>
        </w:tc>
        <w:tc>
          <w:tcPr>
            <w:tcW w:w="894" w:type="dxa"/>
            <w:vAlign w:val="center"/>
          </w:tcPr>
          <w:p w:rsidR="00613CC4" w:rsidRDefault="00613CC4">
            <w:pPr>
              <w:spacing w:before="20" w:after="20"/>
              <w:jc w:val="right"/>
              <w:rPr>
                <w:noProof/>
                <w:sz w:val="20"/>
              </w:rPr>
            </w:pPr>
          </w:p>
        </w:tc>
        <w:tc>
          <w:tcPr>
            <w:tcW w:w="895" w:type="dxa"/>
            <w:vAlign w:val="center"/>
          </w:tcPr>
          <w:p w:rsidR="00613CC4" w:rsidRDefault="00613CC4">
            <w:pPr>
              <w:spacing w:before="20" w:after="20"/>
              <w:jc w:val="right"/>
              <w:rPr>
                <w:noProof/>
                <w:sz w:val="20"/>
              </w:rPr>
            </w:pPr>
          </w:p>
        </w:tc>
        <w:tc>
          <w:tcPr>
            <w:tcW w:w="894" w:type="dxa"/>
            <w:vAlign w:val="center"/>
          </w:tcPr>
          <w:p w:rsidR="00613CC4" w:rsidRDefault="00613CC4">
            <w:pPr>
              <w:spacing w:before="20" w:after="20"/>
              <w:jc w:val="right"/>
              <w:rPr>
                <w:noProof/>
                <w:sz w:val="20"/>
              </w:rPr>
            </w:pPr>
          </w:p>
        </w:tc>
        <w:tc>
          <w:tcPr>
            <w:tcW w:w="895" w:type="dxa"/>
            <w:vAlign w:val="center"/>
          </w:tcPr>
          <w:p w:rsidR="00613CC4" w:rsidRDefault="00613CC4">
            <w:pPr>
              <w:spacing w:before="20" w:after="20"/>
              <w:jc w:val="right"/>
              <w:rPr>
                <w:noProof/>
                <w:sz w:val="20"/>
              </w:rPr>
            </w:pPr>
          </w:p>
        </w:tc>
        <w:tc>
          <w:tcPr>
            <w:tcW w:w="895" w:type="dxa"/>
            <w:vAlign w:val="center"/>
          </w:tcPr>
          <w:p w:rsidR="00613CC4" w:rsidRDefault="00613CC4">
            <w:pPr>
              <w:spacing w:before="20" w:after="20"/>
              <w:jc w:val="right"/>
              <w:rPr>
                <w:noProof/>
                <w:sz w:val="20"/>
              </w:rPr>
            </w:pPr>
          </w:p>
        </w:tc>
        <w:tc>
          <w:tcPr>
            <w:tcW w:w="894" w:type="dxa"/>
            <w:vAlign w:val="center"/>
          </w:tcPr>
          <w:p w:rsidR="00613CC4" w:rsidRDefault="00613CC4">
            <w:pPr>
              <w:spacing w:before="20" w:after="20"/>
              <w:jc w:val="right"/>
              <w:rPr>
                <w:noProof/>
                <w:sz w:val="20"/>
              </w:rPr>
            </w:pPr>
          </w:p>
        </w:tc>
        <w:tc>
          <w:tcPr>
            <w:tcW w:w="895" w:type="dxa"/>
            <w:vAlign w:val="center"/>
          </w:tcPr>
          <w:p w:rsidR="00613CC4" w:rsidRDefault="00613CC4">
            <w:pPr>
              <w:spacing w:before="20" w:after="20"/>
              <w:jc w:val="right"/>
              <w:rPr>
                <w:noProof/>
                <w:sz w:val="20"/>
              </w:rPr>
            </w:pPr>
          </w:p>
        </w:tc>
        <w:tc>
          <w:tcPr>
            <w:tcW w:w="894" w:type="dxa"/>
            <w:vAlign w:val="center"/>
          </w:tcPr>
          <w:p w:rsidR="00613CC4" w:rsidRDefault="00613CC4">
            <w:pPr>
              <w:spacing w:before="20" w:after="20"/>
              <w:jc w:val="right"/>
              <w:rPr>
                <w:b/>
                <w:noProof/>
                <w:sz w:val="20"/>
              </w:rPr>
            </w:pPr>
          </w:p>
        </w:tc>
        <w:tc>
          <w:tcPr>
            <w:tcW w:w="895" w:type="dxa"/>
          </w:tcPr>
          <w:p w:rsidR="00613CC4" w:rsidRDefault="00613CC4">
            <w:pPr>
              <w:spacing w:before="20" w:after="20"/>
              <w:jc w:val="right"/>
              <w:rPr>
                <w:b/>
                <w:noProof/>
                <w:sz w:val="20"/>
              </w:rPr>
            </w:pPr>
          </w:p>
        </w:tc>
        <w:tc>
          <w:tcPr>
            <w:tcW w:w="895" w:type="dxa"/>
            <w:tcBorders>
              <w:right w:val="single" w:sz="4" w:space="0" w:color="auto"/>
            </w:tcBorders>
            <w:vAlign w:val="center"/>
          </w:tcPr>
          <w:p w:rsidR="00613CC4" w:rsidRDefault="00613CC4">
            <w:pPr>
              <w:spacing w:before="20" w:after="20"/>
              <w:jc w:val="right"/>
              <w:rPr>
                <w:b/>
                <w:noProof/>
                <w:sz w:val="20"/>
              </w:rPr>
            </w:pPr>
          </w:p>
        </w:tc>
      </w:tr>
      <w:tr w:rsidR="00613CC4">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613CC4" w:rsidRDefault="00950A85">
            <w:pPr>
              <w:spacing w:beforeLines="20" w:before="48" w:afterLines="20" w:after="48"/>
              <w:rPr>
                <w:noProof/>
              </w:rPr>
            </w:pPr>
            <w:r>
              <w:rPr>
                <w:noProof/>
                <w:sz w:val="21"/>
              </w:rPr>
              <w:sym w:font="Wingdings" w:char="F09F"/>
            </w:r>
            <w:r>
              <w:rPr>
                <w:noProof/>
                <w:sz w:val="21"/>
              </w:rPr>
              <w:t xml:space="preserve"> Administrationsbevillinger finansieret over bevillingsrammen for særprogrammer I ALT</w:t>
            </w:r>
          </w:p>
        </w:tc>
        <w:tc>
          <w:tcPr>
            <w:tcW w:w="654" w:type="dxa"/>
            <w:vAlign w:val="center"/>
          </w:tcPr>
          <w:p w:rsidR="00613CC4" w:rsidRDefault="00950A85">
            <w:pPr>
              <w:spacing w:beforeLines="20" w:before="48" w:afterLines="20" w:after="48"/>
              <w:jc w:val="center"/>
              <w:rPr>
                <w:noProof/>
                <w:sz w:val="14"/>
              </w:rPr>
            </w:pPr>
            <w:r>
              <w:rPr>
                <w:noProof/>
                <w:sz w:val="14"/>
              </w:rPr>
              <w:t>(6)</w:t>
            </w:r>
          </w:p>
        </w:tc>
        <w:tc>
          <w:tcPr>
            <w:tcW w:w="894" w:type="dxa"/>
            <w:vAlign w:val="center"/>
          </w:tcPr>
          <w:p w:rsidR="00613CC4" w:rsidRDefault="00613CC4">
            <w:pPr>
              <w:spacing w:before="20" w:after="20"/>
              <w:jc w:val="right"/>
              <w:rPr>
                <w:b/>
                <w:noProof/>
                <w:sz w:val="20"/>
              </w:rPr>
            </w:pPr>
          </w:p>
        </w:tc>
        <w:tc>
          <w:tcPr>
            <w:tcW w:w="895" w:type="dxa"/>
            <w:vAlign w:val="center"/>
          </w:tcPr>
          <w:p w:rsidR="00613CC4" w:rsidRDefault="00613CC4">
            <w:pPr>
              <w:spacing w:before="20" w:after="20"/>
              <w:jc w:val="right"/>
              <w:rPr>
                <w:b/>
                <w:noProof/>
                <w:sz w:val="20"/>
              </w:rPr>
            </w:pPr>
          </w:p>
        </w:tc>
        <w:tc>
          <w:tcPr>
            <w:tcW w:w="894" w:type="dxa"/>
            <w:vAlign w:val="center"/>
          </w:tcPr>
          <w:p w:rsidR="00613CC4" w:rsidRDefault="00613CC4">
            <w:pPr>
              <w:spacing w:before="20" w:after="20"/>
              <w:jc w:val="right"/>
              <w:rPr>
                <w:b/>
                <w:noProof/>
                <w:sz w:val="20"/>
              </w:rPr>
            </w:pPr>
          </w:p>
        </w:tc>
        <w:tc>
          <w:tcPr>
            <w:tcW w:w="895" w:type="dxa"/>
            <w:vAlign w:val="center"/>
          </w:tcPr>
          <w:p w:rsidR="00613CC4" w:rsidRDefault="00613CC4">
            <w:pPr>
              <w:spacing w:before="20" w:after="20"/>
              <w:jc w:val="right"/>
              <w:rPr>
                <w:b/>
                <w:noProof/>
                <w:sz w:val="20"/>
              </w:rPr>
            </w:pPr>
          </w:p>
        </w:tc>
        <w:tc>
          <w:tcPr>
            <w:tcW w:w="895" w:type="dxa"/>
            <w:vAlign w:val="center"/>
          </w:tcPr>
          <w:p w:rsidR="00613CC4" w:rsidRDefault="00613CC4">
            <w:pPr>
              <w:spacing w:before="20" w:after="20"/>
              <w:jc w:val="right"/>
              <w:rPr>
                <w:b/>
                <w:noProof/>
                <w:sz w:val="20"/>
              </w:rPr>
            </w:pPr>
          </w:p>
        </w:tc>
        <w:tc>
          <w:tcPr>
            <w:tcW w:w="894" w:type="dxa"/>
            <w:vAlign w:val="center"/>
          </w:tcPr>
          <w:p w:rsidR="00613CC4" w:rsidRDefault="00613CC4">
            <w:pPr>
              <w:spacing w:before="20" w:after="20"/>
              <w:jc w:val="right"/>
              <w:rPr>
                <w:b/>
                <w:noProof/>
                <w:sz w:val="20"/>
              </w:rPr>
            </w:pPr>
          </w:p>
        </w:tc>
        <w:tc>
          <w:tcPr>
            <w:tcW w:w="895" w:type="dxa"/>
            <w:vAlign w:val="center"/>
          </w:tcPr>
          <w:p w:rsidR="00613CC4" w:rsidRDefault="00613CC4">
            <w:pPr>
              <w:spacing w:before="20" w:after="20"/>
              <w:jc w:val="right"/>
              <w:rPr>
                <w:b/>
                <w:noProof/>
                <w:sz w:val="20"/>
              </w:rPr>
            </w:pPr>
          </w:p>
        </w:tc>
        <w:tc>
          <w:tcPr>
            <w:tcW w:w="894" w:type="dxa"/>
            <w:vAlign w:val="center"/>
          </w:tcPr>
          <w:p w:rsidR="00613CC4" w:rsidRDefault="00613CC4">
            <w:pPr>
              <w:spacing w:before="20" w:after="20"/>
              <w:jc w:val="right"/>
              <w:rPr>
                <w:b/>
                <w:noProof/>
                <w:sz w:val="20"/>
              </w:rPr>
            </w:pPr>
          </w:p>
        </w:tc>
        <w:tc>
          <w:tcPr>
            <w:tcW w:w="895" w:type="dxa"/>
          </w:tcPr>
          <w:p w:rsidR="00613CC4" w:rsidRDefault="00613CC4">
            <w:pPr>
              <w:spacing w:before="20" w:after="20"/>
              <w:jc w:val="right"/>
              <w:rPr>
                <w:b/>
                <w:noProof/>
                <w:sz w:val="20"/>
              </w:rPr>
            </w:pPr>
          </w:p>
        </w:tc>
        <w:tc>
          <w:tcPr>
            <w:tcW w:w="895" w:type="dxa"/>
            <w:vAlign w:val="center"/>
          </w:tcPr>
          <w:p w:rsidR="00613CC4" w:rsidRDefault="00613CC4">
            <w:pPr>
              <w:spacing w:before="20" w:after="20"/>
              <w:jc w:val="right"/>
              <w:rPr>
                <w:b/>
                <w:noProof/>
                <w:sz w:val="20"/>
              </w:rPr>
            </w:pPr>
          </w:p>
        </w:tc>
      </w:tr>
      <w:tr w:rsidR="00613CC4">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613CC4" w:rsidRDefault="00950A85">
            <w:pPr>
              <w:jc w:val="center"/>
              <w:rPr>
                <w:b/>
                <w:noProof/>
              </w:rPr>
            </w:pPr>
            <w:r>
              <w:rPr>
                <w:b/>
                <w:noProof/>
                <w:sz w:val="22"/>
              </w:rPr>
              <w:t xml:space="preserve">Bevillinger I ALT </w:t>
            </w:r>
            <w:r>
              <w:rPr>
                <w:noProof/>
                <w:sz w:val="22"/>
              </w:rPr>
              <w:br/>
            </w:r>
            <w:r>
              <w:rPr>
                <w:b/>
                <w:noProof/>
                <w:sz w:val="22"/>
              </w:rPr>
              <w:t>under UDGIFTSOMRÅDE 1-4</w:t>
            </w:r>
            <w:r>
              <w:rPr>
                <w:noProof/>
                <w:sz w:val="22"/>
              </w:rPr>
              <w:br/>
              <w:t>i den flerårige finansielle ramme</w:t>
            </w:r>
            <w:r>
              <w:rPr>
                <w:noProof/>
                <w:sz w:val="22"/>
              </w:rPr>
              <w:br/>
            </w:r>
            <w:r>
              <w:rPr>
                <w:noProof/>
                <w:sz w:val="20"/>
              </w:rPr>
              <w:t>(referencebeløb)</w:t>
            </w:r>
          </w:p>
        </w:tc>
        <w:tc>
          <w:tcPr>
            <w:tcW w:w="1440" w:type="dxa"/>
            <w:vAlign w:val="center"/>
          </w:tcPr>
          <w:p w:rsidR="00613CC4" w:rsidRDefault="00950A85">
            <w:pPr>
              <w:rPr>
                <w:noProof/>
                <w:sz w:val="18"/>
              </w:rPr>
            </w:pPr>
            <w:r>
              <w:rPr>
                <w:noProof/>
                <w:sz w:val="18"/>
              </w:rPr>
              <w:t>Forpligtelser</w:t>
            </w:r>
          </w:p>
        </w:tc>
        <w:tc>
          <w:tcPr>
            <w:tcW w:w="654" w:type="dxa"/>
            <w:vAlign w:val="center"/>
          </w:tcPr>
          <w:p w:rsidR="00613CC4" w:rsidRDefault="00950A85">
            <w:pPr>
              <w:jc w:val="center"/>
              <w:rPr>
                <w:noProof/>
                <w:sz w:val="14"/>
              </w:rPr>
            </w:pPr>
            <w:r>
              <w:rPr>
                <w:noProof/>
                <w:sz w:val="14"/>
              </w:rPr>
              <w:t>=4+ 6</w:t>
            </w:r>
          </w:p>
        </w:tc>
        <w:tc>
          <w:tcPr>
            <w:tcW w:w="894" w:type="dxa"/>
            <w:vAlign w:val="center"/>
          </w:tcPr>
          <w:p w:rsidR="00613CC4" w:rsidRDefault="00950A85">
            <w:pPr>
              <w:spacing w:before="20" w:after="20"/>
              <w:jc w:val="center"/>
              <w:rPr>
                <w:noProof/>
                <w:sz w:val="20"/>
              </w:rPr>
            </w:pPr>
            <w:r>
              <w:rPr>
                <w:noProof/>
                <w:sz w:val="20"/>
              </w:rPr>
              <w:t>0,360</w:t>
            </w:r>
          </w:p>
        </w:tc>
        <w:tc>
          <w:tcPr>
            <w:tcW w:w="895" w:type="dxa"/>
            <w:vAlign w:val="center"/>
          </w:tcPr>
          <w:p w:rsidR="00613CC4" w:rsidRDefault="00950A85">
            <w:pPr>
              <w:spacing w:before="20" w:after="20"/>
              <w:jc w:val="center"/>
              <w:rPr>
                <w:noProof/>
                <w:sz w:val="20"/>
              </w:rPr>
            </w:pPr>
            <w:r>
              <w:rPr>
                <w:noProof/>
                <w:sz w:val="20"/>
              </w:rPr>
              <w:t>0,500</w:t>
            </w:r>
          </w:p>
        </w:tc>
        <w:tc>
          <w:tcPr>
            <w:tcW w:w="894" w:type="dxa"/>
            <w:vAlign w:val="center"/>
          </w:tcPr>
          <w:p w:rsidR="00613CC4" w:rsidRDefault="00950A85">
            <w:pPr>
              <w:spacing w:before="20" w:after="20"/>
              <w:jc w:val="center"/>
              <w:rPr>
                <w:noProof/>
                <w:sz w:val="20"/>
              </w:rPr>
            </w:pPr>
            <w:r>
              <w:rPr>
                <w:noProof/>
                <w:sz w:val="20"/>
              </w:rPr>
              <w:t>4,500</w:t>
            </w:r>
          </w:p>
        </w:tc>
        <w:tc>
          <w:tcPr>
            <w:tcW w:w="895" w:type="dxa"/>
            <w:vAlign w:val="center"/>
          </w:tcPr>
          <w:p w:rsidR="00613CC4" w:rsidRDefault="00950A85">
            <w:pPr>
              <w:spacing w:before="20" w:after="20"/>
              <w:jc w:val="center"/>
              <w:rPr>
                <w:noProof/>
                <w:sz w:val="20"/>
              </w:rPr>
            </w:pPr>
            <w:r>
              <w:rPr>
                <w:noProof/>
                <w:sz w:val="20"/>
              </w:rPr>
              <w:t>0,500</w:t>
            </w:r>
          </w:p>
        </w:tc>
        <w:tc>
          <w:tcPr>
            <w:tcW w:w="895" w:type="dxa"/>
            <w:vAlign w:val="center"/>
          </w:tcPr>
          <w:p w:rsidR="00613CC4" w:rsidRDefault="00950A85">
            <w:pPr>
              <w:spacing w:before="40" w:after="40"/>
              <w:jc w:val="center"/>
              <w:rPr>
                <w:noProof/>
                <w:sz w:val="20"/>
              </w:rPr>
            </w:pPr>
            <w:r>
              <w:rPr>
                <w:noProof/>
                <w:sz w:val="20"/>
              </w:rPr>
              <w:t>5,000</w:t>
            </w:r>
          </w:p>
        </w:tc>
        <w:tc>
          <w:tcPr>
            <w:tcW w:w="894" w:type="dxa"/>
            <w:vAlign w:val="center"/>
          </w:tcPr>
          <w:p w:rsidR="00613CC4" w:rsidRDefault="00950A85">
            <w:pPr>
              <w:spacing w:before="40" w:after="40"/>
              <w:jc w:val="center"/>
              <w:rPr>
                <w:noProof/>
                <w:sz w:val="20"/>
              </w:rPr>
            </w:pPr>
            <w:r>
              <w:rPr>
                <w:noProof/>
                <w:sz w:val="20"/>
              </w:rPr>
              <w:t>0,500</w:t>
            </w:r>
          </w:p>
        </w:tc>
        <w:tc>
          <w:tcPr>
            <w:tcW w:w="895" w:type="dxa"/>
            <w:vAlign w:val="center"/>
          </w:tcPr>
          <w:p w:rsidR="00613CC4" w:rsidRDefault="00950A85">
            <w:pPr>
              <w:spacing w:before="20" w:after="20"/>
              <w:jc w:val="center"/>
              <w:rPr>
                <w:noProof/>
                <w:sz w:val="20"/>
              </w:rPr>
            </w:pPr>
            <w:r>
              <w:rPr>
                <w:noProof/>
                <w:sz w:val="20"/>
              </w:rPr>
              <w:t>0,500</w:t>
            </w:r>
          </w:p>
        </w:tc>
        <w:tc>
          <w:tcPr>
            <w:tcW w:w="894" w:type="dxa"/>
            <w:vAlign w:val="center"/>
          </w:tcPr>
          <w:p w:rsidR="00613CC4" w:rsidRDefault="00950A85">
            <w:pPr>
              <w:spacing w:before="20" w:after="20"/>
              <w:jc w:val="center"/>
              <w:rPr>
                <w:noProof/>
                <w:sz w:val="20"/>
              </w:rPr>
            </w:pPr>
            <w:r>
              <w:rPr>
                <w:noProof/>
                <w:sz w:val="20"/>
              </w:rPr>
              <w:t>0,500</w:t>
            </w:r>
          </w:p>
        </w:tc>
        <w:tc>
          <w:tcPr>
            <w:tcW w:w="895" w:type="dxa"/>
            <w:vAlign w:val="center"/>
          </w:tcPr>
          <w:p w:rsidR="00613CC4" w:rsidRDefault="00950A85">
            <w:pPr>
              <w:spacing w:before="20" w:after="20"/>
              <w:jc w:val="center"/>
              <w:rPr>
                <w:b/>
                <w:noProof/>
                <w:sz w:val="20"/>
              </w:rPr>
            </w:pPr>
            <w:r>
              <w:rPr>
                <w:noProof/>
                <w:sz w:val="20"/>
              </w:rPr>
              <w:t>4,000</w:t>
            </w:r>
          </w:p>
        </w:tc>
        <w:tc>
          <w:tcPr>
            <w:tcW w:w="895" w:type="dxa"/>
            <w:tcBorders>
              <w:right w:val="single" w:sz="4" w:space="0" w:color="auto"/>
            </w:tcBorders>
            <w:vAlign w:val="center"/>
          </w:tcPr>
          <w:p w:rsidR="00613CC4" w:rsidRDefault="00950A85">
            <w:pPr>
              <w:spacing w:before="20" w:after="20"/>
              <w:jc w:val="center"/>
              <w:rPr>
                <w:b/>
                <w:noProof/>
                <w:sz w:val="20"/>
              </w:rPr>
            </w:pPr>
            <w:r>
              <w:rPr>
                <w:b/>
                <w:noProof/>
                <w:sz w:val="20"/>
              </w:rPr>
              <w:t>17,360</w:t>
            </w:r>
          </w:p>
        </w:tc>
      </w:tr>
      <w:tr w:rsidR="00613CC4" w:rsidTr="00950A85">
        <w:tc>
          <w:tcPr>
            <w:tcW w:w="3960" w:type="dxa"/>
            <w:vMerge/>
            <w:tcBorders>
              <w:top w:val="single" w:sz="4" w:space="0" w:color="FF0000"/>
              <w:left w:val="single" w:sz="4" w:space="0" w:color="auto"/>
              <w:bottom w:val="single" w:sz="4" w:space="0" w:color="auto"/>
            </w:tcBorders>
            <w:shd w:val="thinDiagStripe" w:color="C0C0C0" w:fill="auto"/>
          </w:tcPr>
          <w:p w:rsidR="00613CC4" w:rsidRDefault="00613CC4">
            <w:pPr>
              <w:rPr>
                <w:noProof/>
                <w:sz w:val="20"/>
              </w:rPr>
            </w:pPr>
          </w:p>
        </w:tc>
        <w:tc>
          <w:tcPr>
            <w:tcW w:w="1440" w:type="dxa"/>
            <w:tcBorders>
              <w:bottom w:val="single" w:sz="4" w:space="0" w:color="auto"/>
            </w:tcBorders>
            <w:vAlign w:val="center"/>
          </w:tcPr>
          <w:p w:rsidR="00613CC4" w:rsidRDefault="00950A85">
            <w:pPr>
              <w:rPr>
                <w:noProof/>
                <w:sz w:val="18"/>
              </w:rPr>
            </w:pPr>
            <w:r>
              <w:rPr>
                <w:noProof/>
                <w:sz w:val="18"/>
              </w:rPr>
              <w:t>Betalinger</w:t>
            </w:r>
          </w:p>
        </w:tc>
        <w:tc>
          <w:tcPr>
            <w:tcW w:w="654" w:type="dxa"/>
            <w:tcBorders>
              <w:bottom w:val="single" w:sz="4" w:space="0" w:color="auto"/>
            </w:tcBorders>
            <w:vAlign w:val="center"/>
          </w:tcPr>
          <w:p w:rsidR="00613CC4" w:rsidRDefault="00950A85">
            <w:pPr>
              <w:jc w:val="center"/>
              <w:rPr>
                <w:noProof/>
                <w:sz w:val="14"/>
              </w:rPr>
            </w:pPr>
            <w:r>
              <w:rPr>
                <w:noProof/>
                <w:sz w:val="14"/>
              </w:rPr>
              <w:t>=5+ 6</w:t>
            </w:r>
          </w:p>
        </w:tc>
        <w:tc>
          <w:tcPr>
            <w:tcW w:w="894" w:type="dxa"/>
            <w:tcBorders>
              <w:bottom w:val="single" w:sz="4" w:space="0" w:color="auto"/>
            </w:tcBorders>
            <w:vAlign w:val="center"/>
          </w:tcPr>
          <w:p w:rsidR="00613CC4" w:rsidRDefault="00950A85">
            <w:pPr>
              <w:spacing w:before="20" w:after="20"/>
              <w:jc w:val="center"/>
              <w:rPr>
                <w:noProof/>
                <w:sz w:val="20"/>
              </w:rPr>
            </w:pPr>
            <w:r>
              <w:rPr>
                <w:noProof/>
                <w:sz w:val="20"/>
              </w:rPr>
              <w:t>0,180</w:t>
            </w:r>
          </w:p>
        </w:tc>
        <w:tc>
          <w:tcPr>
            <w:tcW w:w="895" w:type="dxa"/>
            <w:tcBorders>
              <w:bottom w:val="single" w:sz="4" w:space="0" w:color="auto"/>
            </w:tcBorders>
            <w:vAlign w:val="center"/>
          </w:tcPr>
          <w:p w:rsidR="00613CC4" w:rsidRDefault="00950A85">
            <w:pPr>
              <w:spacing w:before="20" w:after="20"/>
              <w:jc w:val="center"/>
              <w:rPr>
                <w:noProof/>
                <w:sz w:val="20"/>
              </w:rPr>
            </w:pPr>
            <w:r>
              <w:rPr>
                <w:noProof/>
                <w:sz w:val="20"/>
              </w:rPr>
              <w:t>0,430</w:t>
            </w:r>
          </w:p>
        </w:tc>
        <w:tc>
          <w:tcPr>
            <w:tcW w:w="894" w:type="dxa"/>
            <w:tcBorders>
              <w:bottom w:val="single" w:sz="4" w:space="0" w:color="auto"/>
            </w:tcBorders>
            <w:vAlign w:val="center"/>
          </w:tcPr>
          <w:p w:rsidR="00613CC4" w:rsidRDefault="00950A85">
            <w:pPr>
              <w:spacing w:before="20" w:after="20"/>
              <w:jc w:val="center"/>
              <w:rPr>
                <w:noProof/>
                <w:sz w:val="20"/>
              </w:rPr>
            </w:pPr>
            <w:r>
              <w:rPr>
                <w:noProof/>
                <w:sz w:val="20"/>
              </w:rPr>
              <w:t>2,750</w:t>
            </w:r>
          </w:p>
        </w:tc>
        <w:tc>
          <w:tcPr>
            <w:tcW w:w="895" w:type="dxa"/>
            <w:tcBorders>
              <w:bottom w:val="single" w:sz="4" w:space="0" w:color="auto"/>
            </w:tcBorders>
            <w:vAlign w:val="center"/>
          </w:tcPr>
          <w:p w:rsidR="00613CC4" w:rsidRDefault="00950A85">
            <w:pPr>
              <w:spacing w:before="20" w:after="20"/>
              <w:jc w:val="center"/>
              <w:rPr>
                <w:noProof/>
                <w:sz w:val="20"/>
              </w:rPr>
            </w:pPr>
            <w:r>
              <w:rPr>
                <w:noProof/>
                <w:sz w:val="20"/>
              </w:rPr>
              <w:t>2,750</w:t>
            </w:r>
          </w:p>
        </w:tc>
        <w:tc>
          <w:tcPr>
            <w:tcW w:w="895" w:type="dxa"/>
            <w:tcBorders>
              <w:bottom w:val="single" w:sz="4" w:space="0" w:color="auto"/>
            </w:tcBorders>
            <w:vAlign w:val="center"/>
          </w:tcPr>
          <w:p w:rsidR="00613CC4" w:rsidRDefault="00950A85">
            <w:pPr>
              <w:spacing w:before="20" w:after="20"/>
              <w:jc w:val="center"/>
              <w:rPr>
                <w:noProof/>
                <w:sz w:val="20"/>
              </w:rPr>
            </w:pPr>
            <w:r>
              <w:rPr>
                <w:noProof/>
                <w:sz w:val="20"/>
              </w:rPr>
              <w:t>3,000</w:t>
            </w:r>
          </w:p>
        </w:tc>
        <w:tc>
          <w:tcPr>
            <w:tcW w:w="894" w:type="dxa"/>
            <w:tcBorders>
              <w:bottom w:val="single" w:sz="4" w:space="0" w:color="auto"/>
            </w:tcBorders>
            <w:vAlign w:val="center"/>
          </w:tcPr>
          <w:p w:rsidR="00613CC4" w:rsidRDefault="00950A85">
            <w:pPr>
              <w:spacing w:before="20" w:after="20"/>
              <w:jc w:val="center"/>
              <w:rPr>
                <w:noProof/>
                <w:sz w:val="20"/>
              </w:rPr>
            </w:pPr>
            <w:r>
              <w:rPr>
                <w:noProof/>
                <w:sz w:val="20"/>
              </w:rPr>
              <w:t>3,000</w:t>
            </w:r>
          </w:p>
        </w:tc>
        <w:tc>
          <w:tcPr>
            <w:tcW w:w="895" w:type="dxa"/>
            <w:tcBorders>
              <w:bottom w:val="single" w:sz="4" w:space="0" w:color="auto"/>
            </w:tcBorders>
            <w:vAlign w:val="center"/>
          </w:tcPr>
          <w:p w:rsidR="00613CC4" w:rsidRDefault="00950A85">
            <w:pPr>
              <w:spacing w:before="20" w:after="20"/>
              <w:jc w:val="center"/>
              <w:rPr>
                <w:noProof/>
                <w:sz w:val="20"/>
              </w:rPr>
            </w:pPr>
            <w:r>
              <w:rPr>
                <w:noProof/>
                <w:sz w:val="20"/>
              </w:rPr>
              <w:t>0,550</w:t>
            </w:r>
          </w:p>
        </w:tc>
        <w:tc>
          <w:tcPr>
            <w:tcW w:w="894" w:type="dxa"/>
            <w:tcBorders>
              <w:bottom w:val="single" w:sz="4" w:space="0" w:color="auto"/>
            </w:tcBorders>
            <w:vAlign w:val="center"/>
          </w:tcPr>
          <w:p w:rsidR="00613CC4" w:rsidRDefault="00950A85">
            <w:pPr>
              <w:spacing w:before="20" w:after="20"/>
              <w:jc w:val="center"/>
              <w:rPr>
                <w:noProof/>
                <w:sz w:val="20"/>
              </w:rPr>
            </w:pPr>
            <w:r>
              <w:rPr>
                <w:noProof/>
                <w:sz w:val="20"/>
              </w:rPr>
              <w:t>2,300</w:t>
            </w:r>
          </w:p>
        </w:tc>
        <w:tc>
          <w:tcPr>
            <w:tcW w:w="895" w:type="dxa"/>
            <w:tcBorders>
              <w:bottom w:val="single" w:sz="4" w:space="0" w:color="auto"/>
            </w:tcBorders>
            <w:vAlign w:val="center"/>
          </w:tcPr>
          <w:p w:rsidR="00613CC4" w:rsidRDefault="00950A85">
            <w:pPr>
              <w:spacing w:before="20" w:after="20"/>
              <w:jc w:val="center"/>
              <w:rPr>
                <w:noProof/>
                <w:sz w:val="20"/>
              </w:rPr>
            </w:pPr>
            <w:r>
              <w:rPr>
                <w:noProof/>
                <w:sz w:val="20"/>
              </w:rPr>
              <w:t>2,400</w:t>
            </w:r>
          </w:p>
        </w:tc>
        <w:tc>
          <w:tcPr>
            <w:tcW w:w="895" w:type="dxa"/>
            <w:tcBorders>
              <w:bottom w:val="single" w:sz="4" w:space="0" w:color="auto"/>
              <w:right w:val="single" w:sz="4" w:space="0" w:color="auto"/>
            </w:tcBorders>
            <w:vAlign w:val="center"/>
          </w:tcPr>
          <w:p w:rsidR="00613CC4" w:rsidRDefault="00950A85">
            <w:pPr>
              <w:spacing w:before="20" w:after="20"/>
              <w:jc w:val="center"/>
              <w:rPr>
                <w:b/>
                <w:noProof/>
                <w:sz w:val="20"/>
              </w:rPr>
            </w:pPr>
            <w:r>
              <w:rPr>
                <w:b/>
                <w:noProof/>
                <w:sz w:val="20"/>
              </w:rPr>
              <w:t>17,360</w:t>
            </w:r>
          </w:p>
        </w:tc>
      </w:tr>
      <w:bookmarkEnd w:id="0"/>
    </w:tbl>
    <w:p w:rsidR="00613CC4" w:rsidRDefault="00613CC4">
      <w:pPr>
        <w:rPr>
          <w:noProof/>
        </w:rPr>
      </w:pPr>
    </w:p>
    <w:p w:rsidR="00613CC4" w:rsidRDefault="00950A85">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613CC4">
        <w:trPr>
          <w:jc w:val="center"/>
        </w:trPr>
        <w:tc>
          <w:tcPr>
            <w:tcW w:w="4744" w:type="dxa"/>
            <w:shd w:val="thinDiagStripe" w:color="C0C0C0" w:fill="auto"/>
            <w:vAlign w:val="center"/>
          </w:tcPr>
          <w:p w:rsidR="00613CC4" w:rsidRDefault="00950A85">
            <w:pPr>
              <w:spacing w:before="60" w:after="60"/>
              <w:jc w:val="center"/>
              <w:rPr>
                <w:b/>
                <w:noProof/>
              </w:rPr>
            </w:pPr>
            <w:r>
              <w:rPr>
                <w:noProof/>
              </w:rPr>
              <w:br w:type="page"/>
            </w:r>
            <w:r>
              <w:rPr>
                <w:b/>
                <w:noProof/>
                <w:sz w:val="22"/>
              </w:rPr>
              <w:t xml:space="preserve">Udgiftsområde i den flerårige finansielle </w:t>
            </w:r>
            <w:r>
              <w:rPr>
                <w:noProof/>
                <w:sz w:val="22"/>
              </w:rPr>
              <w:br/>
            </w:r>
            <w:r>
              <w:rPr>
                <w:b/>
                <w:noProof/>
                <w:sz w:val="22"/>
              </w:rPr>
              <w:t xml:space="preserve">ramme </w:t>
            </w:r>
          </w:p>
        </w:tc>
        <w:tc>
          <w:tcPr>
            <w:tcW w:w="1080" w:type="dxa"/>
            <w:shd w:val="thinDiagStripe" w:color="C0C0C0" w:fill="auto"/>
            <w:vAlign w:val="center"/>
          </w:tcPr>
          <w:p w:rsidR="00613CC4" w:rsidRDefault="00950A85">
            <w:pPr>
              <w:spacing w:before="60" w:after="60"/>
              <w:jc w:val="center"/>
              <w:rPr>
                <w:noProof/>
              </w:rPr>
            </w:pPr>
            <w:r>
              <w:rPr>
                <w:b/>
                <w:noProof/>
                <w:sz w:val="22"/>
              </w:rPr>
              <w:t>5</w:t>
            </w:r>
          </w:p>
        </w:tc>
        <w:tc>
          <w:tcPr>
            <w:tcW w:w="7817" w:type="dxa"/>
            <w:vAlign w:val="center"/>
          </w:tcPr>
          <w:p w:rsidR="00613CC4" w:rsidRDefault="00950A85">
            <w:pPr>
              <w:spacing w:before="60" w:after="60"/>
              <w:rPr>
                <w:noProof/>
              </w:rPr>
            </w:pPr>
            <w:r>
              <w:rPr>
                <w:noProof/>
                <w:sz w:val="22"/>
              </w:rPr>
              <w:t>"Administrationsudgifter"</w:t>
            </w:r>
          </w:p>
        </w:tc>
      </w:tr>
    </w:tbl>
    <w:p w:rsidR="00613CC4" w:rsidRDefault="00950A85">
      <w:pPr>
        <w:jc w:val="right"/>
        <w:rPr>
          <w:noProof/>
          <w:sz w:val="20"/>
        </w:rPr>
      </w:pPr>
      <w:r>
        <w:rPr>
          <w:noProof/>
          <w:sz w:val="20"/>
        </w:rPr>
        <w:t>i mio. EUR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613CC4">
        <w:tc>
          <w:tcPr>
            <w:tcW w:w="3960" w:type="dxa"/>
            <w:tcBorders>
              <w:top w:val="nil"/>
              <w:left w:val="nil"/>
              <w:right w:val="nil"/>
            </w:tcBorders>
            <w:vAlign w:val="center"/>
          </w:tcPr>
          <w:p w:rsidR="00613CC4" w:rsidRDefault="00613CC4">
            <w:pPr>
              <w:jc w:val="center"/>
              <w:rPr>
                <w:noProof/>
              </w:rPr>
            </w:pPr>
          </w:p>
        </w:tc>
        <w:tc>
          <w:tcPr>
            <w:tcW w:w="1560" w:type="dxa"/>
            <w:tcBorders>
              <w:top w:val="nil"/>
              <w:left w:val="nil"/>
              <w:right w:val="nil"/>
            </w:tcBorders>
          </w:tcPr>
          <w:p w:rsidR="00613CC4" w:rsidRDefault="00613CC4">
            <w:pPr>
              <w:rPr>
                <w:noProof/>
                <w:sz w:val="20"/>
              </w:rPr>
            </w:pPr>
          </w:p>
        </w:tc>
        <w:tc>
          <w:tcPr>
            <w:tcW w:w="534" w:type="dxa"/>
            <w:tcBorders>
              <w:top w:val="nil"/>
              <w:left w:val="nil"/>
            </w:tcBorders>
          </w:tcPr>
          <w:p w:rsidR="00613CC4" w:rsidRDefault="00613CC4">
            <w:pPr>
              <w:jc w:val="center"/>
              <w:rPr>
                <w:noProof/>
                <w:sz w:val="20"/>
              </w:rPr>
            </w:pPr>
          </w:p>
        </w:tc>
        <w:tc>
          <w:tcPr>
            <w:tcW w:w="868" w:type="dxa"/>
            <w:vAlign w:val="center"/>
          </w:tcPr>
          <w:p w:rsidR="00613CC4" w:rsidRDefault="00950A85">
            <w:pPr>
              <w:jc w:val="center"/>
              <w:rPr>
                <w:noProof/>
                <w:sz w:val="20"/>
              </w:rPr>
            </w:pPr>
            <w:r>
              <w:rPr>
                <w:noProof/>
                <w:sz w:val="20"/>
              </w:rPr>
              <w:t>År</w:t>
            </w:r>
            <w:r>
              <w:rPr>
                <w:noProof/>
                <w:sz w:val="22"/>
              </w:rPr>
              <w:br/>
            </w:r>
            <w:r>
              <w:rPr>
                <w:b/>
                <w:noProof/>
                <w:sz w:val="20"/>
              </w:rPr>
              <w:t>N</w:t>
            </w:r>
          </w:p>
        </w:tc>
        <w:tc>
          <w:tcPr>
            <w:tcW w:w="868" w:type="dxa"/>
            <w:vAlign w:val="center"/>
          </w:tcPr>
          <w:p w:rsidR="00613CC4" w:rsidRDefault="00950A85">
            <w:pPr>
              <w:jc w:val="center"/>
              <w:rPr>
                <w:noProof/>
                <w:sz w:val="20"/>
              </w:rPr>
            </w:pPr>
            <w:r>
              <w:rPr>
                <w:noProof/>
                <w:sz w:val="20"/>
              </w:rPr>
              <w:t>År</w:t>
            </w:r>
            <w:r>
              <w:rPr>
                <w:noProof/>
                <w:sz w:val="22"/>
              </w:rPr>
              <w:br/>
            </w:r>
            <w:r>
              <w:rPr>
                <w:b/>
                <w:noProof/>
                <w:sz w:val="20"/>
              </w:rPr>
              <w:t>N+1</w:t>
            </w:r>
          </w:p>
        </w:tc>
        <w:tc>
          <w:tcPr>
            <w:tcW w:w="868" w:type="dxa"/>
            <w:vAlign w:val="center"/>
          </w:tcPr>
          <w:p w:rsidR="00613CC4" w:rsidRDefault="00950A85">
            <w:pPr>
              <w:jc w:val="center"/>
              <w:rPr>
                <w:noProof/>
                <w:sz w:val="20"/>
              </w:rPr>
            </w:pPr>
            <w:r>
              <w:rPr>
                <w:noProof/>
                <w:sz w:val="20"/>
              </w:rPr>
              <w:t>År</w:t>
            </w:r>
            <w:r>
              <w:rPr>
                <w:noProof/>
                <w:sz w:val="22"/>
              </w:rPr>
              <w:br/>
            </w:r>
            <w:r>
              <w:rPr>
                <w:b/>
                <w:noProof/>
                <w:sz w:val="20"/>
              </w:rPr>
              <w:t>N+2</w:t>
            </w:r>
          </w:p>
        </w:tc>
        <w:tc>
          <w:tcPr>
            <w:tcW w:w="868" w:type="dxa"/>
            <w:vAlign w:val="center"/>
          </w:tcPr>
          <w:p w:rsidR="00613CC4" w:rsidRDefault="00950A85">
            <w:pPr>
              <w:jc w:val="center"/>
              <w:rPr>
                <w:noProof/>
                <w:sz w:val="20"/>
              </w:rPr>
            </w:pPr>
            <w:r>
              <w:rPr>
                <w:noProof/>
                <w:sz w:val="20"/>
              </w:rPr>
              <w:t>År</w:t>
            </w:r>
            <w:r>
              <w:rPr>
                <w:noProof/>
                <w:sz w:val="22"/>
              </w:rPr>
              <w:br/>
            </w:r>
            <w:r>
              <w:rPr>
                <w:b/>
                <w:noProof/>
                <w:sz w:val="20"/>
              </w:rPr>
              <w:t>N+3</w:t>
            </w:r>
          </w:p>
        </w:tc>
        <w:tc>
          <w:tcPr>
            <w:tcW w:w="2604" w:type="dxa"/>
            <w:gridSpan w:val="3"/>
            <w:vAlign w:val="center"/>
          </w:tcPr>
          <w:p w:rsidR="00613CC4" w:rsidRDefault="00950A85">
            <w:pPr>
              <w:jc w:val="center"/>
              <w:rPr>
                <w:b/>
                <w:noProof/>
                <w:sz w:val="18"/>
              </w:rPr>
            </w:pPr>
            <w:r>
              <w:rPr>
                <w:noProof/>
                <w:sz w:val="18"/>
              </w:rPr>
              <w:t xml:space="preserve">Der indsættes flere år, hvis virkningerne varer længere (jf. punkt 1.6) </w:t>
            </w:r>
          </w:p>
        </w:tc>
        <w:tc>
          <w:tcPr>
            <w:tcW w:w="1777" w:type="dxa"/>
            <w:vAlign w:val="center"/>
          </w:tcPr>
          <w:p w:rsidR="00613CC4" w:rsidRDefault="00950A85">
            <w:pPr>
              <w:jc w:val="center"/>
              <w:rPr>
                <w:b/>
                <w:noProof/>
                <w:sz w:val="20"/>
              </w:rPr>
            </w:pPr>
            <w:r>
              <w:rPr>
                <w:b/>
                <w:noProof/>
                <w:sz w:val="20"/>
              </w:rPr>
              <w:t>I ALT</w:t>
            </w:r>
          </w:p>
        </w:tc>
      </w:tr>
      <w:tr w:rsidR="00613CC4">
        <w:trPr>
          <w:gridAfter w:val="10"/>
          <w:wAfter w:w="9947" w:type="dxa"/>
        </w:trPr>
        <w:tc>
          <w:tcPr>
            <w:tcW w:w="3960" w:type="dxa"/>
            <w:vAlign w:val="center"/>
          </w:tcPr>
          <w:p w:rsidR="00613CC4" w:rsidRDefault="00950A85">
            <w:pPr>
              <w:spacing w:before="60" w:after="60"/>
              <w:jc w:val="center"/>
              <w:rPr>
                <w:noProof/>
              </w:rPr>
            </w:pPr>
            <w:r>
              <w:rPr>
                <w:noProof/>
                <w:sz w:val="22"/>
              </w:rPr>
              <w:t>GD: &lt;…….&gt;</w:t>
            </w:r>
          </w:p>
        </w:tc>
      </w:tr>
      <w:tr w:rsidR="00613CC4">
        <w:trPr>
          <w:trHeight w:val="313"/>
        </w:trPr>
        <w:tc>
          <w:tcPr>
            <w:tcW w:w="6054" w:type="dxa"/>
            <w:gridSpan w:val="3"/>
            <w:vAlign w:val="center"/>
          </w:tcPr>
          <w:p w:rsidR="00613CC4" w:rsidRDefault="00950A85">
            <w:pPr>
              <w:spacing w:before="20" w:after="20"/>
              <w:rPr>
                <w:noProof/>
              </w:rPr>
            </w:pPr>
            <w:r>
              <w:rPr>
                <w:noProof/>
                <w:sz w:val="22"/>
              </w:rPr>
              <w:sym w:font="Wingdings" w:char="F09F"/>
            </w:r>
            <w:r>
              <w:rPr>
                <w:noProof/>
                <w:sz w:val="22"/>
              </w:rPr>
              <w:t xml:space="preserve"> Menneskelige ressourcer</w:t>
            </w:r>
          </w:p>
        </w:tc>
        <w:tc>
          <w:tcPr>
            <w:tcW w:w="868" w:type="dxa"/>
            <w:vAlign w:val="center"/>
          </w:tcPr>
          <w:p w:rsidR="00613CC4" w:rsidRDefault="00613CC4">
            <w:pPr>
              <w:spacing w:before="20" w:after="20"/>
              <w:jc w:val="right"/>
              <w:rPr>
                <w:noProof/>
                <w:sz w:val="20"/>
              </w:rPr>
            </w:pPr>
          </w:p>
        </w:tc>
        <w:tc>
          <w:tcPr>
            <w:tcW w:w="868" w:type="dxa"/>
            <w:vAlign w:val="center"/>
          </w:tcPr>
          <w:p w:rsidR="00613CC4" w:rsidRDefault="00613CC4">
            <w:pPr>
              <w:spacing w:before="20" w:after="20"/>
              <w:jc w:val="right"/>
              <w:rPr>
                <w:noProof/>
                <w:sz w:val="20"/>
              </w:rPr>
            </w:pPr>
          </w:p>
        </w:tc>
        <w:tc>
          <w:tcPr>
            <w:tcW w:w="868" w:type="dxa"/>
            <w:vAlign w:val="center"/>
          </w:tcPr>
          <w:p w:rsidR="00613CC4" w:rsidRDefault="00613CC4">
            <w:pPr>
              <w:spacing w:before="20" w:after="20"/>
              <w:jc w:val="right"/>
              <w:rPr>
                <w:noProof/>
                <w:sz w:val="20"/>
              </w:rPr>
            </w:pPr>
          </w:p>
        </w:tc>
        <w:tc>
          <w:tcPr>
            <w:tcW w:w="868" w:type="dxa"/>
            <w:vAlign w:val="center"/>
          </w:tcPr>
          <w:p w:rsidR="00613CC4" w:rsidRDefault="00613CC4">
            <w:pPr>
              <w:spacing w:before="20" w:after="20"/>
              <w:jc w:val="right"/>
              <w:rPr>
                <w:noProof/>
                <w:sz w:val="20"/>
              </w:rPr>
            </w:pPr>
          </w:p>
        </w:tc>
        <w:tc>
          <w:tcPr>
            <w:tcW w:w="868" w:type="dxa"/>
            <w:vAlign w:val="center"/>
          </w:tcPr>
          <w:p w:rsidR="00613CC4" w:rsidRDefault="00613CC4">
            <w:pPr>
              <w:spacing w:before="20" w:after="20"/>
              <w:jc w:val="right"/>
              <w:rPr>
                <w:noProof/>
                <w:sz w:val="20"/>
              </w:rPr>
            </w:pPr>
          </w:p>
        </w:tc>
        <w:tc>
          <w:tcPr>
            <w:tcW w:w="868" w:type="dxa"/>
            <w:vAlign w:val="center"/>
          </w:tcPr>
          <w:p w:rsidR="00613CC4" w:rsidRDefault="00613CC4">
            <w:pPr>
              <w:spacing w:before="20" w:after="20"/>
              <w:jc w:val="right"/>
              <w:rPr>
                <w:noProof/>
                <w:sz w:val="20"/>
              </w:rPr>
            </w:pPr>
          </w:p>
        </w:tc>
        <w:tc>
          <w:tcPr>
            <w:tcW w:w="868" w:type="dxa"/>
            <w:vAlign w:val="center"/>
          </w:tcPr>
          <w:p w:rsidR="00613CC4" w:rsidRDefault="00613CC4">
            <w:pPr>
              <w:spacing w:before="20" w:after="20"/>
              <w:jc w:val="right"/>
              <w:rPr>
                <w:b/>
                <w:noProof/>
                <w:sz w:val="20"/>
              </w:rPr>
            </w:pPr>
          </w:p>
        </w:tc>
        <w:tc>
          <w:tcPr>
            <w:tcW w:w="1777" w:type="dxa"/>
            <w:vAlign w:val="center"/>
          </w:tcPr>
          <w:p w:rsidR="00613CC4" w:rsidRDefault="00613CC4">
            <w:pPr>
              <w:spacing w:before="20" w:after="20"/>
              <w:jc w:val="right"/>
              <w:rPr>
                <w:b/>
                <w:noProof/>
                <w:sz w:val="20"/>
              </w:rPr>
            </w:pPr>
          </w:p>
        </w:tc>
      </w:tr>
      <w:tr w:rsidR="00613CC4">
        <w:trPr>
          <w:trHeight w:val="351"/>
        </w:trPr>
        <w:tc>
          <w:tcPr>
            <w:tcW w:w="6054" w:type="dxa"/>
            <w:gridSpan w:val="3"/>
            <w:vAlign w:val="center"/>
          </w:tcPr>
          <w:p w:rsidR="00613CC4" w:rsidRDefault="00950A85">
            <w:pPr>
              <w:spacing w:before="20" w:after="20"/>
              <w:rPr>
                <w:noProof/>
              </w:rPr>
            </w:pPr>
            <w:r>
              <w:rPr>
                <w:noProof/>
                <w:sz w:val="22"/>
              </w:rPr>
              <w:sym w:font="Wingdings" w:char="F09F"/>
            </w:r>
            <w:r>
              <w:rPr>
                <w:noProof/>
                <w:sz w:val="22"/>
              </w:rPr>
              <w:t xml:space="preserve"> Andre administrationsudgifter</w:t>
            </w:r>
          </w:p>
        </w:tc>
        <w:tc>
          <w:tcPr>
            <w:tcW w:w="868" w:type="dxa"/>
            <w:vAlign w:val="center"/>
          </w:tcPr>
          <w:p w:rsidR="00613CC4" w:rsidRDefault="00613CC4">
            <w:pPr>
              <w:spacing w:before="20" w:after="20"/>
              <w:jc w:val="right"/>
              <w:rPr>
                <w:b/>
                <w:noProof/>
                <w:sz w:val="20"/>
              </w:rPr>
            </w:pPr>
          </w:p>
        </w:tc>
        <w:tc>
          <w:tcPr>
            <w:tcW w:w="868" w:type="dxa"/>
            <w:vAlign w:val="center"/>
          </w:tcPr>
          <w:p w:rsidR="00613CC4" w:rsidRDefault="00613CC4">
            <w:pPr>
              <w:spacing w:before="20" w:after="20"/>
              <w:jc w:val="right"/>
              <w:rPr>
                <w:b/>
                <w:noProof/>
                <w:sz w:val="20"/>
              </w:rPr>
            </w:pPr>
          </w:p>
        </w:tc>
        <w:tc>
          <w:tcPr>
            <w:tcW w:w="868" w:type="dxa"/>
            <w:vAlign w:val="center"/>
          </w:tcPr>
          <w:p w:rsidR="00613CC4" w:rsidRDefault="00613CC4">
            <w:pPr>
              <w:spacing w:before="20" w:after="20"/>
              <w:jc w:val="right"/>
              <w:rPr>
                <w:b/>
                <w:noProof/>
                <w:sz w:val="20"/>
              </w:rPr>
            </w:pPr>
          </w:p>
        </w:tc>
        <w:tc>
          <w:tcPr>
            <w:tcW w:w="868" w:type="dxa"/>
            <w:vAlign w:val="center"/>
          </w:tcPr>
          <w:p w:rsidR="00613CC4" w:rsidRDefault="00613CC4">
            <w:pPr>
              <w:spacing w:before="20" w:after="20"/>
              <w:jc w:val="right"/>
              <w:rPr>
                <w:b/>
                <w:noProof/>
                <w:sz w:val="20"/>
              </w:rPr>
            </w:pPr>
          </w:p>
        </w:tc>
        <w:tc>
          <w:tcPr>
            <w:tcW w:w="868" w:type="dxa"/>
            <w:vAlign w:val="center"/>
          </w:tcPr>
          <w:p w:rsidR="00613CC4" w:rsidRDefault="00613CC4">
            <w:pPr>
              <w:spacing w:before="20" w:after="20"/>
              <w:jc w:val="right"/>
              <w:rPr>
                <w:b/>
                <w:noProof/>
                <w:sz w:val="20"/>
              </w:rPr>
            </w:pPr>
          </w:p>
        </w:tc>
        <w:tc>
          <w:tcPr>
            <w:tcW w:w="868" w:type="dxa"/>
            <w:vAlign w:val="center"/>
          </w:tcPr>
          <w:p w:rsidR="00613CC4" w:rsidRDefault="00613CC4">
            <w:pPr>
              <w:spacing w:before="20" w:after="20"/>
              <w:jc w:val="right"/>
              <w:rPr>
                <w:b/>
                <w:noProof/>
                <w:sz w:val="20"/>
              </w:rPr>
            </w:pPr>
          </w:p>
        </w:tc>
        <w:tc>
          <w:tcPr>
            <w:tcW w:w="868" w:type="dxa"/>
            <w:vAlign w:val="center"/>
          </w:tcPr>
          <w:p w:rsidR="00613CC4" w:rsidRDefault="00613CC4">
            <w:pPr>
              <w:spacing w:before="20" w:after="20"/>
              <w:jc w:val="right"/>
              <w:rPr>
                <w:b/>
                <w:noProof/>
                <w:sz w:val="20"/>
              </w:rPr>
            </w:pPr>
          </w:p>
        </w:tc>
        <w:tc>
          <w:tcPr>
            <w:tcW w:w="1777" w:type="dxa"/>
            <w:vAlign w:val="center"/>
          </w:tcPr>
          <w:p w:rsidR="00613CC4" w:rsidRDefault="00613CC4">
            <w:pPr>
              <w:spacing w:before="20" w:after="20"/>
              <w:jc w:val="right"/>
              <w:rPr>
                <w:b/>
                <w:noProof/>
                <w:sz w:val="20"/>
              </w:rPr>
            </w:pPr>
          </w:p>
        </w:tc>
      </w:tr>
      <w:tr w:rsidR="00613CC4">
        <w:tc>
          <w:tcPr>
            <w:tcW w:w="3960" w:type="dxa"/>
            <w:vAlign w:val="center"/>
          </w:tcPr>
          <w:p w:rsidR="00613CC4" w:rsidRDefault="00950A85">
            <w:pPr>
              <w:jc w:val="center"/>
              <w:rPr>
                <w:b/>
                <w:noProof/>
              </w:rPr>
            </w:pPr>
            <w:r>
              <w:rPr>
                <w:b/>
                <w:noProof/>
                <w:sz w:val="22"/>
              </w:rPr>
              <w:t xml:space="preserve">I ALT GD </w:t>
            </w:r>
            <w:r>
              <w:rPr>
                <w:noProof/>
                <w:sz w:val="22"/>
              </w:rPr>
              <w:t>&lt;…….&gt;</w:t>
            </w:r>
          </w:p>
        </w:tc>
        <w:tc>
          <w:tcPr>
            <w:tcW w:w="2094" w:type="dxa"/>
            <w:gridSpan w:val="2"/>
            <w:vAlign w:val="center"/>
          </w:tcPr>
          <w:p w:rsidR="00613CC4" w:rsidRDefault="00950A85">
            <w:pPr>
              <w:rPr>
                <w:noProof/>
                <w:sz w:val="14"/>
              </w:rPr>
            </w:pPr>
            <w:r>
              <w:rPr>
                <w:noProof/>
                <w:sz w:val="18"/>
              </w:rPr>
              <w:t xml:space="preserve">Bevillinger </w:t>
            </w:r>
          </w:p>
        </w:tc>
        <w:tc>
          <w:tcPr>
            <w:tcW w:w="868" w:type="dxa"/>
            <w:vAlign w:val="center"/>
          </w:tcPr>
          <w:p w:rsidR="00613CC4" w:rsidRDefault="00613CC4">
            <w:pPr>
              <w:spacing w:before="60" w:after="60"/>
              <w:jc w:val="right"/>
              <w:rPr>
                <w:noProof/>
                <w:sz w:val="20"/>
              </w:rPr>
            </w:pPr>
          </w:p>
        </w:tc>
        <w:tc>
          <w:tcPr>
            <w:tcW w:w="868" w:type="dxa"/>
            <w:vAlign w:val="center"/>
          </w:tcPr>
          <w:p w:rsidR="00613CC4" w:rsidRDefault="00613CC4">
            <w:pPr>
              <w:spacing w:before="20" w:after="20"/>
              <w:jc w:val="right"/>
              <w:rPr>
                <w:noProof/>
                <w:sz w:val="20"/>
              </w:rPr>
            </w:pPr>
          </w:p>
        </w:tc>
        <w:tc>
          <w:tcPr>
            <w:tcW w:w="868" w:type="dxa"/>
            <w:vAlign w:val="center"/>
          </w:tcPr>
          <w:p w:rsidR="00613CC4" w:rsidRDefault="00613CC4">
            <w:pPr>
              <w:spacing w:before="20" w:after="20"/>
              <w:jc w:val="right"/>
              <w:rPr>
                <w:noProof/>
                <w:sz w:val="20"/>
              </w:rPr>
            </w:pPr>
          </w:p>
        </w:tc>
        <w:tc>
          <w:tcPr>
            <w:tcW w:w="868" w:type="dxa"/>
            <w:vAlign w:val="center"/>
          </w:tcPr>
          <w:p w:rsidR="00613CC4" w:rsidRDefault="00613CC4">
            <w:pPr>
              <w:spacing w:before="20" w:after="20"/>
              <w:jc w:val="right"/>
              <w:rPr>
                <w:noProof/>
                <w:sz w:val="20"/>
              </w:rPr>
            </w:pPr>
          </w:p>
        </w:tc>
        <w:tc>
          <w:tcPr>
            <w:tcW w:w="868" w:type="dxa"/>
            <w:vAlign w:val="center"/>
          </w:tcPr>
          <w:p w:rsidR="00613CC4" w:rsidRDefault="00613CC4">
            <w:pPr>
              <w:spacing w:before="20" w:after="20"/>
              <w:jc w:val="right"/>
              <w:rPr>
                <w:noProof/>
                <w:sz w:val="20"/>
              </w:rPr>
            </w:pPr>
          </w:p>
        </w:tc>
        <w:tc>
          <w:tcPr>
            <w:tcW w:w="868" w:type="dxa"/>
            <w:vAlign w:val="center"/>
          </w:tcPr>
          <w:p w:rsidR="00613CC4" w:rsidRDefault="00613CC4">
            <w:pPr>
              <w:spacing w:before="20" w:after="20"/>
              <w:jc w:val="right"/>
              <w:rPr>
                <w:noProof/>
                <w:sz w:val="20"/>
              </w:rPr>
            </w:pPr>
          </w:p>
        </w:tc>
        <w:tc>
          <w:tcPr>
            <w:tcW w:w="868" w:type="dxa"/>
            <w:vAlign w:val="center"/>
          </w:tcPr>
          <w:p w:rsidR="00613CC4" w:rsidRDefault="00613CC4">
            <w:pPr>
              <w:spacing w:before="20" w:after="20"/>
              <w:jc w:val="right"/>
              <w:rPr>
                <w:b/>
                <w:noProof/>
                <w:sz w:val="20"/>
              </w:rPr>
            </w:pPr>
          </w:p>
        </w:tc>
        <w:tc>
          <w:tcPr>
            <w:tcW w:w="1777" w:type="dxa"/>
            <w:vAlign w:val="center"/>
          </w:tcPr>
          <w:p w:rsidR="00613CC4" w:rsidRDefault="00613CC4">
            <w:pPr>
              <w:spacing w:before="20" w:after="20"/>
              <w:jc w:val="right"/>
              <w:rPr>
                <w:b/>
                <w:noProof/>
                <w:sz w:val="20"/>
              </w:rPr>
            </w:pPr>
          </w:p>
        </w:tc>
      </w:tr>
    </w:tbl>
    <w:p w:rsidR="00613CC4" w:rsidRDefault="00613CC4">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613CC4">
        <w:tc>
          <w:tcPr>
            <w:tcW w:w="3960" w:type="dxa"/>
            <w:shd w:val="thinDiagStripe" w:color="C0C0C0" w:fill="auto"/>
            <w:vAlign w:val="center"/>
          </w:tcPr>
          <w:p w:rsidR="00613CC4" w:rsidRDefault="00950A85">
            <w:pPr>
              <w:jc w:val="center"/>
              <w:rPr>
                <w:b/>
                <w:noProof/>
              </w:rPr>
            </w:pPr>
            <w:r>
              <w:rPr>
                <w:b/>
                <w:noProof/>
                <w:sz w:val="22"/>
              </w:rPr>
              <w:t>Bevillinger I ALT</w:t>
            </w:r>
            <w:r>
              <w:rPr>
                <w:noProof/>
                <w:sz w:val="22"/>
              </w:rPr>
              <w:br/>
            </w:r>
            <w:r>
              <w:rPr>
                <w:b/>
                <w:noProof/>
                <w:sz w:val="22"/>
              </w:rPr>
              <w:t>under UDGIFTSOMRÅDE 5</w:t>
            </w:r>
            <w:r>
              <w:rPr>
                <w:noProof/>
                <w:sz w:val="22"/>
              </w:rPr>
              <w:br/>
              <w:t xml:space="preserve">i den </w:t>
            </w:r>
            <w:r>
              <w:rPr>
                <w:noProof/>
                <w:sz w:val="22"/>
              </w:rPr>
              <w:t>flerårige finansielle ramme</w:t>
            </w:r>
            <w:r>
              <w:rPr>
                <w:b/>
                <w:noProof/>
                <w:sz w:val="22"/>
              </w:rPr>
              <w:t xml:space="preserve"> </w:t>
            </w:r>
          </w:p>
        </w:tc>
        <w:tc>
          <w:tcPr>
            <w:tcW w:w="2094" w:type="dxa"/>
            <w:vAlign w:val="center"/>
          </w:tcPr>
          <w:p w:rsidR="00613CC4" w:rsidRDefault="00950A85">
            <w:pPr>
              <w:spacing w:before="40" w:after="40"/>
              <w:rPr>
                <w:noProof/>
              </w:rPr>
            </w:pPr>
            <w:r>
              <w:rPr>
                <w:noProof/>
                <w:sz w:val="18"/>
              </w:rPr>
              <w:t>(tilsagn i alt = betalinger i alt)</w:t>
            </w:r>
          </w:p>
        </w:tc>
        <w:tc>
          <w:tcPr>
            <w:tcW w:w="868" w:type="dxa"/>
            <w:vAlign w:val="center"/>
          </w:tcPr>
          <w:p w:rsidR="00613CC4" w:rsidRDefault="00613CC4">
            <w:pPr>
              <w:spacing w:before="20" w:after="20"/>
              <w:jc w:val="right"/>
              <w:rPr>
                <w:noProof/>
                <w:sz w:val="20"/>
              </w:rPr>
            </w:pPr>
          </w:p>
        </w:tc>
        <w:tc>
          <w:tcPr>
            <w:tcW w:w="868" w:type="dxa"/>
            <w:vAlign w:val="center"/>
          </w:tcPr>
          <w:p w:rsidR="00613CC4" w:rsidRDefault="00613CC4">
            <w:pPr>
              <w:spacing w:before="20" w:after="20"/>
              <w:jc w:val="right"/>
              <w:rPr>
                <w:noProof/>
                <w:sz w:val="20"/>
              </w:rPr>
            </w:pPr>
          </w:p>
        </w:tc>
        <w:tc>
          <w:tcPr>
            <w:tcW w:w="868" w:type="dxa"/>
            <w:vAlign w:val="center"/>
          </w:tcPr>
          <w:p w:rsidR="00613CC4" w:rsidRDefault="00613CC4">
            <w:pPr>
              <w:spacing w:before="20" w:after="20"/>
              <w:jc w:val="right"/>
              <w:rPr>
                <w:noProof/>
                <w:sz w:val="20"/>
              </w:rPr>
            </w:pPr>
          </w:p>
        </w:tc>
        <w:tc>
          <w:tcPr>
            <w:tcW w:w="868" w:type="dxa"/>
            <w:vAlign w:val="center"/>
          </w:tcPr>
          <w:p w:rsidR="00613CC4" w:rsidRDefault="00613CC4">
            <w:pPr>
              <w:spacing w:before="20" w:after="20"/>
              <w:jc w:val="right"/>
              <w:rPr>
                <w:noProof/>
                <w:sz w:val="20"/>
              </w:rPr>
            </w:pPr>
          </w:p>
        </w:tc>
        <w:tc>
          <w:tcPr>
            <w:tcW w:w="868" w:type="dxa"/>
            <w:vAlign w:val="center"/>
          </w:tcPr>
          <w:p w:rsidR="00613CC4" w:rsidRDefault="00613CC4">
            <w:pPr>
              <w:spacing w:before="20" w:after="20"/>
              <w:jc w:val="right"/>
              <w:rPr>
                <w:noProof/>
                <w:sz w:val="20"/>
              </w:rPr>
            </w:pPr>
          </w:p>
        </w:tc>
        <w:tc>
          <w:tcPr>
            <w:tcW w:w="868" w:type="dxa"/>
            <w:vAlign w:val="center"/>
          </w:tcPr>
          <w:p w:rsidR="00613CC4" w:rsidRDefault="00613CC4">
            <w:pPr>
              <w:spacing w:before="20" w:after="20"/>
              <w:jc w:val="right"/>
              <w:rPr>
                <w:noProof/>
                <w:sz w:val="20"/>
              </w:rPr>
            </w:pPr>
          </w:p>
        </w:tc>
        <w:tc>
          <w:tcPr>
            <w:tcW w:w="868" w:type="dxa"/>
            <w:vAlign w:val="center"/>
          </w:tcPr>
          <w:p w:rsidR="00613CC4" w:rsidRDefault="00613CC4">
            <w:pPr>
              <w:spacing w:before="20" w:after="20"/>
              <w:jc w:val="right"/>
              <w:rPr>
                <w:b/>
                <w:noProof/>
                <w:sz w:val="20"/>
              </w:rPr>
            </w:pPr>
          </w:p>
        </w:tc>
        <w:tc>
          <w:tcPr>
            <w:tcW w:w="1777" w:type="dxa"/>
            <w:vAlign w:val="center"/>
          </w:tcPr>
          <w:p w:rsidR="00613CC4" w:rsidRDefault="00613CC4">
            <w:pPr>
              <w:spacing w:before="20" w:after="20"/>
              <w:jc w:val="right"/>
              <w:rPr>
                <w:b/>
                <w:noProof/>
                <w:sz w:val="20"/>
              </w:rPr>
            </w:pPr>
          </w:p>
        </w:tc>
      </w:tr>
    </w:tbl>
    <w:p w:rsidR="00613CC4" w:rsidRDefault="00950A85">
      <w:pPr>
        <w:jc w:val="right"/>
        <w:rPr>
          <w:noProof/>
          <w:sz w:val="20"/>
        </w:rPr>
      </w:pPr>
      <w:r>
        <w:rPr>
          <w:noProof/>
          <w:sz w:val="20"/>
        </w:rPr>
        <w:t>i mio. EUR (tre decimaler)</w:t>
      </w:r>
    </w:p>
    <w:tbl>
      <w:tblPr>
        <w:tblW w:w="1482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868"/>
        <w:gridCol w:w="868"/>
        <w:gridCol w:w="960"/>
      </w:tblGrid>
      <w:tr w:rsidR="00613CC4">
        <w:tc>
          <w:tcPr>
            <w:tcW w:w="3960" w:type="dxa"/>
            <w:tcBorders>
              <w:top w:val="nil"/>
              <w:left w:val="nil"/>
              <w:right w:val="nil"/>
            </w:tcBorders>
            <w:vAlign w:val="center"/>
          </w:tcPr>
          <w:p w:rsidR="00613CC4" w:rsidRDefault="00613CC4">
            <w:pPr>
              <w:jc w:val="center"/>
              <w:rPr>
                <w:noProof/>
              </w:rPr>
            </w:pPr>
          </w:p>
        </w:tc>
        <w:tc>
          <w:tcPr>
            <w:tcW w:w="1560" w:type="dxa"/>
            <w:tcBorders>
              <w:top w:val="nil"/>
              <w:left w:val="nil"/>
              <w:right w:val="nil"/>
            </w:tcBorders>
          </w:tcPr>
          <w:p w:rsidR="00613CC4" w:rsidRDefault="00613CC4">
            <w:pPr>
              <w:rPr>
                <w:noProof/>
                <w:sz w:val="20"/>
              </w:rPr>
            </w:pPr>
          </w:p>
        </w:tc>
        <w:tc>
          <w:tcPr>
            <w:tcW w:w="534" w:type="dxa"/>
            <w:tcBorders>
              <w:top w:val="nil"/>
              <w:left w:val="nil"/>
            </w:tcBorders>
          </w:tcPr>
          <w:p w:rsidR="00613CC4" w:rsidRDefault="00613CC4">
            <w:pPr>
              <w:jc w:val="center"/>
              <w:rPr>
                <w:noProof/>
                <w:sz w:val="20"/>
              </w:rPr>
            </w:pPr>
          </w:p>
        </w:tc>
        <w:tc>
          <w:tcPr>
            <w:tcW w:w="868" w:type="dxa"/>
          </w:tcPr>
          <w:p w:rsidR="00613CC4" w:rsidRDefault="00950A85">
            <w:pPr>
              <w:jc w:val="center"/>
              <w:rPr>
                <w:noProof/>
                <w:sz w:val="20"/>
              </w:rPr>
            </w:pPr>
            <w:r>
              <w:rPr>
                <w:noProof/>
                <w:sz w:val="20"/>
              </w:rPr>
              <w:t xml:space="preserve">År </w:t>
            </w:r>
            <w:r>
              <w:rPr>
                <w:b/>
                <w:noProof/>
                <w:sz w:val="20"/>
              </w:rPr>
              <w:t>2019</w:t>
            </w:r>
            <w:r>
              <w:rPr>
                <w:rStyle w:val="FootnoteReference"/>
                <w:noProof/>
              </w:rPr>
              <w:footnoteReference w:id="44"/>
            </w:r>
          </w:p>
        </w:tc>
        <w:tc>
          <w:tcPr>
            <w:tcW w:w="868" w:type="dxa"/>
            <w:vAlign w:val="center"/>
          </w:tcPr>
          <w:p w:rsidR="00613CC4" w:rsidRDefault="00950A85">
            <w:pPr>
              <w:jc w:val="center"/>
              <w:rPr>
                <w:noProof/>
                <w:sz w:val="20"/>
              </w:rPr>
            </w:pPr>
            <w:r>
              <w:rPr>
                <w:noProof/>
                <w:sz w:val="20"/>
              </w:rPr>
              <w:t>År</w:t>
            </w:r>
            <w:r>
              <w:rPr>
                <w:noProof/>
                <w:sz w:val="22"/>
              </w:rPr>
              <w:br/>
            </w:r>
            <w:r>
              <w:rPr>
                <w:b/>
                <w:noProof/>
                <w:sz w:val="20"/>
              </w:rPr>
              <w:t>2020</w:t>
            </w:r>
          </w:p>
        </w:tc>
        <w:tc>
          <w:tcPr>
            <w:tcW w:w="868" w:type="dxa"/>
            <w:vAlign w:val="center"/>
          </w:tcPr>
          <w:p w:rsidR="00613CC4" w:rsidRDefault="00950A85">
            <w:pPr>
              <w:jc w:val="center"/>
              <w:rPr>
                <w:noProof/>
                <w:sz w:val="20"/>
              </w:rPr>
            </w:pPr>
            <w:r>
              <w:rPr>
                <w:noProof/>
                <w:sz w:val="20"/>
              </w:rPr>
              <w:t>År</w:t>
            </w:r>
            <w:r>
              <w:rPr>
                <w:noProof/>
                <w:sz w:val="22"/>
              </w:rPr>
              <w:br/>
            </w:r>
            <w:r>
              <w:rPr>
                <w:b/>
                <w:noProof/>
                <w:sz w:val="20"/>
              </w:rPr>
              <w:t>2021</w:t>
            </w:r>
          </w:p>
        </w:tc>
        <w:tc>
          <w:tcPr>
            <w:tcW w:w="868" w:type="dxa"/>
            <w:vAlign w:val="center"/>
          </w:tcPr>
          <w:p w:rsidR="00613CC4" w:rsidRDefault="00950A85">
            <w:pPr>
              <w:jc w:val="center"/>
              <w:rPr>
                <w:noProof/>
                <w:sz w:val="20"/>
              </w:rPr>
            </w:pPr>
            <w:r>
              <w:rPr>
                <w:noProof/>
                <w:sz w:val="20"/>
              </w:rPr>
              <w:t>År</w:t>
            </w:r>
            <w:r>
              <w:rPr>
                <w:noProof/>
                <w:sz w:val="22"/>
              </w:rPr>
              <w:br/>
            </w:r>
            <w:r>
              <w:rPr>
                <w:b/>
                <w:noProof/>
                <w:sz w:val="20"/>
              </w:rPr>
              <w:t>2022</w:t>
            </w:r>
          </w:p>
        </w:tc>
        <w:tc>
          <w:tcPr>
            <w:tcW w:w="868" w:type="dxa"/>
            <w:vAlign w:val="center"/>
          </w:tcPr>
          <w:p w:rsidR="00613CC4" w:rsidRDefault="00950A85">
            <w:pPr>
              <w:jc w:val="center"/>
              <w:rPr>
                <w:noProof/>
                <w:sz w:val="20"/>
              </w:rPr>
            </w:pPr>
            <w:r>
              <w:rPr>
                <w:noProof/>
                <w:sz w:val="20"/>
              </w:rPr>
              <w:t>År</w:t>
            </w:r>
            <w:r>
              <w:rPr>
                <w:noProof/>
                <w:sz w:val="22"/>
              </w:rPr>
              <w:br/>
            </w:r>
            <w:r>
              <w:rPr>
                <w:b/>
                <w:noProof/>
                <w:sz w:val="20"/>
              </w:rPr>
              <w:t>2023</w:t>
            </w:r>
          </w:p>
        </w:tc>
        <w:tc>
          <w:tcPr>
            <w:tcW w:w="868" w:type="dxa"/>
            <w:vAlign w:val="center"/>
          </w:tcPr>
          <w:p w:rsidR="00613CC4" w:rsidRDefault="00950A85">
            <w:pPr>
              <w:jc w:val="center"/>
              <w:rPr>
                <w:b/>
                <w:noProof/>
                <w:sz w:val="18"/>
              </w:rPr>
            </w:pPr>
            <w:r>
              <w:rPr>
                <w:noProof/>
                <w:sz w:val="20"/>
              </w:rPr>
              <w:t>År</w:t>
            </w:r>
            <w:r>
              <w:rPr>
                <w:noProof/>
                <w:sz w:val="22"/>
              </w:rPr>
              <w:br/>
            </w:r>
            <w:r>
              <w:rPr>
                <w:b/>
                <w:noProof/>
                <w:sz w:val="20"/>
              </w:rPr>
              <w:t>2024</w:t>
            </w:r>
          </w:p>
        </w:tc>
        <w:tc>
          <w:tcPr>
            <w:tcW w:w="868" w:type="dxa"/>
            <w:vAlign w:val="center"/>
          </w:tcPr>
          <w:p w:rsidR="00613CC4" w:rsidRDefault="00950A85">
            <w:pPr>
              <w:jc w:val="center"/>
              <w:rPr>
                <w:b/>
                <w:noProof/>
                <w:sz w:val="18"/>
              </w:rPr>
            </w:pPr>
            <w:r>
              <w:rPr>
                <w:noProof/>
                <w:sz w:val="20"/>
              </w:rPr>
              <w:t>År</w:t>
            </w:r>
            <w:r>
              <w:rPr>
                <w:noProof/>
                <w:sz w:val="22"/>
              </w:rPr>
              <w:br/>
            </w:r>
            <w:r>
              <w:rPr>
                <w:b/>
                <w:noProof/>
                <w:sz w:val="20"/>
              </w:rPr>
              <w:t>2025</w:t>
            </w:r>
          </w:p>
        </w:tc>
        <w:tc>
          <w:tcPr>
            <w:tcW w:w="868" w:type="dxa"/>
            <w:vAlign w:val="center"/>
          </w:tcPr>
          <w:p w:rsidR="00613CC4" w:rsidRDefault="00950A85">
            <w:pPr>
              <w:jc w:val="center"/>
              <w:rPr>
                <w:b/>
                <w:noProof/>
                <w:sz w:val="18"/>
              </w:rPr>
            </w:pPr>
            <w:r>
              <w:rPr>
                <w:noProof/>
                <w:sz w:val="20"/>
              </w:rPr>
              <w:t>År</w:t>
            </w:r>
            <w:r>
              <w:rPr>
                <w:noProof/>
                <w:sz w:val="22"/>
              </w:rPr>
              <w:br/>
            </w:r>
            <w:r>
              <w:rPr>
                <w:b/>
                <w:noProof/>
                <w:sz w:val="20"/>
              </w:rPr>
              <w:t>2026</w:t>
            </w:r>
          </w:p>
        </w:tc>
        <w:tc>
          <w:tcPr>
            <w:tcW w:w="868" w:type="dxa"/>
            <w:vAlign w:val="center"/>
          </w:tcPr>
          <w:p w:rsidR="00613CC4" w:rsidRDefault="00950A85">
            <w:pPr>
              <w:jc w:val="center"/>
              <w:rPr>
                <w:b/>
                <w:noProof/>
                <w:sz w:val="18"/>
              </w:rPr>
            </w:pPr>
            <w:r>
              <w:rPr>
                <w:noProof/>
                <w:sz w:val="20"/>
              </w:rPr>
              <w:t>År</w:t>
            </w:r>
            <w:r>
              <w:rPr>
                <w:noProof/>
                <w:sz w:val="22"/>
              </w:rPr>
              <w:br/>
            </w:r>
            <w:r>
              <w:rPr>
                <w:b/>
                <w:noProof/>
                <w:sz w:val="20"/>
              </w:rPr>
              <w:t>2027</w:t>
            </w:r>
          </w:p>
        </w:tc>
        <w:tc>
          <w:tcPr>
            <w:tcW w:w="960" w:type="dxa"/>
            <w:vAlign w:val="center"/>
          </w:tcPr>
          <w:p w:rsidR="00613CC4" w:rsidRDefault="00950A85">
            <w:pPr>
              <w:jc w:val="center"/>
              <w:rPr>
                <w:b/>
                <w:noProof/>
                <w:sz w:val="20"/>
              </w:rPr>
            </w:pPr>
            <w:r>
              <w:rPr>
                <w:b/>
                <w:noProof/>
                <w:sz w:val="20"/>
              </w:rPr>
              <w:t>I ALT</w:t>
            </w:r>
          </w:p>
        </w:tc>
      </w:tr>
      <w:tr w:rsidR="00613CC4">
        <w:tc>
          <w:tcPr>
            <w:tcW w:w="3960" w:type="dxa"/>
            <w:vMerge w:val="restart"/>
            <w:shd w:val="clear" w:color="auto" w:fill="C0C0C0"/>
            <w:vAlign w:val="center"/>
          </w:tcPr>
          <w:p w:rsidR="00613CC4" w:rsidRDefault="00950A85">
            <w:pPr>
              <w:jc w:val="center"/>
              <w:rPr>
                <w:b/>
                <w:noProof/>
              </w:rPr>
            </w:pPr>
            <w:r>
              <w:rPr>
                <w:b/>
                <w:noProof/>
                <w:sz w:val="22"/>
              </w:rPr>
              <w:t xml:space="preserve">Bevillinger I ALT </w:t>
            </w:r>
            <w:r>
              <w:rPr>
                <w:noProof/>
                <w:sz w:val="22"/>
              </w:rPr>
              <w:br/>
            </w:r>
            <w:r>
              <w:rPr>
                <w:b/>
                <w:noProof/>
                <w:sz w:val="22"/>
              </w:rPr>
              <w:t>under UDGIFTSOMRÅDE 1-5</w:t>
            </w:r>
            <w:r>
              <w:rPr>
                <w:noProof/>
                <w:sz w:val="22"/>
              </w:rPr>
              <w:br/>
              <w:t xml:space="preserve">i den flerårige finansielle </w:t>
            </w:r>
            <w:r>
              <w:rPr>
                <w:noProof/>
                <w:sz w:val="22"/>
              </w:rPr>
              <w:t>ramme</w:t>
            </w:r>
            <w:r>
              <w:rPr>
                <w:b/>
                <w:noProof/>
                <w:sz w:val="22"/>
              </w:rPr>
              <w:t xml:space="preserve"> </w:t>
            </w:r>
          </w:p>
        </w:tc>
        <w:tc>
          <w:tcPr>
            <w:tcW w:w="2094" w:type="dxa"/>
            <w:gridSpan w:val="2"/>
            <w:vAlign w:val="center"/>
          </w:tcPr>
          <w:p w:rsidR="00613CC4" w:rsidRDefault="00950A85">
            <w:pPr>
              <w:rPr>
                <w:noProof/>
                <w:sz w:val="14"/>
              </w:rPr>
            </w:pPr>
            <w:r>
              <w:rPr>
                <w:noProof/>
                <w:sz w:val="18"/>
              </w:rPr>
              <w:t>Forpligtelser</w:t>
            </w:r>
          </w:p>
        </w:tc>
        <w:tc>
          <w:tcPr>
            <w:tcW w:w="868" w:type="dxa"/>
            <w:vAlign w:val="center"/>
          </w:tcPr>
          <w:p w:rsidR="00613CC4" w:rsidRDefault="00950A85">
            <w:pPr>
              <w:spacing w:before="20" w:after="20"/>
              <w:jc w:val="center"/>
              <w:rPr>
                <w:noProof/>
                <w:sz w:val="20"/>
              </w:rPr>
            </w:pPr>
            <w:r>
              <w:rPr>
                <w:noProof/>
                <w:sz w:val="20"/>
              </w:rPr>
              <w:t>0,360</w:t>
            </w:r>
          </w:p>
        </w:tc>
        <w:tc>
          <w:tcPr>
            <w:tcW w:w="868" w:type="dxa"/>
            <w:vAlign w:val="center"/>
          </w:tcPr>
          <w:p w:rsidR="00613CC4" w:rsidRDefault="00950A85">
            <w:pPr>
              <w:spacing w:before="20" w:after="20"/>
              <w:jc w:val="center"/>
              <w:rPr>
                <w:noProof/>
                <w:sz w:val="20"/>
              </w:rPr>
            </w:pPr>
            <w:r>
              <w:rPr>
                <w:noProof/>
                <w:sz w:val="20"/>
              </w:rPr>
              <w:t>0,500</w:t>
            </w:r>
          </w:p>
        </w:tc>
        <w:tc>
          <w:tcPr>
            <w:tcW w:w="868" w:type="dxa"/>
            <w:vAlign w:val="center"/>
          </w:tcPr>
          <w:p w:rsidR="00613CC4" w:rsidRDefault="00950A85">
            <w:pPr>
              <w:spacing w:before="20" w:after="20"/>
              <w:jc w:val="center"/>
              <w:rPr>
                <w:noProof/>
                <w:sz w:val="20"/>
              </w:rPr>
            </w:pPr>
            <w:r>
              <w:rPr>
                <w:noProof/>
                <w:sz w:val="20"/>
              </w:rPr>
              <w:t>4,500</w:t>
            </w:r>
          </w:p>
        </w:tc>
        <w:tc>
          <w:tcPr>
            <w:tcW w:w="868" w:type="dxa"/>
            <w:vAlign w:val="center"/>
          </w:tcPr>
          <w:p w:rsidR="00613CC4" w:rsidRDefault="00950A85">
            <w:pPr>
              <w:spacing w:before="20" w:after="20"/>
              <w:jc w:val="center"/>
              <w:rPr>
                <w:noProof/>
                <w:sz w:val="20"/>
              </w:rPr>
            </w:pPr>
            <w:r>
              <w:rPr>
                <w:noProof/>
                <w:sz w:val="20"/>
              </w:rPr>
              <w:t>0,500</w:t>
            </w:r>
          </w:p>
        </w:tc>
        <w:tc>
          <w:tcPr>
            <w:tcW w:w="868" w:type="dxa"/>
            <w:vAlign w:val="center"/>
          </w:tcPr>
          <w:p w:rsidR="00613CC4" w:rsidRDefault="00950A85">
            <w:pPr>
              <w:spacing w:before="40" w:after="40"/>
              <w:jc w:val="center"/>
              <w:rPr>
                <w:noProof/>
                <w:sz w:val="20"/>
              </w:rPr>
            </w:pPr>
            <w:r>
              <w:rPr>
                <w:noProof/>
                <w:sz w:val="20"/>
              </w:rPr>
              <w:t>5,000</w:t>
            </w:r>
          </w:p>
        </w:tc>
        <w:tc>
          <w:tcPr>
            <w:tcW w:w="868" w:type="dxa"/>
            <w:vAlign w:val="center"/>
          </w:tcPr>
          <w:p w:rsidR="00613CC4" w:rsidRDefault="00950A85">
            <w:pPr>
              <w:spacing w:before="40" w:after="40"/>
              <w:jc w:val="center"/>
              <w:rPr>
                <w:noProof/>
                <w:sz w:val="20"/>
              </w:rPr>
            </w:pPr>
            <w:r>
              <w:rPr>
                <w:noProof/>
                <w:sz w:val="20"/>
              </w:rPr>
              <w:t>0,500</w:t>
            </w:r>
          </w:p>
        </w:tc>
        <w:tc>
          <w:tcPr>
            <w:tcW w:w="868" w:type="dxa"/>
            <w:vAlign w:val="center"/>
          </w:tcPr>
          <w:p w:rsidR="00613CC4" w:rsidRDefault="00950A85">
            <w:pPr>
              <w:spacing w:before="20" w:after="20"/>
              <w:jc w:val="center"/>
              <w:rPr>
                <w:noProof/>
                <w:sz w:val="20"/>
              </w:rPr>
            </w:pPr>
            <w:r>
              <w:rPr>
                <w:noProof/>
                <w:sz w:val="20"/>
              </w:rPr>
              <w:t>0,500</w:t>
            </w:r>
          </w:p>
        </w:tc>
        <w:tc>
          <w:tcPr>
            <w:tcW w:w="868" w:type="dxa"/>
            <w:vAlign w:val="center"/>
          </w:tcPr>
          <w:p w:rsidR="00613CC4" w:rsidRDefault="00950A85">
            <w:pPr>
              <w:spacing w:before="20" w:after="20"/>
              <w:jc w:val="center"/>
              <w:rPr>
                <w:noProof/>
                <w:sz w:val="20"/>
              </w:rPr>
            </w:pPr>
            <w:r>
              <w:rPr>
                <w:noProof/>
                <w:sz w:val="20"/>
              </w:rPr>
              <w:t>0,500</w:t>
            </w:r>
          </w:p>
        </w:tc>
        <w:tc>
          <w:tcPr>
            <w:tcW w:w="868" w:type="dxa"/>
            <w:vAlign w:val="center"/>
          </w:tcPr>
          <w:p w:rsidR="00613CC4" w:rsidRDefault="00950A85">
            <w:pPr>
              <w:spacing w:before="20" w:after="20"/>
              <w:jc w:val="center"/>
              <w:rPr>
                <w:b/>
                <w:noProof/>
                <w:sz w:val="20"/>
              </w:rPr>
            </w:pPr>
            <w:r>
              <w:rPr>
                <w:noProof/>
                <w:sz w:val="20"/>
              </w:rPr>
              <w:t>4,000</w:t>
            </w:r>
          </w:p>
        </w:tc>
        <w:tc>
          <w:tcPr>
            <w:tcW w:w="960" w:type="dxa"/>
            <w:vAlign w:val="center"/>
          </w:tcPr>
          <w:p w:rsidR="00613CC4" w:rsidRDefault="00950A85">
            <w:pPr>
              <w:spacing w:before="20" w:after="20"/>
              <w:jc w:val="center"/>
              <w:rPr>
                <w:b/>
                <w:noProof/>
                <w:sz w:val="20"/>
              </w:rPr>
            </w:pPr>
            <w:r>
              <w:rPr>
                <w:b/>
                <w:noProof/>
                <w:sz w:val="20"/>
              </w:rPr>
              <w:t>17,360</w:t>
            </w:r>
          </w:p>
        </w:tc>
      </w:tr>
      <w:tr w:rsidR="00613CC4">
        <w:tc>
          <w:tcPr>
            <w:tcW w:w="3960" w:type="dxa"/>
            <w:vMerge/>
            <w:shd w:val="clear" w:color="auto" w:fill="C0C0C0"/>
          </w:tcPr>
          <w:p w:rsidR="00613CC4" w:rsidRDefault="00613CC4">
            <w:pPr>
              <w:rPr>
                <w:noProof/>
                <w:sz w:val="20"/>
              </w:rPr>
            </w:pPr>
          </w:p>
        </w:tc>
        <w:tc>
          <w:tcPr>
            <w:tcW w:w="2094" w:type="dxa"/>
            <w:gridSpan w:val="2"/>
            <w:vAlign w:val="center"/>
          </w:tcPr>
          <w:p w:rsidR="00613CC4" w:rsidRDefault="00950A85">
            <w:pPr>
              <w:rPr>
                <w:noProof/>
                <w:sz w:val="14"/>
              </w:rPr>
            </w:pPr>
            <w:r>
              <w:rPr>
                <w:noProof/>
                <w:sz w:val="18"/>
              </w:rPr>
              <w:t>Betalinger</w:t>
            </w:r>
          </w:p>
        </w:tc>
        <w:tc>
          <w:tcPr>
            <w:tcW w:w="868" w:type="dxa"/>
            <w:vAlign w:val="center"/>
          </w:tcPr>
          <w:p w:rsidR="00613CC4" w:rsidRDefault="00950A85">
            <w:pPr>
              <w:spacing w:before="20" w:after="20"/>
              <w:jc w:val="center"/>
              <w:rPr>
                <w:noProof/>
                <w:sz w:val="20"/>
              </w:rPr>
            </w:pPr>
            <w:r>
              <w:rPr>
                <w:noProof/>
                <w:sz w:val="20"/>
              </w:rPr>
              <w:t>0,180</w:t>
            </w:r>
          </w:p>
        </w:tc>
        <w:tc>
          <w:tcPr>
            <w:tcW w:w="868" w:type="dxa"/>
            <w:vAlign w:val="center"/>
          </w:tcPr>
          <w:p w:rsidR="00613CC4" w:rsidRDefault="00950A85">
            <w:pPr>
              <w:spacing w:before="20" w:after="20"/>
              <w:jc w:val="center"/>
              <w:rPr>
                <w:noProof/>
                <w:sz w:val="20"/>
              </w:rPr>
            </w:pPr>
            <w:r>
              <w:rPr>
                <w:noProof/>
                <w:sz w:val="20"/>
              </w:rPr>
              <w:t>0,430</w:t>
            </w:r>
          </w:p>
        </w:tc>
        <w:tc>
          <w:tcPr>
            <w:tcW w:w="868" w:type="dxa"/>
            <w:vAlign w:val="center"/>
          </w:tcPr>
          <w:p w:rsidR="00613CC4" w:rsidRDefault="00950A85">
            <w:pPr>
              <w:spacing w:before="20" w:after="20"/>
              <w:jc w:val="center"/>
              <w:rPr>
                <w:noProof/>
                <w:sz w:val="20"/>
              </w:rPr>
            </w:pPr>
            <w:r>
              <w:rPr>
                <w:noProof/>
                <w:sz w:val="20"/>
              </w:rPr>
              <w:t>2,750</w:t>
            </w:r>
          </w:p>
        </w:tc>
        <w:tc>
          <w:tcPr>
            <w:tcW w:w="868" w:type="dxa"/>
            <w:vAlign w:val="center"/>
          </w:tcPr>
          <w:p w:rsidR="00613CC4" w:rsidRDefault="00950A85">
            <w:pPr>
              <w:spacing w:before="20" w:after="20"/>
              <w:jc w:val="center"/>
              <w:rPr>
                <w:noProof/>
                <w:sz w:val="20"/>
              </w:rPr>
            </w:pPr>
            <w:r>
              <w:rPr>
                <w:noProof/>
                <w:sz w:val="20"/>
              </w:rPr>
              <w:t>2,750</w:t>
            </w:r>
          </w:p>
        </w:tc>
        <w:tc>
          <w:tcPr>
            <w:tcW w:w="868" w:type="dxa"/>
            <w:vAlign w:val="center"/>
          </w:tcPr>
          <w:p w:rsidR="00613CC4" w:rsidRDefault="00950A85">
            <w:pPr>
              <w:spacing w:before="20" w:after="20"/>
              <w:jc w:val="center"/>
              <w:rPr>
                <w:noProof/>
                <w:sz w:val="20"/>
              </w:rPr>
            </w:pPr>
            <w:r>
              <w:rPr>
                <w:noProof/>
                <w:sz w:val="20"/>
              </w:rPr>
              <w:t>3,000</w:t>
            </w:r>
          </w:p>
        </w:tc>
        <w:tc>
          <w:tcPr>
            <w:tcW w:w="868" w:type="dxa"/>
            <w:vAlign w:val="center"/>
          </w:tcPr>
          <w:p w:rsidR="00613CC4" w:rsidRDefault="00950A85">
            <w:pPr>
              <w:spacing w:before="20" w:after="20"/>
              <w:jc w:val="center"/>
              <w:rPr>
                <w:noProof/>
                <w:sz w:val="20"/>
              </w:rPr>
            </w:pPr>
            <w:r>
              <w:rPr>
                <w:noProof/>
                <w:sz w:val="20"/>
              </w:rPr>
              <w:t>3,000</w:t>
            </w:r>
          </w:p>
        </w:tc>
        <w:tc>
          <w:tcPr>
            <w:tcW w:w="868" w:type="dxa"/>
            <w:vAlign w:val="center"/>
          </w:tcPr>
          <w:p w:rsidR="00613CC4" w:rsidRDefault="00950A85">
            <w:pPr>
              <w:spacing w:before="20" w:after="20"/>
              <w:jc w:val="center"/>
              <w:rPr>
                <w:noProof/>
                <w:sz w:val="20"/>
              </w:rPr>
            </w:pPr>
            <w:r>
              <w:rPr>
                <w:noProof/>
                <w:sz w:val="20"/>
              </w:rPr>
              <w:t>0,550</w:t>
            </w:r>
          </w:p>
        </w:tc>
        <w:tc>
          <w:tcPr>
            <w:tcW w:w="868" w:type="dxa"/>
            <w:vAlign w:val="center"/>
          </w:tcPr>
          <w:p w:rsidR="00613CC4" w:rsidRDefault="00950A85">
            <w:pPr>
              <w:spacing w:before="20" w:after="20"/>
              <w:jc w:val="center"/>
              <w:rPr>
                <w:noProof/>
                <w:sz w:val="20"/>
              </w:rPr>
            </w:pPr>
            <w:r>
              <w:rPr>
                <w:noProof/>
                <w:sz w:val="20"/>
              </w:rPr>
              <w:t>2,300</w:t>
            </w:r>
          </w:p>
        </w:tc>
        <w:tc>
          <w:tcPr>
            <w:tcW w:w="868" w:type="dxa"/>
            <w:vAlign w:val="center"/>
          </w:tcPr>
          <w:p w:rsidR="00613CC4" w:rsidRDefault="00950A85">
            <w:pPr>
              <w:spacing w:before="20" w:after="20"/>
              <w:jc w:val="center"/>
              <w:rPr>
                <w:noProof/>
                <w:sz w:val="20"/>
              </w:rPr>
            </w:pPr>
            <w:r>
              <w:rPr>
                <w:noProof/>
                <w:sz w:val="20"/>
              </w:rPr>
              <w:t>2,400</w:t>
            </w:r>
          </w:p>
        </w:tc>
        <w:tc>
          <w:tcPr>
            <w:tcW w:w="960" w:type="dxa"/>
            <w:vAlign w:val="center"/>
          </w:tcPr>
          <w:p w:rsidR="00613CC4" w:rsidRDefault="00950A85">
            <w:pPr>
              <w:spacing w:before="20" w:after="20"/>
              <w:jc w:val="center"/>
              <w:rPr>
                <w:b/>
                <w:noProof/>
                <w:sz w:val="20"/>
              </w:rPr>
            </w:pPr>
            <w:r>
              <w:rPr>
                <w:b/>
                <w:noProof/>
                <w:sz w:val="20"/>
              </w:rPr>
              <w:t>17,360</w:t>
            </w:r>
          </w:p>
        </w:tc>
      </w:tr>
    </w:tbl>
    <w:p w:rsidR="00613CC4" w:rsidRDefault="00613CC4">
      <w:pPr>
        <w:rPr>
          <w:noProof/>
        </w:rPr>
      </w:pPr>
    </w:p>
    <w:p w:rsidR="00613CC4" w:rsidRDefault="00613CC4">
      <w:pPr>
        <w:rPr>
          <w:noProof/>
        </w:rPr>
        <w:sectPr w:rsidR="00613CC4">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rsidR="00613CC4" w:rsidRDefault="00950A85">
      <w:pPr>
        <w:pStyle w:val="ManualHeading3"/>
        <w:rPr>
          <w:bCs/>
          <w:noProof/>
          <w:szCs w:val="24"/>
        </w:rPr>
      </w:pPr>
      <w:r>
        <w:t>3.2.2.</w:t>
      </w:r>
      <w:r>
        <w:tab/>
      </w:r>
      <w:r>
        <w:rPr>
          <w:noProof/>
        </w:rPr>
        <w:t xml:space="preserve">Anslåede virkninger for aktionsbevillingerne </w:t>
      </w:r>
    </w:p>
    <w:p w:rsidR="00613CC4" w:rsidRDefault="00950A85">
      <w:pPr>
        <w:pStyle w:val="ListDash1"/>
        <w:rPr>
          <w:noProof/>
        </w:rPr>
      </w:pPr>
      <w:r>
        <w:rPr>
          <w:noProof/>
        </w:rPr>
        <w:sym w:font="Wingdings" w:char="F0A8"/>
      </w:r>
      <w:r>
        <w:rPr>
          <w:noProof/>
        </w:rPr>
        <w:tab/>
        <w:t xml:space="preserve">Forslaget/initiativet medfører ikke anvendelse af aktionsbevillinger </w:t>
      </w:r>
    </w:p>
    <w:p w:rsidR="00613CC4" w:rsidRDefault="00950A85">
      <w:pPr>
        <w:pStyle w:val="ListDash1"/>
        <w:rPr>
          <w:noProof/>
        </w:rPr>
      </w:pPr>
      <w:r>
        <w:rPr>
          <w:noProof/>
        </w:rPr>
        <w:sym w:font="Wingdings" w:char="F0A8"/>
      </w:r>
      <w:r>
        <w:rPr>
          <w:noProof/>
        </w:rPr>
        <w:tab/>
        <w:t>Forslaget/initiativet medfører anvendelse af aktionsbevillinger som anført herunder:</w:t>
      </w:r>
    </w:p>
    <w:p w:rsidR="00613CC4" w:rsidRDefault="00950A85">
      <w:pPr>
        <w:jc w:val="right"/>
        <w:rPr>
          <w:noProof/>
          <w:sz w:val="20"/>
        </w:rPr>
      </w:pPr>
      <w:r>
        <w:rPr>
          <w:noProof/>
          <w:sz w:val="20"/>
        </w:rPr>
        <w:t>Forpligtelsesbevillinger i mio. EUR (tre decimaler)</w:t>
      </w:r>
    </w:p>
    <w:tbl>
      <w:tblPr>
        <w:tblW w:w="14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085"/>
        <w:gridCol w:w="686"/>
        <w:gridCol w:w="236"/>
        <w:gridCol w:w="649"/>
        <w:gridCol w:w="311"/>
        <w:gridCol w:w="649"/>
        <w:gridCol w:w="431"/>
        <w:gridCol w:w="769"/>
        <w:gridCol w:w="431"/>
        <w:gridCol w:w="649"/>
        <w:gridCol w:w="494"/>
        <w:gridCol w:w="706"/>
        <w:gridCol w:w="431"/>
        <w:gridCol w:w="769"/>
        <w:gridCol w:w="431"/>
        <w:gridCol w:w="769"/>
        <w:gridCol w:w="433"/>
        <w:gridCol w:w="767"/>
        <w:gridCol w:w="433"/>
        <w:gridCol w:w="887"/>
        <w:gridCol w:w="840"/>
        <w:gridCol w:w="17"/>
      </w:tblGrid>
      <w:tr w:rsidR="00613CC4">
        <w:trPr>
          <w:gridAfter w:val="1"/>
          <w:wAfter w:w="17" w:type="dxa"/>
          <w:jc w:val="center"/>
        </w:trPr>
        <w:tc>
          <w:tcPr>
            <w:tcW w:w="1232" w:type="dxa"/>
            <w:vMerge w:val="restart"/>
            <w:vAlign w:val="center"/>
          </w:tcPr>
          <w:p w:rsidR="00613CC4" w:rsidRDefault="00950A85">
            <w:pPr>
              <w:ind w:right="-29"/>
              <w:jc w:val="center"/>
              <w:rPr>
                <w:b/>
                <w:noProof/>
                <w:sz w:val="18"/>
                <w:szCs w:val="18"/>
              </w:rPr>
            </w:pPr>
            <w:r>
              <w:rPr>
                <w:b/>
                <w:noProof/>
                <w:sz w:val="18"/>
              </w:rPr>
              <w:t xml:space="preserve">Der angives mål og resultater </w:t>
            </w:r>
          </w:p>
          <w:p w:rsidR="00613CC4" w:rsidRDefault="00613CC4">
            <w:pPr>
              <w:ind w:right="-29"/>
              <w:jc w:val="center"/>
              <w:rPr>
                <w:b/>
                <w:noProof/>
                <w:sz w:val="18"/>
                <w:szCs w:val="18"/>
              </w:rPr>
            </w:pPr>
          </w:p>
          <w:p w:rsidR="00613CC4" w:rsidRDefault="00950A85">
            <w:pPr>
              <w:ind w:right="-29"/>
              <w:jc w:val="center"/>
              <w:rPr>
                <w:noProof/>
                <w:sz w:val="18"/>
                <w:szCs w:val="18"/>
              </w:rPr>
            </w:pPr>
            <w:r>
              <w:rPr>
                <w:noProof/>
                <w:sz w:val="18"/>
              </w:rPr>
              <w:sym w:font="Wingdings" w:char="F0F2"/>
            </w:r>
          </w:p>
        </w:tc>
        <w:tc>
          <w:tcPr>
            <w:tcW w:w="1085" w:type="dxa"/>
            <w:vAlign w:val="center"/>
          </w:tcPr>
          <w:p w:rsidR="00613CC4" w:rsidRDefault="00613CC4">
            <w:pPr>
              <w:ind w:right="-29"/>
              <w:jc w:val="center"/>
              <w:rPr>
                <w:noProof/>
                <w:sz w:val="18"/>
                <w:szCs w:val="18"/>
              </w:rPr>
            </w:pPr>
          </w:p>
        </w:tc>
        <w:tc>
          <w:tcPr>
            <w:tcW w:w="686" w:type="dxa"/>
            <w:vAlign w:val="center"/>
          </w:tcPr>
          <w:p w:rsidR="00613CC4" w:rsidRDefault="00613CC4">
            <w:pPr>
              <w:ind w:right="-29"/>
              <w:jc w:val="center"/>
              <w:rPr>
                <w:noProof/>
                <w:sz w:val="18"/>
                <w:szCs w:val="18"/>
              </w:rPr>
            </w:pPr>
          </w:p>
        </w:tc>
        <w:tc>
          <w:tcPr>
            <w:tcW w:w="885" w:type="dxa"/>
            <w:gridSpan w:val="2"/>
            <w:tcBorders>
              <w:left w:val="nil"/>
            </w:tcBorders>
          </w:tcPr>
          <w:p w:rsidR="00613CC4" w:rsidRDefault="00950A85">
            <w:pPr>
              <w:ind w:right="-29"/>
              <w:jc w:val="center"/>
              <w:rPr>
                <w:noProof/>
                <w:sz w:val="18"/>
                <w:szCs w:val="18"/>
              </w:rPr>
            </w:pPr>
            <w:r>
              <w:rPr>
                <w:noProof/>
                <w:sz w:val="20"/>
              </w:rPr>
              <w:t xml:space="preserve">År </w:t>
            </w:r>
            <w:r>
              <w:rPr>
                <w:b/>
                <w:noProof/>
                <w:sz w:val="20"/>
              </w:rPr>
              <w:t>2019</w:t>
            </w:r>
            <w:r>
              <w:rPr>
                <w:rStyle w:val="FootnoteReference"/>
                <w:b/>
                <w:noProof/>
                <w:sz w:val="20"/>
              </w:rPr>
              <w:footnoteReference w:id="45"/>
            </w:r>
          </w:p>
        </w:tc>
        <w:tc>
          <w:tcPr>
            <w:tcW w:w="960" w:type="dxa"/>
            <w:gridSpan w:val="2"/>
            <w:vAlign w:val="center"/>
          </w:tcPr>
          <w:p w:rsidR="00613CC4" w:rsidRDefault="00950A85">
            <w:pPr>
              <w:ind w:right="-29"/>
              <w:jc w:val="center"/>
              <w:rPr>
                <w:noProof/>
                <w:sz w:val="18"/>
                <w:szCs w:val="18"/>
              </w:rPr>
            </w:pPr>
            <w:r>
              <w:rPr>
                <w:noProof/>
                <w:sz w:val="20"/>
              </w:rPr>
              <w:t>År</w:t>
            </w:r>
            <w:r>
              <w:rPr>
                <w:noProof/>
                <w:sz w:val="22"/>
              </w:rPr>
              <w:br/>
            </w:r>
            <w:r>
              <w:rPr>
                <w:b/>
                <w:noProof/>
                <w:sz w:val="20"/>
              </w:rPr>
              <w:t>2020</w:t>
            </w:r>
          </w:p>
        </w:tc>
        <w:tc>
          <w:tcPr>
            <w:tcW w:w="1200" w:type="dxa"/>
            <w:gridSpan w:val="2"/>
            <w:vAlign w:val="center"/>
          </w:tcPr>
          <w:p w:rsidR="00613CC4" w:rsidRDefault="00950A85">
            <w:pPr>
              <w:ind w:right="-29"/>
              <w:jc w:val="center"/>
              <w:rPr>
                <w:noProof/>
                <w:sz w:val="18"/>
                <w:szCs w:val="18"/>
              </w:rPr>
            </w:pPr>
            <w:r>
              <w:rPr>
                <w:noProof/>
                <w:sz w:val="20"/>
              </w:rPr>
              <w:t>År</w:t>
            </w:r>
            <w:r>
              <w:rPr>
                <w:noProof/>
                <w:sz w:val="22"/>
              </w:rPr>
              <w:br/>
            </w:r>
            <w:r>
              <w:rPr>
                <w:b/>
                <w:noProof/>
                <w:sz w:val="20"/>
              </w:rPr>
              <w:t>2021</w:t>
            </w:r>
          </w:p>
        </w:tc>
        <w:tc>
          <w:tcPr>
            <w:tcW w:w="1080" w:type="dxa"/>
            <w:gridSpan w:val="2"/>
            <w:vAlign w:val="center"/>
          </w:tcPr>
          <w:p w:rsidR="00613CC4" w:rsidRDefault="00950A85">
            <w:pPr>
              <w:ind w:right="-29"/>
              <w:jc w:val="center"/>
              <w:rPr>
                <w:noProof/>
                <w:sz w:val="18"/>
                <w:szCs w:val="18"/>
              </w:rPr>
            </w:pPr>
            <w:r>
              <w:rPr>
                <w:noProof/>
                <w:sz w:val="20"/>
              </w:rPr>
              <w:t>År</w:t>
            </w:r>
            <w:r>
              <w:rPr>
                <w:noProof/>
                <w:sz w:val="22"/>
              </w:rPr>
              <w:br/>
            </w:r>
            <w:r>
              <w:rPr>
                <w:b/>
                <w:noProof/>
                <w:sz w:val="20"/>
              </w:rPr>
              <w:t>2022</w:t>
            </w:r>
          </w:p>
        </w:tc>
        <w:tc>
          <w:tcPr>
            <w:tcW w:w="1200" w:type="dxa"/>
            <w:gridSpan w:val="2"/>
            <w:vAlign w:val="center"/>
          </w:tcPr>
          <w:p w:rsidR="00613CC4" w:rsidRDefault="00950A85">
            <w:pPr>
              <w:ind w:right="-29"/>
              <w:jc w:val="center"/>
              <w:rPr>
                <w:b/>
                <w:noProof/>
                <w:sz w:val="18"/>
              </w:rPr>
            </w:pPr>
            <w:r>
              <w:rPr>
                <w:noProof/>
                <w:sz w:val="20"/>
              </w:rPr>
              <w:t>År</w:t>
            </w:r>
            <w:r>
              <w:rPr>
                <w:noProof/>
                <w:sz w:val="22"/>
              </w:rPr>
              <w:br/>
            </w:r>
            <w:r>
              <w:rPr>
                <w:b/>
                <w:noProof/>
                <w:sz w:val="20"/>
              </w:rPr>
              <w:t>2023</w:t>
            </w:r>
          </w:p>
        </w:tc>
        <w:tc>
          <w:tcPr>
            <w:tcW w:w="1200" w:type="dxa"/>
            <w:gridSpan w:val="2"/>
            <w:vAlign w:val="center"/>
          </w:tcPr>
          <w:p w:rsidR="00613CC4" w:rsidRDefault="00950A85">
            <w:pPr>
              <w:ind w:right="-29"/>
              <w:jc w:val="center"/>
              <w:rPr>
                <w:b/>
                <w:noProof/>
                <w:sz w:val="18"/>
              </w:rPr>
            </w:pPr>
            <w:r>
              <w:rPr>
                <w:noProof/>
                <w:sz w:val="20"/>
              </w:rPr>
              <w:t>År</w:t>
            </w:r>
            <w:r>
              <w:rPr>
                <w:noProof/>
                <w:sz w:val="22"/>
              </w:rPr>
              <w:br/>
            </w:r>
            <w:r>
              <w:rPr>
                <w:b/>
                <w:noProof/>
                <w:sz w:val="20"/>
              </w:rPr>
              <w:t>2024</w:t>
            </w:r>
          </w:p>
        </w:tc>
        <w:tc>
          <w:tcPr>
            <w:tcW w:w="1200" w:type="dxa"/>
            <w:gridSpan w:val="2"/>
            <w:vAlign w:val="center"/>
          </w:tcPr>
          <w:p w:rsidR="00613CC4" w:rsidRDefault="00950A85">
            <w:pPr>
              <w:ind w:right="-29"/>
              <w:jc w:val="center"/>
              <w:rPr>
                <w:b/>
                <w:noProof/>
                <w:sz w:val="18"/>
              </w:rPr>
            </w:pPr>
            <w:r>
              <w:rPr>
                <w:noProof/>
                <w:sz w:val="20"/>
              </w:rPr>
              <w:t>År</w:t>
            </w:r>
            <w:r>
              <w:rPr>
                <w:noProof/>
                <w:sz w:val="22"/>
              </w:rPr>
              <w:br/>
            </w:r>
            <w:r>
              <w:rPr>
                <w:b/>
                <w:noProof/>
                <w:sz w:val="20"/>
              </w:rPr>
              <w:t>2025</w:t>
            </w:r>
          </w:p>
        </w:tc>
        <w:tc>
          <w:tcPr>
            <w:tcW w:w="1200" w:type="dxa"/>
            <w:gridSpan w:val="2"/>
          </w:tcPr>
          <w:p w:rsidR="00613CC4" w:rsidRDefault="00950A85">
            <w:pPr>
              <w:ind w:right="-29"/>
              <w:jc w:val="center"/>
              <w:rPr>
                <w:b/>
                <w:noProof/>
                <w:sz w:val="18"/>
              </w:rPr>
            </w:pPr>
            <w:r>
              <w:rPr>
                <w:noProof/>
                <w:sz w:val="20"/>
              </w:rPr>
              <w:t>År</w:t>
            </w:r>
            <w:r>
              <w:rPr>
                <w:noProof/>
                <w:sz w:val="22"/>
              </w:rPr>
              <w:br/>
            </w:r>
            <w:r>
              <w:rPr>
                <w:b/>
                <w:noProof/>
                <w:sz w:val="20"/>
              </w:rPr>
              <w:t>2026</w:t>
            </w:r>
          </w:p>
        </w:tc>
        <w:tc>
          <w:tcPr>
            <w:tcW w:w="1320" w:type="dxa"/>
            <w:gridSpan w:val="2"/>
            <w:vAlign w:val="center"/>
          </w:tcPr>
          <w:p w:rsidR="00613CC4" w:rsidRDefault="00950A85">
            <w:pPr>
              <w:ind w:right="-29"/>
              <w:jc w:val="center"/>
              <w:rPr>
                <w:b/>
                <w:noProof/>
                <w:sz w:val="18"/>
              </w:rPr>
            </w:pPr>
            <w:r>
              <w:rPr>
                <w:noProof/>
                <w:sz w:val="20"/>
              </w:rPr>
              <w:t>År</w:t>
            </w:r>
            <w:r>
              <w:rPr>
                <w:noProof/>
                <w:sz w:val="22"/>
              </w:rPr>
              <w:br/>
            </w:r>
            <w:r>
              <w:rPr>
                <w:b/>
                <w:noProof/>
                <w:sz w:val="20"/>
              </w:rPr>
              <w:t>2027</w:t>
            </w:r>
          </w:p>
        </w:tc>
        <w:tc>
          <w:tcPr>
            <w:tcW w:w="840" w:type="dxa"/>
            <w:tcBorders>
              <w:left w:val="nil"/>
              <w:bottom w:val="nil"/>
            </w:tcBorders>
            <w:vAlign w:val="center"/>
          </w:tcPr>
          <w:p w:rsidR="00613CC4" w:rsidRDefault="00950A85">
            <w:pPr>
              <w:ind w:right="-29"/>
              <w:jc w:val="center"/>
              <w:rPr>
                <w:noProof/>
                <w:sz w:val="18"/>
                <w:szCs w:val="18"/>
              </w:rPr>
            </w:pPr>
            <w:r>
              <w:rPr>
                <w:b/>
                <w:noProof/>
                <w:sz w:val="18"/>
              </w:rPr>
              <w:t>I ALT</w:t>
            </w:r>
          </w:p>
        </w:tc>
      </w:tr>
      <w:tr w:rsidR="00613CC4">
        <w:trPr>
          <w:cantSplit/>
          <w:trHeight w:val="1134"/>
          <w:jc w:val="center"/>
        </w:trPr>
        <w:tc>
          <w:tcPr>
            <w:tcW w:w="1232" w:type="dxa"/>
            <w:vMerge/>
            <w:vAlign w:val="center"/>
          </w:tcPr>
          <w:p w:rsidR="00613CC4" w:rsidRDefault="00613CC4">
            <w:pPr>
              <w:rPr>
                <w:noProof/>
                <w:sz w:val="18"/>
                <w:szCs w:val="18"/>
              </w:rPr>
            </w:pPr>
          </w:p>
        </w:tc>
        <w:tc>
          <w:tcPr>
            <w:tcW w:w="1085" w:type="dxa"/>
            <w:vAlign w:val="center"/>
          </w:tcPr>
          <w:p w:rsidR="00613CC4" w:rsidRDefault="00950A85">
            <w:pPr>
              <w:jc w:val="center"/>
              <w:rPr>
                <w:noProof/>
                <w:sz w:val="18"/>
                <w:szCs w:val="18"/>
              </w:rPr>
            </w:pPr>
            <w:r>
              <w:rPr>
                <w:noProof/>
                <w:sz w:val="18"/>
              </w:rPr>
              <w:t>Type</w:t>
            </w:r>
            <w:r>
              <w:rPr>
                <w:rStyle w:val="FootnoteReference"/>
                <w:noProof/>
                <w:sz w:val="18"/>
              </w:rPr>
              <w:footnoteReference w:id="46"/>
            </w:r>
          </w:p>
          <w:p w:rsidR="00613CC4" w:rsidRDefault="00613CC4">
            <w:pPr>
              <w:spacing w:before="0" w:after="0"/>
              <w:jc w:val="center"/>
              <w:rPr>
                <w:noProof/>
                <w:sz w:val="18"/>
                <w:szCs w:val="18"/>
              </w:rPr>
            </w:pPr>
          </w:p>
        </w:tc>
        <w:tc>
          <w:tcPr>
            <w:tcW w:w="686" w:type="dxa"/>
            <w:vAlign w:val="center"/>
          </w:tcPr>
          <w:p w:rsidR="00613CC4" w:rsidRDefault="00950A85">
            <w:pPr>
              <w:jc w:val="center"/>
              <w:rPr>
                <w:noProof/>
                <w:sz w:val="18"/>
                <w:szCs w:val="18"/>
              </w:rPr>
            </w:pPr>
            <w:r>
              <w:rPr>
                <w:noProof/>
                <w:sz w:val="18"/>
              </w:rPr>
              <w:t>Resultaternes gnsntl. omkostninger</w:t>
            </w:r>
          </w:p>
        </w:tc>
        <w:tc>
          <w:tcPr>
            <w:tcW w:w="236" w:type="dxa"/>
            <w:tcBorders>
              <w:left w:val="nil"/>
              <w:right w:val="dashSmallGap" w:sz="4" w:space="0" w:color="auto"/>
            </w:tcBorders>
            <w:shd w:val="pct10" w:color="auto" w:fill="auto"/>
            <w:textDirection w:val="btLr"/>
            <w:vAlign w:val="center"/>
          </w:tcPr>
          <w:p w:rsidR="00613CC4" w:rsidRDefault="00950A85">
            <w:pPr>
              <w:ind w:left="113" w:right="113"/>
              <w:jc w:val="center"/>
              <w:rPr>
                <w:noProof/>
                <w:sz w:val="18"/>
                <w:szCs w:val="18"/>
              </w:rPr>
            </w:pPr>
            <w:r>
              <w:rPr>
                <w:noProof/>
                <w:sz w:val="18"/>
              </w:rPr>
              <w:t>Antal</w:t>
            </w:r>
          </w:p>
        </w:tc>
        <w:tc>
          <w:tcPr>
            <w:tcW w:w="649" w:type="dxa"/>
            <w:tcBorders>
              <w:left w:val="dashSmallGap" w:sz="4" w:space="0" w:color="auto"/>
            </w:tcBorders>
            <w:shd w:val="pct10" w:color="auto" w:fill="auto"/>
            <w:vAlign w:val="center"/>
          </w:tcPr>
          <w:p w:rsidR="00613CC4" w:rsidRDefault="00950A85">
            <w:pPr>
              <w:jc w:val="center"/>
              <w:rPr>
                <w:noProof/>
                <w:sz w:val="18"/>
                <w:szCs w:val="18"/>
              </w:rPr>
            </w:pPr>
            <w:r>
              <w:rPr>
                <w:noProof/>
                <w:sz w:val="18"/>
              </w:rPr>
              <w:t>Omkostninger</w:t>
            </w:r>
          </w:p>
        </w:tc>
        <w:tc>
          <w:tcPr>
            <w:tcW w:w="311" w:type="dxa"/>
            <w:tcBorders>
              <w:right w:val="dashSmallGap" w:sz="4" w:space="0" w:color="auto"/>
            </w:tcBorders>
            <w:shd w:val="pct10" w:color="auto" w:fill="auto"/>
            <w:textDirection w:val="btLr"/>
            <w:vAlign w:val="center"/>
          </w:tcPr>
          <w:p w:rsidR="00613CC4" w:rsidRDefault="00950A85">
            <w:pPr>
              <w:ind w:left="113" w:right="113"/>
              <w:jc w:val="center"/>
              <w:rPr>
                <w:noProof/>
                <w:sz w:val="18"/>
                <w:szCs w:val="18"/>
              </w:rPr>
            </w:pPr>
            <w:r>
              <w:rPr>
                <w:noProof/>
                <w:sz w:val="18"/>
              </w:rPr>
              <w:t>Antal</w:t>
            </w:r>
          </w:p>
        </w:tc>
        <w:tc>
          <w:tcPr>
            <w:tcW w:w="649" w:type="dxa"/>
            <w:tcBorders>
              <w:left w:val="dashSmallGap" w:sz="4" w:space="0" w:color="auto"/>
            </w:tcBorders>
            <w:shd w:val="pct10" w:color="auto" w:fill="auto"/>
            <w:vAlign w:val="center"/>
          </w:tcPr>
          <w:p w:rsidR="00613CC4" w:rsidRDefault="00950A85">
            <w:pPr>
              <w:jc w:val="center"/>
              <w:rPr>
                <w:noProof/>
                <w:sz w:val="18"/>
                <w:szCs w:val="18"/>
              </w:rPr>
            </w:pPr>
            <w:r>
              <w:rPr>
                <w:noProof/>
                <w:sz w:val="18"/>
              </w:rPr>
              <w:t>Omkostninger</w:t>
            </w:r>
          </w:p>
        </w:tc>
        <w:tc>
          <w:tcPr>
            <w:tcW w:w="431" w:type="dxa"/>
            <w:shd w:val="pct10" w:color="auto" w:fill="auto"/>
            <w:textDirection w:val="btLr"/>
            <w:vAlign w:val="center"/>
          </w:tcPr>
          <w:p w:rsidR="00613CC4" w:rsidRDefault="00950A85">
            <w:pPr>
              <w:ind w:left="113" w:right="113"/>
              <w:jc w:val="center"/>
              <w:rPr>
                <w:noProof/>
                <w:sz w:val="18"/>
              </w:rPr>
            </w:pPr>
            <w:r>
              <w:rPr>
                <w:noProof/>
                <w:sz w:val="18"/>
              </w:rPr>
              <w:t>Antal</w:t>
            </w:r>
          </w:p>
        </w:tc>
        <w:tc>
          <w:tcPr>
            <w:tcW w:w="769" w:type="dxa"/>
            <w:shd w:val="pct10" w:color="auto" w:fill="auto"/>
            <w:vAlign w:val="center"/>
          </w:tcPr>
          <w:p w:rsidR="00613CC4" w:rsidRDefault="00950A85">
            <w:pPr>
              <w:ind w:left="113" w:right="113"/>
              <w:jc w:val="center"/>
              <w:rPr>
                <w:noProof/>
                <w:sz w:val="18"/>
              </w:rPr>
            </w:pPr>
            <w:r>
              <w:rPr>
                <w:noProof/>
                <w:sz w:val="18"/>
              </w:rPr>
              <w:t>Omkostninger</w:t>
            </w:r>
          </w:p>
        </w:tc>
        <w:tc>
          <w:tcPr>
            <w:tcW w:w="431" w:type="dxa"/>
            <w:shd w:val="pct10" w:color="auto" w:fill="auto"/>
            <w:textDirection w:val="btLr"/>
            <w:vAlign w:val="center"/>
          </w:tcPr>
          <w:p w:rsidR="00613CC4" w:rsidRDefault="00950A85">
            <w:pPr>
              <w:ind w:left="113" w:right="113"/>
              <w:jc w:val="center"/>
              <w:rPr>
                <w:noProof/>
                <w:sz w:val="18"/>
              </w:rPr>
            </w:pPr>
            <w:r>
              <w:rPr>
                <w:noProof/>
                <w:sz w:val="18"/>
              </w:rPr>
              <w:t>Antal</w:t>
            </w:r>
          </w:p>
        </w:tc>
        <w:tc>
          <w:tcPr>
            <w:tcW w:w="649" w:type="dxa"/>
            <w:shd w:val="pct10" w:color="auto" w:fill="auto"/>
            <w:vAlign w:val="center"/>
          </w:tcPr>
          <w:p w:rsidR="00613CC4" w:rsidRDefault="00950A85">
            <w:pPr>
              <w:ind w:left="113" w:right="113"/>
              <w:jc w:val="center"/>
              <w:rPr>
                <w:noProof/>
                <w:sz w:val="18"/>
              </w:rPr>
            </w:pPr>
            <w:r>
              <w:rPr>
                <w:noProof/>
                <w:sz w:val="18"/>
              </w:rPr>
              <w:t>Omkostninger</w:t>
            </w:r>
          </w:p>
        </w:tc>
        <w:tc>
          <w:tcPr>
            <w:tcW w:w="494" w:type="dxa"/>
            <w:shd w:val="pct10" w:color="auto" w:fill="auto"/>
            <w:textDirection w:val="btLr"/>
            <w:vAlign w:val="center"/>
          </w:tcPr>
          <w:p w:rsidR="00613CC4" w:rsidRDefault="00950A85">
            <w:pPr>
              <w:ind w:left="113" w:right="113"/>
              <w:jc w:val="center"/>
              <w:rPr>
                <w:noProof/>
                <w:sz w:val="18"/>
              </w:rPr>
            </w:pPr>
            <w:r>
              <w:rPr>
                <w:noProof/>
                <w:sz w:val="18"/>
              </w:rPr>
              <w:t>Antal</w:t>
            </w:r>
          </w:p>
        </w:tc>
        <w:tc>
          <w:tcPr>
            <w:tcW w:w="706" w:type="dxa"/>
            <w:shd w:val="pct10" w:color="auto" w:fill="auto"/>
            <w:vAlign w:val="center"/>
          </w:tcPr>
          <w:p w:rsidR="00613CC4" w:rsidRDefault="00950A85">
            <w:pPr>
              <w:ind w:left="113" w:right="113"/>
              <w:jc w:val="center"/>
              <w:rPr>
                <w:noProof/>
                <w:sz w:val="18"/>
              </w:rPr>
            </w:pPr>
            <w:r>
              <w:rPr>
                <w:noProof/>
                <w:sz w:val="18"/>
              </w:rPr>
              <w:t>Omkostninger</w:t>
            </w:r>
          </w:p>
        </w:tc>
        <w:tc>
          <w:tcPr>
            <w:tcW w:w="431" w:type="dxa"/>
            <w:shd w:val="pct10" w:color="auto" w:fill="auto"/>
            <w:textDirection w:val="btLr"/>
            <w:vAlign w:val="center"/>
          </w:tcPr>
          <w:p w:rsidR="00613CC4" w:rsidRDefault="00950A85">
            <w:pPr>
              <w:ind w:left="113" w:right="113"/>
              <w:jc w:val="center"/>
              <w:rPr>
                <w:noProof/>
                <w:sz w:val="18"/>
              </w:rPr>
            </w:pPr>
            <w:r>
              <w:rPr>
                <w:noProof/>
                <w:sz w:val="18"/>
              </w:rPr>
              <w:t>Antal</w:t>
            </w:r>
          </w:p>
        </w:tc>
        <w:tc>
          <w:tcPr>
            <w:tcW w:w="769" w:type="dxa"/>
            <w:shd w:val="pct10" w:color="auto" w:fill="auto"/>
            <w:vAlign w:val="center"/>
          </w:tcPr>
          <w:p w:rsidR="00613CC4" w:rsidRDefault="00950A85">
            <w:pPr>
              <w:ind w:left="113" w:right="113"/>
              <w:jc w:val="center"/>
              <w:rPr>
                <w:noProof/>
                <w:sz w:val="18"/>
              </w:rPr>
            </w:pPr>
            <w:r>
              <w:rPr>
                <w:noProof/>
                <w:sz w:val="18"/>
              </w:rPr>
              <w:t>Omkostninger</w:t>
            </w:r>
          </w:p>
        </w:tc>
        <w:tc>
          <w:tcPr>
            <w:tcW w:w="431" w:type="dxa"/>
            <w:shd w:val="pct10" w:color="auto" w:fill="auto"/>
            <w:textDirection w:val="btLr"/>
            <w:vAlign w:val="center"/>
          </w:tcPr>
          <w:p w:rsidR="00613CC4" w:rsidRDefault="00950A85">
            <w:pPr>
              <w:ind w:left="113" w:right="113"/>
              <w:jc w:val="center"/>
              <w:rPr>
                <w:noProof/>
                <w:sz w:val="18"/>
              </w:rPr>
            </w:pPr>
            <w:r>
              <w:rPr>
                <w:noProof/>
                <w:sz w:val="18"/>
              </w:rPr>
              <w:t>Antal</w:t>
            </w:r>
          </w:p>
        </w:tc>
        <w:tc>
          <w:tcPr>
            <w:tcW w:w="769" w:type="dxa"/>
            <w:shd w:val="pct10" w:color="auto" w:fill="auto"/>
            <w:vAlign w:val="center"/>
          </w:tcPr>
          <w:p w:rsidR="00613CC4" w:rsidRDefault="00950A85">
            <w:pPr>
              <w:ind w:left="113" w:right="113"/>
              <w:jc w:val="center"/>
              <w:rPr>
                <w:noProof/>
                <w:sz w:val="18"/>
              </w:rPr>
            </w:pPr>
            <w:r>
              <w:rPr>
                <w:noProof/>
                <w:sz w:val="18"/>
              </w:rPr>
              <w:t>Omkostninger</w:t>
            </w:r>
          </w:p>
        </w:tc>
        <w:tc>
          <w:tcPr>
            <w:tcW w:w="433" w:type="dxa"/>
            <w:tcBorders>
              <w:right w:val="dashSmallGap" w:sz="4" w:space="0" w:color="auto"/>
            </w:tcBorders>
            <w:shd w:val="pct10" w:color="auto" w:fill="auto"/>
            <w:textDirection w:val="btLr"/>
            <w:vAlign w:val="center"/>
          </w:tcPr>
          <w:p w:rsidR="00613CC4" w:rsidRDefault="00950A85">
            <w:pPr>
              <w:ind w:left="113" w:right="113"/>
              <w:jc w:val="center"/>
              <w:rPr>
                <w:noProof/>
                <w:sz w:val="18"/>
                <w:szCs w:val="18"/>
              </w:rPr>
            </w:pPr>
            <w:r>
              <w:rPr>
                <w:noProof/>
                <w:sz w:val="18"/>
              </w:rPr>
              <w:t>Antal</w:t>
            </w:r>
          </w:p>
        </w:tc>
        <w:tc>
          <w:tcPr>
            <w:tcW w:w="767" w:type="dxa"/>
            <w:tcBorders>
              <w:left w:val="dashSmallGap" w:sz="4" w:space="0" w:color="auto"/>
            </w:tcBorders>
            <w:shd w:val="pct10" w:color="auto" w:fill="auto"/>
            <w:vAlign w:val="center"/>
          </w:tcPr>
          <w:p w:rsidR="00613CC4" w:rsidRDefault="00950A85">
            <w:pPr>
              <w:jc w:val="center"/>
              <w:rPr>
                <w:noProof/>
                <w:sz w:val="18"/>
                <w:szCs w:val="18"/>
              </w:rPr>
            </w:pPr>
            <w:r>
              <w:rPr>
                <w:noProof/>
                <w:sz w:val="18"/>
              </w:rPr>
              <w:t>Omkostninger</w:t>
            </w:r>
          </w:p>
        </w:tc>
        <w:tc>
          <w:tcPr>
            <w:tcW w:w="433" w:type="dxa"/>
            <w:tcBorders>
              <w:right w:val="dashSmallGap" w:sz="4" w:space="0" w:color="auto"/>
            </w:tcBorders>
            <w:shd w:val="pct10" w:color="auto" w:fill="auto"/>
            <w:textDirection w:val="btLr"/>
            <w:vAlign w:val="center"/>
          </w:tcPr>
          <w:p w:rsidR="00613CC4" w:rsidRDefault="00950A85">
            <w:pPr>
              <w:ind w:left="113" w:right="113"/>
              <w:jc w:val="center"/>
              <w:rPr>
                <w:noProof/>
                <w:sz w:val="18"/>
                <w:szCs w:val="18"/>
              </w:rPr>
            </w:pPr>
            <w:r>
              <w:rPr>
                <w:noProof/>
                <w:sz w:val="18"/>
              </w:rPr>
              <w:t>Antal</w:t>
            </w:r>
          </w:p>
        </w:tc>
        <w:tc>
          <w:tcPr>
            <w:tcW w:w="887" w:type="dxa"/>
            <w:tcBorders>
              <w:left w:val="dashSmallGap" w:sz="4" w:space="0" w:color="auto"/>
            </w:tcBorders>
            <w:shd w:val="pct10" w:color="auto" w:fill="auto"/>
            <w:vAlign w:val="center"/>
          </w:tcPr>
          <w:p w:rsidR="00613CC4" w:rsidRDefault="00950A85">
            <w:pPr>
              <w:jc w:val="center"/>
              <w:rPr>
                <w:noProof/>
                <w:sz w:val="18"/>
                <w:szCs w:val="18"/>
              </w:rPr>
            </w:pPr>
            <w:r>
              <w:rPr>
                <w:noProof/>
                <w:sz w:val="18"/>
              </w:rPr>
              <w:t>Omkostninger</w:t>
            </w:r>
          </w:p>
        </w:tc>
        <w:tc>
          <w:tcPr>
            <w:tcW w:w="857" w:type="dxa"/>
            <w:gridSpan w:val="2"/>
            <w:tcBorders>
              <w:right w:val="dashSmallGap" w:sz="4" w:space="0" w:color="auto"/>
            </w:tcBorders>
            <w:shd w:val="pct10" w:color="auto" w:fill="auto"/>
            <w:vAlign w:val="center"/>
          </w:tcPr>
          <w:p w:rsidR="00613CC4" w:rsidRDefault="00950A85">
            <w:pPr>
              <w:jc w:val="center"/>
              <w:rPr>
                <w:noProof/>
                <w:sz w:val="18"/>
                <w:szCs w:val="18"/>
              </w:rPr>
            </w:pPr>
            <w:r>
              <w:rPr>
                <w:noProof/>
                <w:sz w:val="18"/>
              </w:rPr>
              <w:t>Antal resultater i alt</w:t>
            </w:r>
          </w:p>
        </w:tc>
      </w:tr>
      <w:tr w:rsidR="00613CC4">
        <w:trPr>
          <w:jc w:val="center"/>
        </w:trPr>
        <w:tc>
          <w:tcPr>
            <w:tcW w:w="3003" w:type="dxa"/>
            <w:gridSpan w:val="3"/>
            <w:vAlign w:val="center"/>
          </w:tcPr>
          <w:p w:rsidR="00613CC4" w:rsidRDefault="00950A85">
            <w:pPr>
              <w:spacing w:before="60" w:after="60"/>
              <w:ind w:right="-29"/>
              <w:jc w:val="center"/>
              <w:rPr>
                <w:noProof/>
                <w:sz w:val="18"/>
                <w:szCs w:val="18"/>
              </w:rPr>
            </w:pPr>
            <w:r>
              <w:rPr>
                <w:noProof/>
                <w:sz w:val="18"/>
              </w:rPr>
              <w:t>SPECIFIKT MÅL NR. 1.1</w:t>
            </w:r>
            <w:r>
              <w:rPr>
                <w:rStyle w:val="FootnoteReference"/>
                <w:noProof/>
                <w:sz w:val="18"/>
              </w:rPr>
              <w:footnoteReference w:id="47"/>
            </w:r>
          </w:p>
        </w:tc>
        <w:tc>
          <w:tcPr>
            <w:tcW w:w="236" w:type="dxa"/>
            <w:tcBorders>
              <w:top w:val="nil"/>
              <w:left w:val="nil"/>
              <w:bottom w:val="nil"/>
              <w:right w:val="nil"/>
            </w:tcBorders>
          </w:tcPr>
          <w:p w:rsidR="00613CC4" w:rsidRDefault="00613CC4">
            <w:pPr>
              <w:spacing w:before="60" w:after="60"/>
              <w:ind w:right="-29"/>
              <w:jc w:val="center"/>
              <w:rPr>
                <w:noProof/>
                <w:sz w:val="18"/>
                <w:szCs w:val="18"/>
              </w:rPr>
            </w:pPr>
          </w:p>
        </w:tc>
        <w:tc>
          <w:tcPr>
            <w:tcW w:w="649" w:type="dxa"/>
            <w:tcBorders>
              <w:top w:val="nil"/>
              <w:left w:val="nil"/>
              <w:bottom w:val="nil"/>
              <w:right w:val="nil"/>
            </w:tcBorders>
          </w:tcPr>
          <w:p w:rsidR="00613CC4" w:rsidRDefault="00613CC4">
            <w:pPr>
              <w:spacing w:before="60" w:after="60"/>
              <w:ind w:right="-29"/>
              <w:jc w:val="center"/>
              <w:rPr>
                <w:noProof/>
                <w:sz w:val="18"/>
                <w:szCs w:val="18"/>
              </w:rPr>
            </w:pPr>
          </w:p>
        </w:tc>
        <w:tc>
          <w:tcPr>
            <w:tcW w:w="311" w:type="dxa"/>
            <w:tcBorders>
              <w:top w:val="nil"/>
              <w:left w:val="nil"/>
              <w:bottom w:val="nil"/>
              <w:right w:val="nil"/>
            </w:tcBorders>
          </w:tcPr>
          <w:p w:rsidR="00613CC4" w:rsidRDefault="00613CC4">
            <w:pPr>
              <w:spacing w:before="60" w:after="60"/>
              <w:ind w:right="-29"/>
              <w:jc w:val="center"/>
              <w:rPr>
                <w:noProof/>
                <w:sz w:val="18"/>
                <w:szCs w:val="18"/>
              </w:rPr>
            </w:pPr>
          </w:p>
        </w:tc>
        <w:tc>
          <w:tcPr>
            <w:tcW w:w="649" w:type="dxa"/>
            <w:tcBorders>
              <w:top w:val="nil"/>
              <w:left w:val="nil"/>
              <w:bottom w:val="nil"/>
              <w:right w:val="nil"/>
            </w:tcBorders>
          </w:tcPr>
          <w:p w:rsidR="00613CC4" w:rsidRDefault="00613CC4">
            <w:pPr>
              <w:spacing w:before="60" w:after="60"/>
              <w:ind w:right="-29"/>
              <w:jc w:val="center"/>
              <w:rPr>
                <w:noProof/>
                <w:sz w:val="18"/>
                <w:szCs w:val="18"/>
              </w:rPr>
            </w:pPr>
          </w:p>
        </w:tc>
        <w:tc>
          <w:tcPr>
            <w:tcW w:w="431" w:type="dxa"/>
            <w:tcBorders>
              <w:top w:val="nil"/>
              <w:left w:val="nil"/>
              <w:bottom w:val="nil"/>
              <w:right w:val="nil"/>
            </w:tcBorders>
          </w:tcPr>
          <w:p w:rsidR="00613CC4" w:rsidRDefault="00613CC4">
            <w:pPr>
              <w:spacing w:before="60" w:after="60"/>
              <w:ind w:right="-29"/>
              <w:jc w:val="center"/>
              <w:rPr>
                <w:noProof/>
                <w:sz w:val="18"/>
                <w:szCs w:val="18"/>
              </w:rPr>
            </w:pPr>
          </w:p>
        </w:tc>
        <w:tc>
          <w:tcPr>
            <w:tcW w:w="769" w:type="dxa"/>
            <w:tcBorders>
              <w:top w:val="nil"/>
              <w:left w:val="nil"/>
              <w:bottom w:val="nil"/>
              <w:right w:val="nil"/>
            </w:tcBorders>
          </w:tcPr>
          <w:p w:rsidR="00613CC4" w:rsidRDefault="00613CC4">
            <w:pPr>
              <w:spacing w:before="60" w:after="60"/>
              <w:ind w:right="-29"/>
              <w:jc w:val="center"/>
              <w:rPr>
                <w:noProof/>
                <w:sz w:val="18"/>
                <w:szCs w:val="18"/>
              </w:rPr>
            </w:pPr>
          </w:p>
        </w:tc>
        <w:tc>
          <w:tcPr>
            <w:tcW w:w="431" w:type="dxa"/>
            <w:tcBorders>
              <w:top w:val="nil"/>
              <w:left w:val="nil"/>
              <w:bottom w:val="nil"/>
              <w:right w:val="nil"/>
            </w:tcBorders>
          </w:tcPr>
          <w:p w:rsidR="00613CC4" w:rsidRDefault="00613CC4">
            <w:pPr>
              <w:spacing w:before="60" w:after="60"/>
              <w:ind w:right="-29"/>
              <w:jc w:val="center"/>
              <w:rPr>
                <w:noProof/>
                <w:sz w:val="18"/>
                <w:szCs w:val="18"/>
              </w:rPr>
            </w:pPr>
          </w:p>
        </w:tc>
        <w:tc>
          <w:tcPr>
            <w:tcW w:w="649" w:type="dxa"/>
            <w:tcBorders>
              <w:top w:val="nil"/>
              <w:left w:val="nil"/>
              <w:bottom w:val="nil"/>
              <w:right w:val="nil"/>
            </w:tcBorders>
          </w:tcPr>
          <w:p w:rsidR="00613CC4" w:rsidRDefault="00613CC4">
            <w:pPr>
              <w:spacing w:before="60" w:after="60"/>
              <w:ind w:right="-29"/>
              <w:jc w:val="center"/>
              <w:rPr>
                <w:noProof/>
                <w:sz w:val="18"/>
                <w:szCs w:val="18"/>
              </w:rPr>
            </w:pPr>
          </w:p>
        </w:tc>
        <w:tc>
          <w:tcPr>
            <w:tcW w:w="494" w:type="dxa"/>
            <w:tcBorders>
              <w:top w:val="nil"/>
              <w:left w:val="nil"/>
              <w:bottom w:val="nil"/>
              <w:right w:val="nil"/>
            </w:tcBorders>
          </w:tcPr>
          <w:p w:rsidR="00613CC4" w:rsidRDefault="00613CC4">
            <w:pPr>
              <w:spacing w:before="60" w:after="60"/>
              <w:ind w:right="-29"/>
              <w:jc w:val="center"/>
              <w:rPr>
                <w:noProof/>
                <w:sz w:val="18"/>
                <w:szCs w:val="18"/>
              </w:rPr>
            </w:pPr>
          </w:p>
        </w:tc>
        <w:tc>
          <w:tcPr>
            <w:tcW w:w="706" w:type="dxa"/>
            <w:tcBorders>
              <w:top w:val="nil"/>
              <w:left w:val="nil"/>
              <w:bottom w:val="nil"/>
              <w:right w:val="nil"/>
            </w:tcBorders>
          </w:tcPr>
          <w:p w:rsidR="00613CC4" w:rsidRDefault="00613CC4">
            <w:pPr>
              <w:spacing w:before="60" w:after="60"/>
              <w:ind w:right="-29"/>
              <w:jc w:val="center"/>
              <w:rPr>
                <w:noProof/>
                <w:sz w:val="18"/>
                <w:szCs w:val="18"/>
              </w:rPr>
            </w:pPr>
          </w:p>
        </w:tc>
        <w:tc>
          <w:tcPr>
            <w:tcW w:w="431" w:type="dxa"/>
            <w:tcBorders>
              <w:top w:val="nil"/>
              <w:left w:val="nil"/>
              <w:bottom w:val="nil"/>
              <w:right w:val="nil"/>
            </w:tcBorders>
          </w:tcPr>
          <w:p w:rsidR="00613CC4" w:rsidRDefault="00613CC4">
            <w:pPr>
              <w:spacing w:before="60" w:after="60"/>
              <w:ind w:right="-29"/>
              <w:jc w:val="center"/>
              <w:rPr>
                <w:noProof/>
                <w:sz w:val="18"/>
                <w:szCs w:val="18"/>
              </w:rPr>
            </w:pPr>
          </w:p>
        </w:tc>
        <w:tc>
          <w:tcPr>
            <w:tcW w:w="769" w:type="dxa"/>
            <w:tcBorders>
              <w:top w:val="nil"/>
              <w:left w:val="nil"/>
              <w:bottom w:val="nil"/>
              <w:right w:val="nil"/>
            </w:tcBorders>
          </w:tcPr>
          <w:p w:rsidR="00613CC4" w:rsidRDefault="00613CC4">
            <w:pPr>
              <w:spacing w:before="60" w:after="60"/>
              <w:ind w:right="-29"/>
              <w:jc w:val="center"/>
              <w:rPr>
                <w:noProof/>
                <w:sz w:val="18"/>
                <w:szCs w:val="18"/>
              </w:rPr>
            </w:pPr>
          </w:p>
        </w:tc>
        <w:tc>
          <w:tcPr>
            <w:tcW w:w="431" w:type="dxa"/>
            <w:tcBorders>
              <w:top w:val="nil"/>
              <w:left w:val="nil"/>
              <w:bottom w:val="nil"/>
              <w:right w:val="nil"/>
            </w:tcBorders>
          </w:tcPr>
          <w:p w:rsidR="00613CC4" w:rsidRDefault="00613CC4">
            <w:pPr>
              <w:spacing w:before="60" w:after="60"/>
              <w:ind w:right="-29"/>
              <w:jc w:val="center"/>
              <w:rPr>
                <w:noProof/>
                <w:sz w:val="18"/>
                <w:szCs w:val="18"/>
              </w:rPr>
            </w:pPr>
          </w:p>
        </w:tc>
        <w:tc>
          <w:tcPr>
            <w:tcW w:w="769" w:type="dxa"/>
            <w:tcBorders>
              <w:top w:val="nil"/>
              <w:left w:val="nil"/>
              <w:bottom w:val="nil"/>
              <w:right w:val="nil"/>
            </w:tcBorders>
          </w:tcPr>
          <w:p w:rsidR="00613CC4" w:rsidRDefault="00613CC4">
            <w:pPr>
              <w:spacing w:before="60" w:after="60"/>
              <w:ind w:right="-29"/>
              <w:jc w:val="center"/>
              <w:rPr>
                <w:noProof/>
                <w:sz w:val="18"/>
                <w:szCs w:val="18"/>
              </w:rPr>
            </w:pPr>
          </w:p>
        </w:tc>
        <w:tc>
          <w:tcPr>
            <w:tcW w:w="433" w:type="dxa"/>
            <w:tcBorders>
              <w:top w:val="nil"/>
              <w:left w:val="nil"/>
              <w:bottom w:val="nil"/>
              <w:right w:val="nil"/>
            </w:tcBorders>
          </w:tcPr>
          <w:p w:rsidR="00613CC4" w:rsidRDefault="00613CC4">
            <w:pPr>
              <w:spacing w:before="60" w:after="60"/>
              <w:ind w:right="-29"/>
              <w:jc w:val="center"/>
              <w:rPr>
                <w:noProof/>
                <w:sz w:val="18"/>
                <w:szCs w:val="18"/>
              </w:rPr>
            </w:pPr>
          </w:p>
        </w:tc>
        <w:tc>
          <w:tcPr>
            <w:tcW w:w="767" w:type="dxa"/>
            <w:tcBorders>
              <w:top w:val="nil"/>
              <w:left w:val="nil"/>
              <w:bottom w:val="nil"/>
              <w:right w:val="nil"/>
            </w:tcBorders>
          </w:tcPr>
          <w:p w:rsidR="00613CC4" w:rsidRDefault="00613CC4">
            <w:pPr>
              <w:spacing w:before="60" w:after="60"/>
              <w:ind w:right="-29"/>
              <w:jc w:val="center"/>
              <w:rPr>
                <w:noProof/>
                <w:sz w:val="18"/>
                <w:szCs w:val="18"/>
              </w:rPr>
            </w:pPr>
          </w:p>
        </w:tc>
        <w:tc>
          <w:tcPr>
            <w:tcW w:w="433" w:type="dxa"/>
            <w:tcBorders>
              <w:top w:val="nil"/>
              <w:left w:val="nil"/>
              <w:bottom w:val="nil"/>
              <w:right w:val="nil"/>
            </w:tcBorders>
          </w:tcPr>
          <w:p w:rsidR="00613CC4" w:rsidRDefault="00613CC4">
            <w:pPr>
              <w:spacing w:before="60" w:after="60"/>
              <w:ind w:right="-29"/>
              <w:jc w:val="center"/>
              <w:rPr>
                <w:noProof/>
                <w:sz w:val="18"/>
                <w:szCs w:val="18"/>
              </w:rPr>
            </w:pPr>
          </w:p>
        </w:tc>
        <w:tc>
          <w:tcPr>
            <w:tcW w:w="887" w:type="dxa"/>
            <w:tcBorders>
              <w:top w:val="nil"/>
              <w:left w:val="nil"/>
              <w:bottom w:val="nil"/>
              <w:right w:val="nil"/>
            </w:tcBorders>
          </w:tcPr>
          <w:p w:rsidR="00613CC4" w:rsidRDefault="00613CC4">
            <w:pPr>
              <w:spacing w:before="60" w:after="60"/>
              <w:ind w:right="-29"/>
              <w:jc w:val="center"/>
              <w:rPr>
                <w:noProof/>
                <w:sz w:val="18"/>
                <w:szCs w:val="18"/>
              </w:rPr>
            </w:pPr>
          </w:p>
        </w:tc>
        <w:tc>
          <w:tcPr>
            <w:tcW w:w="857" w:type="dxa"/>
            <w:gridSpan w:val="2"/>
            <w:tcBorders>
              <w:top w:val="nil"/>
              <w:left w:val="nil"/>
              <w:bottom w:val="nil"/>
              <w:right w:val="nil"/>
            </w:tcBorders>
          </w:tcPr>
          <w:p w:rsidR="00613CC4" w:rsidRDefault="00613CC4">
            <w:pPr>
              <w:spacing w:before="60" w:after="60"/>
              <w:ind w:right="-29"/>
              <w:jc w:val="center"/>
              <w:rPr>
                <w:noProof/>
                <w:sz w:val="18"/>
                <w:szCs w:val="18"/>
              </w:rPr>
            </w:pPr>
          </w:p>
        </w:tc>
      </w:tr>
      <w:tr w:rsidR="00613CC4">
        <w:trPr>
          <w:trHeight w:hRule="exact" w:val="604"/>
          <w:jc w:val="center"/>
        </w:trPr>
        <w:tc>
          <w:tcPr>
            <w:tcW w:w="1232" w:type="dxa"/>
          </w:tcPr>
          <w:p w:rsidR="00613CC4" w:rsidRDefault="00950A85">
            <w:pPr>
              <w:ind w:right="-29"/>
              <w:jc w:val="center"/>
              <w:rPr>
                <w:noProof/>
                <w:sz w:val="18"/>
                <w:szCs w:val="18"/>
              </w:rPr>
            </w:pPr>
            <w:r>
              <w:rPr>
                <w:noProof/>
                <w:sz w:val="18"/>
              </w:rPr>
              <w:t>Resultat 1</w:t>
            </w:r>
          </w:p>
        </w:tc>
        <w:tc>
          <w:tcPr>
            <w:tcW w:w="1085" w:type="dxa"/>
          </w:tcPr>
          <w:p w:rsidR="00613CC4" w:rsidRDefault="00950A85">
            <w:pPr>
              <w:ind w:right="-29"/>
              <w:jc w:val="left"/>
              <w:rPr>
                <w:noProof/>
                <w:sz w:val="18"/>
                <w:szCs w:val="18"/>
              </w:rPr>
            </w:pPr>
            <w:r>
              <w:rPr>
                <w:noProof/>
                <w:sz w:val="18"/>
              </w:rPr>
              <w:t>Støtte til netværk</w:t>
            </w:r>
          </w:p>
        </w:tc>
        <w:tc>
          <w:tcPr>
            <w:tcW w:w="686" w:type="dxa"/>
          </w:tcPr>
          <w:p w:rsidR="00613CC4" w:rsidRDefault="00950A85">
            <w:pPr>
              <w:ind w:right="-29"/>
              <w:jc w:val="center"/>
              <w:rPr>
                <w:noProof/>
                <w:sz w:val="18"/>
                <w:szCs w:val="18"/>
              </w:rPr>
            </w:pPr>
            <w:r>
              <w:rPr>
                <w:noProof/>
                <w:sz w:val="18"/>
              </w:rPr>
              <w:t>Tilskud</w:t>
            </w:r>
          </w:p>
        </w:tc>
        <w:tc>
          <w:tcPr>
            <w:tcW w:w="236" w:type="dxa"/>
            <w:tcBorders>
              <w:right w:val="dashSmallGap" w:sz="4" w:space="0" w:color="auto"/>
            </w:tcBorders>
          </w:tcPr>
          <w:p w:rsidR="00613CC4" w:rsidRDefault="00950A85">
            <w:pPr>
              <w:ind w:right="-29"/>
              <w:jc w:val="center"/>
              <w:rPr>
                <w:noProof/>
                <w:sz w:val="18"/>
                <w:szCs w:val="18"/>
              </w:rPr>
            </w:pPr>
            <w:r>
              <w:rPr>
                <w:noProof/>
                <w:sz w:val="18"/>
              </w:rPr>
              <w:t>1</w:t>
            </w:r>
          </w:p>
        </w:tc>
        <w:tc>
          <w:tcPr>
            <w:tcW w:w="649" w:type="dxa"/>
            <w:tcBorders>
              <w:left w:val="dashSmallGap" w:sz="4" w:space="0" w:color="auto"/>
            </w:tcBorders>
          </w:tcPr>
          <w:p w:rsidR="00613CC4" w:rsidRDefault="00950A85">
            <w:pPr>
              <w:ind w:right="-29"/>
              <w:jc w:val="center"/>
              <w:rPr>
                <w:noProof/>
                <w:sz w:val="18"/>
                <w:szCs w:val="18"/>
              </w:rPr>
            </w:pPr>
            <w:r>
              <w:rPr>
                <w:noProof/>
                <w:sz w:val="18"/>
              </w:rPr>
              <w:t>0,200</w:t>
            </w:r>
          </w:p>
        </w:tc>
        <w:tc>
          <w:tcPr>
            <w:tcW w:w="311" w:type="dxa"/>
            <w:tcBorders>
              <w:right w:val="dashSmallGap" w:sz="4" w:space="0" w:color="auto"/>
            </w:tcBorders>
          </w:tcPr>
          <w:p w:rsidR="00613CC4" w:rsidRDefault="00950A85">
            <w:pPr>
              <w:ind w:right="-29"/>
              <w:jc w:val="center"/>
              <w:rPr>
                <w:noProof/>
                <w:sz w:val="18"/>
                <w:szCs w:val="18"/>
              </w:rPr>
            </w:pPr>
            <w:r>
              <w:rPr>
                <w:noProof/>
                <w:sz w:val="18"/>
              </w:rPr>
              <w:t>1</w:t>
            </w:r>
          </w:p>
        </w:tc>
        <w:tc>
          <w:tcPr>
            <w:tcW w:w="649" w:type="dxa"/>
            <w:tcBorders>
              <w:left w:val="dashSmallGap" w:sz="4" w:space="0" w:color="auto"/>
            </w:tcBorders>
          </w:tcPr>
          <w:p w:rsidR="00613CC4" w:rsidRDefault="00950A85">
            <w:pPr>
              <w:ind w:right="-29"/>
              <w:jc w:val="center"/>
              <w:rPr>
                <w:noProof/>
                <w:sz w:val="18"/>
                <w:szCs w:val="18"/>
              </w:rPr>
            </w:pPr>
            <w:r>
              <w:rPr>
                <w:noProof/>
                <w:sz w:val="18"/>
              </w:rPr>
              <w:t>0,500</w:t>
            </w:r>
          </w:p>
        </w:tc>
        <w:tc>
          <w:tcPr>
            <w:tcW w:w="431" w:type="dxa"/>
          </w:tcPr>
          <w:p w:rsidR="00613CC4" w:rsidRDefault="00950A85">
            <w:pPr>
              <w:ind w:right="-29"/>
              <w:jc w:val="center"/>
              <w:rPr>
                <w:noProof/>
                <w:sz w:val="18"/>
                <w:szCs w:val="18"/>
              </w:rPr>
            </w:pPr>
            <w:r>
              <w:rPr>
                <w:noProof/>
                <w:sz w:val="18"/>
              </w:rPr>
              <w:t>1</w:t>
            </w:r>
          </w:p>
        </w:tc>
        <w:tc>
          <w:tcPr>
            <w:tcW w:w="769" w:type="dxa"/>
          </w:tcPr>
          <w:p w:rsidR="00613CC4" w:rsidRDefault="00950A85">
            <w:pPr>
              <w:ind w:right="-29"/>
              <w:jc w:val="center"/>
              <w:rPr>
                <w:noProof/>
                <w:sz w:val="18"/>
                <w:szCs w:val="18"/>
              </w:rPr>
            </w:pPr>
            <w:r>
              <w:rPr>
                <w:noProof/>
                <w:sz w:val="18"/>
              </w:rPr>
              <w:t>4,000</w:t>
            </w:r>
          </w:p>
        </w:tc>
        <w:tc>
          <w:tcPr>
            <w:tcW w:w="431" w:type="dxa"/>
          </w:tcPr>
          <w:p w:rsidR="00613CC4" w:rsidRDefault="00613CC4">
            <w:pPr>
              <w:ind w:right="-29"/>
              <w:jc w:val="center"/>
              <w:rPr>
                <w:noProof/>
                <w:sz w:val="18"/>
                <w:szCs w:val="18"/>
              </w:rPr>
            </w:pPr>
          </w:p>
        </w:tc>
        <w:tc>
          <w:tcPr>
            <w:tcW w:w="649" w:type="dxa"/>
          </w:tcPr>
          <w:p w:rsidR="00613CC4" w:rsidRDefault="00613CC4">
            <w:pPr>
              <w:ind w:right="-29"/>
              <w:jc w:val="center"/>
              <w:rPr>
                <w:noProof/>
                <w:sz w:val="18"/>
                <w:szCs w:val="18"/>
              </w:rPr>
            </w:pPr>
          </w:p>
        </w:tc>
        <w:tc>
          <w:tcPr>
            <w:tcW w:w="494" w:type="dxa"/>
          </w:tcPr>
          <w:p w:rsidR="00613CC4" w:rsidRDefault="00950A85">
            <w:pPr>
              <w:ind w:right="-29"/>
              <w:jc w:val="center"/>
              <w:rPr>
                <w:noProof/>
                <w:sz w:val="18"/>
                <w:szCs w:val="18"/>
              </w:rPr>
            </w:pPr>
            <w:r>
              <w:rPr>
                <w:noProof/>
                <w:sz w:val="18"/>
              </w:rPr>
              <w:t>1</w:t>
            </w:r>
          </w:p>
        </w:tc>
        <w:tc>
          <w:tcPr>
            <w:tcW w:w="706" w:type="dxa"/>
          </w:tcPr>
          <w:p w:rsidR="00613CC4" w:rsidRDefault="00950A85">
            <w:pPr>
              <w:ind w:right="-29"/>
              <w:jc w:val="center"/>
              <w:rPr>
                <w:noProof/>
                <w:sz w:val="18"/>
                <w:szCs w:val="18"/>
              </w:rPr>
            </w:pPr>
            <w:r>
              <w:rPr>
                <w:noProof/>
                <w:sz w:val="18"/>
              </w:rPr>
              <w:t>4,500</w:t>
            </w:r>
          </w:p>
        </w:tc>
        <w:tc>
          <w:tcPr>
            <w:tcW w:w="431" w:type="dxa"/>
          </w:tcPr>
          <w:p w:rsidR="00613CC4" w:rsidRDefault="00613CC4">
            <w:pPr>
              <w:ind w:right="-29"/>
              <w:jc w:val="center"/>
              <w:rPr>
                <w:noProof/>
                <w:sz w:val="18"/>
                <w:szCs w:val="18"/>
              </w:rPr>
            </w:pPr>
          </w:p>
        </w:tc>
        <w:tc>
          <w:tcPr>
            <w:tcW w:w="769" w:type="dxa"/>
          </w:tcPr>
          <w:p w:rsidR="00613CC4" w:rsidRDefault="00613CC4">
            <w:pPr>
              <w:ind w:right="-29"/>
              <w:jc w:val="center"/>
              <w:rPr>
                <w:noProof/>
                <w:sz w:val="18"/>
                <w:szCs w:val="18"/>
              </w:rPr>
            </w:pPr>
          </w:p>
        </w:tc>
        <w:tc>
          <w:tcPr>
            <w:tcW w:w="431" w:type="dxa"/>
          </w:tcPr>
          <w:p w:rsidR="00613CC4" w:rsidRDefault="00613CC4">
            <w:pPr>
              <w:ind w:right="-29"/>
              <w:jc w:val="center"/>
              <w:rPr>
                <w:noProof/>
                <w:sz w:val="18"/>
                <w:szCs w:val="18"/>
              </w:rPr>
            </w:pPr>
          </w:p>
        </w:tc>
        <w:tc>
          <w:tcPr>
            <w:tcW w:w="769" w:type="dxa"/>
          </w:tcPr>
          <w:p w:rsidR="00613CC4" w:rsidRDefault="00613CC4">
            <w:pPr>
              <w:ind w:right="-29"/>
              <w:jc w:val="center"/>
              <w:rPr>
                <w:noProof/>
                <w:sz w:val="18"/>
                <w:szCs w:val="18"/>
              </w:rPr>
            </w:pPr>
          </w:p>
        </w:tc>
        <w:tc>
          <w:tcPr>
            <w:tcW w:w="433" w:type="dxa"/>
            <w:tcBorders>
              <w:right w:val="dashSmallGap" w:sz="4" w:space="0" w:color="auto"/>
            </w:tcBorders>
          </w:tcPr>
          <w:p w:rsidR="00613CC4" w:rsidRDefault="00950A85">
            <w:pPr>
              <w:ind w:right="-29"/>
              <w:jc w:val="center"/>
              <w:rPr>
                <w:noProof/>
                <w:sz w:val="18"/>
                <w:szCs w:val="18"/>
              </w:rPr>
            </w:pPr>
            <w:r>
              <w:rPr>
                <w:noProof/>
                <w:sz w:val="18"/>
              </w:rPr>
              <w:t>1</w:t>
            </w:r>
          </w:p>
        </w:tc>
        <w:tc>
          <w:tcPr>
            <w:tcW w:w="767" w:type="dxa"/>
            <w:tcBorders>
              <w:left w:val="dashSmallGap" w:sz="4" w:space="0" w:color="auto"/>
            </w:tcBorders>
          </w:tcPr>
          <w:p w:rsidR="00613CC4" w:rsidRDefault="00950A85">
            <w:pPr>
              <w:ind w:right="-29"/>
              <w:jc w:val="center"/>
              <w:rPr>
                <w:noProof/>
                <w:sz w:val="18"/>
                <w:szCs w:val="18"/>
              </w:rPr>
            </w:pPr>
            <w:r>
              <w:rPr>
                <w:noProof/>
                <w:sz w:val="18"/>
              </w:rPr>
              <w:t>3,000</w:t>
            </w:r>
          </w:p>
        </w:tc>
        <w:tc>
          <w:tcPr>
            <w:tcW w:w="433" w:type="dxa"/>
            <w:tcBorders>
              <w:right w:val="dashSmallGap" w:sz="4" w:space="0" w:color="auto"/>
            </w:tcBorders>
          </w:tcPr>
          <w:p w:rsidR="00613CC4" w:rsidRDefault="00613CC4">
            <w:pPr>
              <w:ind w:right="-29"/>
              <w:jc w:val="center"/>
              <w:rPr>
                <w:noProof/>
                <w:sz w:val="18"/>
                <w:szCs w:val="18"/>
              </w:rPr>
            </w:pPr>
          </w:p>
        </w:tc>
        <w:tc>
          <w:tcPr>
            <w:tcW w:w="887" w:type="dxa"/>
            <w:tcBorders>
              <w:left w:val="dashSmallGap" w:sz="4" w:space="0" w:color="auto"/>
            </w:tcBorders>
          </w:tcPr>
          <w:p w:rsidR="00613CC4" w:rsidRDefault="00613CC4">
            <w:pPr>
              <w:ind w:right="-29"/>
              <w:jc w:val="center"/>
              <w:rPr>
                <w:noProof/>
                <w:sz w:val="18"/>
                <w:szCs w:val="18"/>
              </w:rPr>
            </w:pPr>
          </w:p>
        </w:tc>
        <w:tc>
          <w:tcPr>
            <w:tcW w:w="857" w:type="dxa"/>
            <w:gridSpan w:val="2"/>
          </w:tcPr>
          <w:p w:rsidR="00613CC4" w:rsidRDefault="00950A85">
            <w:pPr>
              <w:ind w:right="-29"/>
              <w:jc w:val="center"/>
              <w:rPr>
                <w:noProof/>
                <w:sz w:val="18"/>
                <w:szCs w:val="18"/>
              </w:rPr>
            </w:pPr>
            <w:r>
              <w:rPr>
                <w:noProof/>
                <w:sz w:val="18"/>
              </w:rPr>
              <w:t>12,200</w:t>
            </w:r>
          </w:p>
        </w:tc>
      </w:tr>
      <w:tr w:rsidR="00613CC4">
        <w:trPr>
          <w:trHeight w:hRule="exact" w:val="832"/>
          <w:jc w:val="center"/>
        </w:trPr>
        <w:tc>
          <w:tcPr>
            <w:tcW w:w="1232" w:type="dxa"/>
          </w:tcPr>
          <w:p w:rsidR="00613CC4" w:rsidRDefault="00950A85">
            <w:pPr>
              <w:ind w:right="-29"/>
              <w:jc w:val="center"/>
              <w:rPr>
                <w:noProof/>
                <w:sz w:val="18"/>
                <w:szCs w:val="18"/>
              </w:rPr>
            </w:pPr>
            <w:r>
              <w:rPr>
                <w:noProof/>
                <w:sz w:val="18"/>
              </w:rPr>
              <w:t>Resultat 1</w:t>
            </w:r>
          </w:p>
        </w:tc>
        <w:tc>
          <w:tcPr>
            <w:tcW w:w="1085" w:type="dxa"/>
          </w:tcPr>
          <w:p w:rsidR="00613CC4" w:rsidRDefault="00950A85">
            <w:pPr>
              <w:ind w:right="-29"/>
              <w:jc w:val="left"/>
              <w:rPr>
                <w:noProof/>
                <w:sz w:val="18"/>
                <w:szCs w:val="18"/>
              </w:rPr>
            </w:pPr>
            <w:r>
              <w:rPr>
                <w:noProof/>
                <w:sz w:val="18"/>
              </w:rPr>
              <w:t>Tjenesteyder til styringsrådets sekretariatsfunktioner</w:t>
            </w:r>
          </w:p>
        </w:tc>
        <w:tc>
          <w:tcPr>
            <w:tcW w:w="686" w:type="dxa"/>
          </w:tcPr>
          <w:p w:rsidR="00613CC4" w:rsidRDefault="00950A85">
            <w:pPr>
              <w:ind w:right="-29"/>
              <w:jc w:val="center"/>
              <w:rPr>
                <w:noProof/>
                <w:sz w:val="18"/>
                <w:szCs w:val="18"/>
              </w:rPr>
            </w:pPr>
            <w:r>
              <w:rPr>
                <w:noProof/>
                <w:sz w:val="18"/>
              </w:rPr>
              <w:t>Offentligt indkøb</w:t>
            </w:r>
          </w:p>
        </w:tc>
        <w:tc>
          <w:tcPr>
            <w:tcW w:w="236" w:type="dxa"/>
            <w:tcBorders>
              <w:right w:val="dashSmallGap" w:sz="4" w:space="0" w:color="auto"/>
            </w:tcBorders>
          </w:tcPr>
          <w:p w:rsidR="00613CC4" w:rsidRDefault="00950A85">
            <w:pPr>
              <w:ind w:right="-29"/>
              <w:jc w:val="center"/>
              <w:rPr>
                <w:noProof/>
                <w:sz w:val="18"/>
                <w:szCs w:val="18"/>
              </w:rPr>
            </w:pPr>
            <w:r>
              <w:rPr>
                <w:noProof/>
                <w:sz w:val="18"/>
              </w:rPr>
              <w:t>1</w:t>
            </w:r>
          </w:p>
        </w:tc>
        <w:tc>
          <w:tcPr>
            <w:tcW w:w="649" w:type="dxa"/>
            <w:tcBorders>
              <w:left w:val="dashSmallGap" w:sz="4" w:space="0" w:color="auto"/>
            </w:tcBorders>
          </w:tcPr>
          <w:p w:rsidR="00613CC4" w:rsidRDefault="00950A85">
            <w:pPr>
              <w:ind w:right="-29"/>
              <w:rPr>
                <w:noProof/>
                <w:sz w:val="18"/>
                <w:szCs w:val="18"/>
              </w:rPr>
            </w:pPr>
            <w:r>
              <w:rPr>
                <w:noProof/>
                <w:sz w:val="18"/>
              </w:rPr>
              <w:t>0,160</w:t>
            </w:r>
          </w:p>
        </w:tc>
        <w:tc>
          <w:tcPr>
            <w:tcW w:w="311" w:type="dxa"/>
            <w:tcBorders>
              <w:right w:val="dashSmallGap" w:sz="4" w:space="0" w:color="auto"/>
            </w:tcBorders>
          </w:tcPr>
          <w:p w:rsidR="00613CC4" w:rsidRDefault="00613CC4">
            <w:pPr>
              <w:ind w:right="-29"/>
              <w:jc w:val="center"/>
              <w:rPr>
                <w:noProof/>
                <w:sz w:val="18"/>
                <w:szCs w:val="18"/>
              </w:rPr>
            </w:pPr>
          </w:p>
        </w:tc>
        <w:tc>
          <w:tcPr>
            <w:tcW w:w="649" w:type="dxa"/>
            <w:tcBorders>
              <w:left w:val="dashSmallGap" w:sz="4" w:space="0" w:color="auto"/>
            </w:tcBorders>
          </w:tcPr>
          <w:p w:rsidR="00613CC4" w:rsidRDefault="00613CC4">
            <w:pPr>
              <w:ind w:right="-29"/>
              <w:jc w:val="center"/>
              <w:rPr>
                <w:noProof/>
                <w:sz w:val="18"/>
                <w:szCs w:val="18"/>
              </w:rPr>
            </w:pPr>
          </w:p>
        </w:tc>
        <w:tc>
          <w:tcPr>
            <w:tcW w:w="431" w:type="dxa"/>
          </w:tcPr>
          <w:p w:rsidR="00613CC4" w:rsidRDefault="00950A85">
            <w:pPr>
              <w:ind w:right="-29"/>
              <w:jc w:val="center"/>
              <w:rPr>
                <w:noProof/>
                <w:sz w:val="18"/>
                <w:szCs w:val="18"/>
              </w:rPr>
            </w:pPr>
            <w:r>
              <w:rPr>
                <w:noProof/>
                <w:sz w:val="18"/>
              </w:rPr>
              <w:t>1</w:t>
            </w:r>
          </w:p>
        </w:tc>
        <w:tc>
          <w:tcPr>
            <w:tcW w:w="769" w:type="dxa"/>
          </w:tcPr>
          <w:p w:rsidR="00613CC4" w:rsidRDefault="00950A85">
            <w:pPr>
              <w:ind w:right="-29"/>
              <w:jc w:val="center"/>
              <w:rPr>
                <w:noProof/>
                <w:sz w:val="18"/>
                <w:szCs w:val="18"/>
              </w:rPr>
            </w:pPr>
            <w:r>
              <w:rPr>
                <w:noProof/>
                <w:sz w:val="18"/>
              </w:rPr>
              <w:t>0,500</w:t>
            </w:r>
          </w:p>
        </w:tc>
        <w:tc>
          <w:tcPr>
            <w:tcW w:w="431" w:type="dxa"/>
          </w:tcPr>
          <w:p w:rsidR="00613CC4" w:rsidRDefault="00613CC4">
            <w:pPr>
              <w:ind w:right="-29"/>
              <w:jc w:val="center"/>
              <w:rPr>
                <w:noProof/>
                <w:sz w:val="18"/>
                <w:szCs w:val="18"/>
              </w:rPr>
            </w:pPr>
          </w:p>
        </w:tc>
        <w:tc>
          <w:tcPr>
            <w:tcW w:w="649" w:type="dxa"/>
          </w:tcPr>
          <w:p w:rsidR="00613CC4" w:rsidRDefault="00613CC4">
            <w:pPr>
              <w:ind w:right="-29"/>
              <w:jc w:val="center"/>
              <w:rPr>
                <w:noProof/>
                <w:sz w:val="18"/>
                <w:szCs w:val="18"/>
              </w:rPr>
            </w:pPr>
          </w:p>
        </w:tc>
        <w:tc>
          <w:tcPr>
            <w:tcW w:w="494" w:type="dxa"/>
          </w:tcPr>
          <w:p w:rsidR="00613CC4" w:rsidRDefault="00950A85">
            <w:pPr>
              <w:ind w:right="-29"/>
              <w:jc w:val="center"/>
              <w:rPr>
                <w:noProof/>
                <w:sz w:val="18"/>
                <w:szCs w:val="18"/>
              </w:rPr>
            </w:pPr>
            <w:r>
              <w:rPr>
                <w:noProof/>
                <w:sz w:val="18"/>
              </w:rPr>
              <w:t>1</w:t>
            </w:r>
          </w:p>
        </w:tc>
        <w:tc>
          <w:tcPr>
            <w:tcW w:w="706" w:type="dxa"/>
          </w:tcPr>
          <w:p w:rsidR="00613CC4" w:rsidRDefault="00950A85">
            <w:pPr>
              <w:ind w:right="-29"/>
              <w:jc w:val="center"/>
              <w:rPr>
                <w:noProof/>
                <w:sz w:val="18"/>
                <w:szCs w:val="18"/>
              </w:rPr>
            </w:pPr>
            <w:r>
              <w:rPr>
                <w:noProof/>
                <w:sz w:val="18"/>
              </w:rPr>
              <w:t>0,500</w:t>
            </w:r>
          </w:p>
        </w:tc>
        <w:tc>
          <w:tcPr>
            <w:tcW w:w="431" w:type="dxa"/>
          </w:tcPr>
          <w:p w:rsidR="00613CC4" w:rsidRDefault="00613CC4">
            <w:pPr>
              <w:ind w:right="-29"/>
              <w:jc w:val="center"/>
              <w:rPr>
                <w:noProof/>
                <w:sz w:val="18"/>
                <w:szCs w:val="18"/>
              </w:rPr>
            </w:pPr>
          </w:p>
        </w:tc>
        <w:tc>
          <w:tcPr>
            <w:tcW w:w="769" w:type="dxa"/>
          </w:tcPr>
          <w:p w:rsidR="00613CC4" w:rsidRDefault="00613CC4">
            <w:pPr>
              <w:ind w:right="-29"/>
              <w:jc w:val="center"/>
              <w:rPr>
                <w:noProof/>
                <w:sz w:val="18"/>
                <w:szCs w:val="18"/>
              </w:rPr>
            </w:pPr>
          </w:p>
        </w:tc>
        <w:tc>
          <w:tcPr>
            <w:tcW w:w="431" w:type="dxa"/>
          </w:tcPr>
          <w:p w:rsidR="00613CC4" w:rsidRDefault="00613CC4">
            <w:pPr>
              <w:ind w:right="-29"/>
              <w:jc w:val="center"/>
              <w:rPr>
                <w:noProof/>
                <w:sz w:val="18"/>
                <w:szCs w:val="18"/>
              </w:rPr>
            </w:pPr>
          </w:p>
        </w:tc>
        <w:tc>
          <w:tcPr>
            <w:tcW w:w="769" w:type="dxa"/>
          </w:tcPr>
          <w:p w:rsidR="00613CC4" w:rsidRDefault="00613CC4">
            <w:pPr>
              <w:ind w:right="-29"/>
              <w:jc w:val="center"/>
              <w:rPr>
                <w:noProof/>
                <w:sz w:val="18"/>
                <w:szCs w:val="18"/>
              </w:rPr>
            </w:pPr>
          </w:p>
        </w:tc>
        <w:tc>
          <w:tcPr>
            <w:tcW w:w="433" w:type="dxa"/>
            <w:tcBorders>
              <w:right w:val="dashSmallGap" w:sz="4" w:space="0" w:color="auto"/>
            </w:tcBorders>
          </w:tcPr>
          <w:p w:rsidR="00613CC4" w:rsidRDefault="00950A85">
            <w:pPr>
              <w:ind w:right="-29"/>
              <w:jc w:val="center"/>
              <w:rPr>
                <w:noProof/>
                <w:sz w:val="18"/>
                <w:szCs w:val="18"/>
              </w:rPr>
            </w:pPr>
            <w:r>
              <w:rPr>
                <w:noProof/>
                <w:sz w:val="18"/>
              </w:rPr>
              <w:t>1</w:t>
            </w:r>
          </w:p>
        </w:tc>
        <w:tc>
          <w:tcPr>
            <w:tcW w:w="767" w:type="dxa"/>
            <w:tcBorders>
              <w:left w:val="dashSmallGap" w:sz="4" w:space="0" w:color="auto"/>
            </w:tcBorders>
          </w:tcPr>
          <w:p w:rsidR="00613CC4" w:rsidRDefault="00950A85">
            <w:pPr>
              <w:ind w:right="-29"/>
              <w:jc w:val="center"/>
              <w:rPr>
                <w:noProof/>
                <w:sz w:val="18"/>
                <w:szCs w:val="18"/>
              </w:rPr>
            </w:pPr>
            <w:r>
              <w:rPr>
                <w:noProof/>
                <w:sz w:val="18"/>
              </w:rPr>
              <w:t>0,500</w:t>
            </w:r>
          </w:p>
        </w:tc>
        <w:tc>
          <w:tcPr>
            <w:tcW w:w="433" w:type="dxa"/>
            <w:tcBorders>
              <w:right w:val="dashSmallGap" w:sz="4" w:space="0" w:color="auto"/>
            </w:tcBorders>
          </w:tcPr>
          <w:p w:rsidR="00613CC4" w:rsidRDefault="00613CC4">
            <w:pPr>
              <w:ind w:right="-29"/>
              <w:jc w:val="center"/>
              <w:rPr>
                <w:noProof/>
                <w:sz w:val="18"/>
                <w:szCs w:val="18"/>
              </w:rPr>
            </w:pPr>
          </w:p>
        </w:tc>
        <w:tc>
          <w:tcPr>
            <w:tcW w:w="887" w:type="dxa"/>
            <w:tcBorders>
              <w:left w:val="dashSmallGap" w:sz="4" w:space="0" w:color="auto"/>
            </w:tcBorders>
          </w:tcPr>
          <w:p w:rsidR="00613CC4" w:rsidRDefault="00613CC4">
            <w:pPr>
              <w:ind w:right="-29"/>
              <w:jc w:val="center"/>
              <w:rPr>
                <w:noProof/>
                <w:sz w:val="18"/>
                <w:szCs w:val="18"/>
              </w:rPr>
            </w:pPr>
          </w:p>
        </w:tc>
        <w:tc>
          <w:tcPr>
            <w:tcW w:w="857" w:type="dxa"/>
            <w:gridSpan w:val="2"/>
          </w:tcPr>
          <w:p w:rsidR="00613CC4" w:rsidRDefault="00950A85">
            <w:pPr>
              <w:ind w:right="-29"/>
              <w:jc w:val="center"/>
              <w:rPr>
                <w:noProof/>
                <w:sz w:val="18"/>
                <w:szCs w:val="18"/>
              </w:rPr>
            </w:pPr>
            <w:r>
              <w:rPr>
                <w:noProof/>
                <w:sz w:val="18"/>
              </w:rPr>
              <w:t>1,660</w:t>
            </w:r>
          </w:p>
        </w:tc>
      </w:tr>
      <w:tr w:rsidR="00613CC4">
        <w:trPr>
          <w:trHeight w:hRule="exact" w:val="772"/>
          <w:jc w:val="center"/>
        </w:trPr>
        <w:tc>
          <w:tcPr>
            <w:tcW w:w="1232" w:type="dxa"/>
          </w:tcPr>
          <w:p w:rsidR="00613CC4" w:rsidRDefault="00950A85">
            <w:pPr>
              <w:ind w:right="-29"/>
              <w:jc w:val="center"/>
              <w:rPr>
                <w:noProof/>
                <w:sz w:val="18"/>
                <w:szCs w:val="18"/>
              </w:rPr>
            </w:pPr>
            <w:r>
              <w:rPr>
                <w:noProof/>
                <w:sz w:val="18"/>
              </w:rPr>
              <w:t>Resultat 1</w:t>
            </w:r>
          </w:p>
        </w:tc>
        <w:tc>
          <w:tcPr>
            <w:tcW w:w="1085" w:type="dxa"/>
          </w:tcPr>
          <w:p w:rsidR="00613CC4" w:rsidRDefault="00950A85">
            <w:pPr>
              <w:ind w:right="-29"/>
              <w:jc w:val="left"/>
              <w:rPr>
                <w:noProof/>
                <w:sz w:val="18"/>
                <w:szCs w:val="18"/>
              </w:rPr>
            </w:pPr>
            <w:r>
              <w:rPr>
                <w:noProof/>
                <w:sz w:val="18"/>
              </w:rPr>
              <w:t>Udsendte ILO'er</w:t>
            </w:r>
          </w:p>
        </w:tc>
        <w:tc>
          <w:tcPr>
            <w:tcW w:w="686" w:type="dxa"/>
          </w:tcPr>
          <w:p w:rsidR="00613CC4" w:rsidRDefault="00613CC4">
            <w:pPr>
              <w:ind w:right="-29"/>
              <w:jc w:val="center"/>
              <w:rPr>
                <w:noProof/>
                <w:sz w:val="18"/>
                <w:szCs w:val="18"/>
              </w:rPr>
            </w:pPr>
          </w:p>
        </w:tc>
        <w:tc>
          <w:tcPr>
            <w:tcW w:w="236" w:type="dxa"/>
          </w:tcPr>
          <w:p w:rsidR="00613CC4" w:rsidRDefault="00950A85">
            <w:pPr>
              <w:ind w:right="-29"/>
              <w:jc w:val="center"/>
              <w:rPr>
                <w:noProof/>
                <w:sz w:val="18"/>
                <w:szCs w:val="18"/>
              </w:rPr>
            </w:pPr>
            <w:r>
              <w:rPr>
                <w:noProof/>
                <w:sz w:val="18"/>
              </w:rPr>
              <w:t>1</w:t>
            </w:r>
          </w:p>
        </w:tc>
        <w:tc>
          <w:tcPr>
            <w:tcW w:w="649" w:type="dxa"/>
          </w:tcPr>
          <w:p w:rsidR="00613CC4" w:rsidRDefault="00613CC4">
            <w:pPr>
              <w:ind w:right="-29"/>
              <w:jc w:val="center"/>
              <w:rPr>
                <w:noProof/>
                <w:sz w:val="18"/>
                <w:szCs w:val="18"/>
              </w:rPr>
            </w:pPr>
          </w:p>
        </w:tc>
        <w:tc>
          <w:tcPr>
            <w:tcW w:w="311" w:type="dxa"/>
          </w:tcPr>
          <w:p w:rsidR="00613CC4" w:rsidRDefault="00613CC4">
            <w:pPr>
              <w:ind w:right="-29"/>
              <w:jc w:val="center"/>
              <w:rPr>
                <w:noProof/>
                <w:sz w:val="18"/>
                <w:szCs w:val="18"/>
              </w:rPr>
            </w:pPr>
          </w:p>
        </w:tc>
        <w:tc>
          <w:tcPr>
            <w:tcW w:w="649" w:type="dxa"/>
          </w:tcPr>
          <w:p w:rsidR="00613CC4" w:rsidRDefault="00613CC4">
            <w:pPr>
              <w:ind w:right="-29"/>
              <w:jc w:val="center"/>
              <w:rPr>
                <w:noProof/>
                <w:sz w:val="18"/>
                <w:szCs w:val="18"/>
              </w:rPr>
            </w:pPr>
          </w:p>
        </w:tc>
        <w:tc>
          <w:tcPr>
            <w:tcW w:w="431" w:type="dxa"/>
          </w:tcPr>
          <w:p w:rsidR="00613CC4" w:rsidRDefault="00950A85">
            <w:pPr>
              <w:ind w:right="-29"/>
              <w:jc w:val="center"/>
              <w:rPr>
                <w:noProof/>
                <w:sz w:val="18"/>
                <w:szCs w:val="18"/>
              </w:rPr>
            </w:pPr>
            <w:r>
              <w:rPr>
                <w:noProof/>
                <w:sz w:val="18"/>
              </w:rPr>
              <w:t>1</w:t>
            </w:r>
          </w:p>
        </w:tc>
        <w:tc>
          <w:tcPr>
            <w:tcW w:w="769" w:type="dxa"/>
          </w:tcPr>
          <w:p w:rsidR="00613CC4" w:rsidRDefault="00950A85">
            <w:pPr>
              <w:ind w:right="-29"/>
              <w:jc w:val="center"/>
              <w:rPr>
                <w:noProof/>
                <w:sz w:val="18"/>
                <w:szCs w:val="18"/>
              </w:rPr>
            </w:pPr>
            <w:r>
              <w:rPr>
                <w:noProof/>
                <w:sz w:val="18"/>
              </w:rPr>
              <w:t>0,500</w:t>
            </w:r>
          </w:p>
        </w:tc>
        <w:tc>
          <w:tcPr>
            <w:tcW w:w="431" w:type="dxa"/>
          </w:tcPr>
          <w:p w:rsidR="00613CC4" w:rsidRDefault="00950A85">
            <w:pPr>
              <w:ind w:right="-29"/>
              <w:jc w:val="center"/>
              <w:rPr>
                <w:noProof/>
                <w:sz w:val="18"/>
                <w:szCs w:val="18"/>
              </w:rPr>
            </w:pPr>
            <w:r>
              <w:rPr>
                <w:noProof/>
                <w:sz w:val="18"/>
              </w:rPr>
              <w:t>1</w:t>
            </w:r>
          </w:p>
        </w:tc>
        <w:tc>
          <w:tcPr>
            <w:tcW w:w="649" w:type="dxa"/>
          </w:tcPr>
          <w:p w:rsidR="00613CC4" w:rsidRDefault="00950A85">
            <w:pPr>
              <w:ind w:right="-29"/>
              <w:jc w:val="center"/>
              <w:rPr>
                <w:noProof/>
                <w:sz w:val="18"/>
                <w:szCs w:val="18"/>
              </w:rPr>
            </w:pPr>
            <w:r>
              <w:rPr>
                <w:noProof/>
                <w:sz w:val="18"/>
              </w:rPr>
              <w:t>0,500</w:t>
            </w:r>
          </w:p>
        </w:tc>
        <w:tc>
          <w:tcPr>
            <w:tcW w:w="494" w:type="dxa"/>
          </w:tcPr>
          <w:p w:rsidR="00613CC4" w:rsidRDefault="00950A85">
            <w:pPr>
              <w:ind w:right="-29"/>
              <w:jc w:val="center"/>
              <w:rPr>
                <w:noProof/>
                <w:sz w:val="18"/>
                <w:szCs w:val="18"/>
              </w:rPr>
            </w:pPr>
            <w:r>
              <w:rPr>
                <w:noProof/>
                <w:sz w:val="18"/>
              </w:rPr>
              <w:t>1</w:t>
            </w:r>
          </w:p>
        </w:tc>
        <w:tc>
          <w:tcPr>
            <w:tcW w:w="706" w:type="dxa"/>
          </w:tcPr>
          <w:p w:rsidR="00613CC4" w:rsidRDefault="00950A85">
            <w:pPr>
              <w:ind w:right="-29"/>
              <w:jc w:val="center"/>
              <w:rPr>
                <w:noProof/>
                <w:sz w:val="18"/>
                <w:szCs w:val="18"/>
              </w:rPr>
            </w:pPr>
            <w:r>
              <w:rPr>
                <w:noProof/>
                <w:sz w:val="18"/>
              </w:rPr>
              <w:t>0,500</w:t>
            </w:r>
          </w:p>
        </w:tc>
        <w:tc>
          <w:tcPr>
            <w:tcW w:w="431" w:type="dxa"/>
          </w:tcPr>
          <w:p w:rsidR="00613CC4" w:rsidRDefault="00950A85">
            <w:pPr>
              <w:ind w:right="-29"/>
              <w:jc w:val="center"/>
              <w:rPr>
                <w:noProof/>
                <w:sz w:val="18"/>
                <w:szCs w:val="18"/>
              </w:rPr>
            </w:pPr>
            <w:r>
              <w:rPr>
                <w:noProof/>
                <w:sz w:val="18"/>
              </w:rPr>
              <w:t>1</w:t>
            </w:r>
          </w:p>
        </w:tc>
        <w:tc>
          <w:tcPr>
            <w:tcW w:w="769" w:type="dxa"/>
          </w:tcPr>
          <w:p w:rsidR="00613CC4" w:rsidRDefault="00950A85">
            <w:pPr>
              <w:ind w:right="-29"/>
              <w:jc w:val="center"/>
              <w:rPr>
                <w:noProof/>
                <w:sz w:val="18"/>
                <w:szCs w:val="18"/>
              </w:rPr>
            </w:pPr>
            <w:r>
              <w:rPr>
                <w:noProof/>
                <w:sz w:val="18"/>
              </w:rPr>
              <w:t>0,500</w:t>
            </w:r>
          </w:p>
        </w:tc>
        <w:tc>
          <w:tcPr>
            <w:tcW w:w="431" w:type="dxa"/>
          </w:tcPr>
          <w:p w:rsidR="00613CC4" w:rsidRDefault="00950A85">
            <w:pPr>
              <w:ind w:right="-29"/>
              <w:jc w:val="center"/>
              <w:rPr>
                <w:noProof/>
                <w:sz w:val="18"/>
                <w:szCs w:val="18"/>
              </w:rPr>
            </w:pPr>
            <w:r>
              <w:rPr>
                <w:noProof/>
                <w:sz w:val="18"/>
              </w:rPr>
              <w:t>1</w:t>
            </w:r>
          </w:p>
        </w:tc>
        <w:tc>
          <w:tcPr>
            <w:tcW w:w="769" w:type="dxa"/>
          </w:tcPr>
          <w:p w:rsidR="00613CC4" w:rsidRDefault="00950A85">
            <w:pPr>
              <w:ind w:right="-29"/>
              <w:jc w:val="center"/>
              <w:rPr>
                <w:noProof/>
                <w:sz w:val="18"/>
                <w:szCs w:val="18"/>
              </w:rPr>
            </w:pPr>
            <w:r>
              <w:rPr>
                <w:noProof/>
                <w:sz w:val="18"/>
              </w:rPr>
              <w:t>0,500</w:t>
            </w:r>
          </w:p>
        </w:tc>
        <w:tc>
          <w:tcPr>
            <w:tcW w:w="433" w:type="dxa"/>
          </w:tcPr>
          <w:p w:rsidR="00613CC4" w:rsidRDefault="00950A85">
            <w:pPr>
              <w:ind w:right="-29"/>
              <w:jc w:val="center"/>
              <w:rPr>
                <w:noProof/>
                <w:sz w:val="18"/>
                <w:szCs w:val="18"/>
              </w:rPr>
            </w:pPr>
            <w:r>
              <w:rPr>
                <w:noProof/>
                <w:sz w:val="18"/>
              </w:rPr>
              <w:t>1</w:t>
            </w:r>
          </w:p>
        </w:tc>
        <w:tc>
          <w:tcPr>
            <w:tcW w:w="767" w:type="dxa"/>
          </w:tcPr>
          <w:p w:rsidR="00613CC4" w:rsidRDefault="00950A85">
            <w:pPr>
              <w:ind w:right="-29"/>
              <w:jc w:val="center"/>
              <w:rPr>
                <w:noProof/>
                <w:sz w:val="18"/>
                <w:szCs w:val="18"/>
              </w:rPr>
            </w:pPr>
            <w:r>
              <w:rPr>
                <w:noProof/>
                <w:sz w:val="18"/>
              </w:rPr>
              <w:t>0,500</w:t>
            </w:r>
          </w:p>
        </w:tc>
        <w:tc>
          <w:tcPr>
            <w:tcW w:w="433" w:type="dxa"/>
          </w:tcPr>
          <w:p w:rsidR="00613CC4" w:rsidRDefault="00950A85">
            <w:pPr>
              <w:ind w:right="-29"/>
              <w:jc w:val="center"/>
              <w:rPr>
                <w:noProof/>
                <w:sz w:val="18"/>
                <w:szCs w:val="18"/>
              </w:rPr>
            </w:pPr>
            <w:r>
              <w:rPr>
                <w:noProof/>
                <w:sz w:val="18"/>
              </w:rPr>
              <w:t>1</w:t>
            </w:r>
          </w:p>
        </w:tc>
        <w:tc>
          <w:tcPr>
            <w:tcW w:w="887" w:type="dxa"/>
          </w:tcPr>
          <w:p w:rsidR="00613CC4" w:rsidRDefault="00950A85">
            <w:pPr>
              <w:ind w:right="-29"/>
              <w:jc w:val="center"/>
              <w:rPr>
                <w:noProof/>
                <w:sz w:val="18"/>
                <w:szCs w:val="18"/>
              </w:rPr>
            </w:pPr>
            <w:r>
              <w:rPr>
                <w:noProof/>
                <w:sz w:val="18"/>
              </w:rPr>
              <w:t>0,500</w:t>
            </w:r>
          </w:p>
        </w:tc>
        <w:tc>
          <w:tcPr>
            <w:tcW w:w="857" w:type="dxa"/>
            <w:gridSpan w:val="2"/>
          </w:tcPr>
          <w:p w:rsidR="00613CC4" w:rsidRDefault="00950A85">
            <w:pPr>
              <w:ind w:right="-29"/>
              <w:jc w:val="center"/>
              <w:rPr>
                <w:noProof/>
                <w:sz w:val="18"/>
                <w:szCs w:val="18"/>
              </w:rPr>
            </w:pPr>
            <w:r>
              <w:rPr>
                <w:noProof/>
                <w:sz w:val="18"/>
              </w:rPr>
              <w:t>3,500</w:t>
            </w:r>
          </w:p>
        </w:tc>
      </w:tr>
      <w:tr w:rsidR="00613CC4">
        <w:trPr>
          <w:jc w:val="center"/>
        </w:trPr>
        <w:tc>
          <w:tcPr>
            <w:tcW w:w="3003" w:type="dxa"/>
            <w:gridSpan w:val="3"/>
            <w:tcBorders>
              <w:bottom w:val="single" w:sz="12" w:space="0" w:color="auto"/>
            </w:tcBorders>
            <w:vAlign w:val="center"/>
          </w:tcPr>
          <w:p w:rsidR="00613CC4" w:rsidRDefault="00950A85">
            <w:pPr>
              <w:ind w:right="-29"/>
              <w:jc w:val="center"/>
              <w:rPr>
                <w:noProof/>
                <w:sz w:val="18"/>
                <w:szCs w:val="18"/>
              </w:rPr>
            </w:pPr>
            <w:r>
              <w:rPr>
                <w:noProof/>
                <w:sz w:val="18"/>
              </w:rPr>
              <w:t>Subtotal for specifikt mål nr. 1</w:t>
            </w:r>
          </w:p>
        </w:tc>
        <w:tc>
          <w:tcPr>
            <w:tcW w:w="236" w:type="dxa"/>
            <w:tcBorders>
              <w:bottom w:val="single" w:sz="12" w:space="0" w:color="auto"/>
            </w:tcBorders>
          </w:tcPr>
          <w:p w:rsidR="00613CC4" w:rsidRDefault="00613CC4">
            <w:pPr>
              <w:ind w:right="-29"/>
              <w:jc w:val="center"/>
              <w:rPr>
                <w:noProof/>
                <w:sz w:val="18"/>
                <w:szCs w:val="18"/>
              </w:rPr>
            </w:pPr>
          </w:p>
        </w:tc>
        <w:tc>
          <w:tcPr>
            <w:tcW w:w="649" w:type="dxa"/>
            <w:tcBorders>
              <w:bottom w:val="single" w:sz="12" w:space="0" w:color="auto"/>
            </w:tcBorders>
          </w:tcPr>
          <w:p w:rsidR="00613CC4" w:rsidRDefault="00950A85">
            <w:pPr>
              <w:ind w:right="-29"/>
              <w:jc w:val="center"/>
              <w:rPr>
                <w:noProof/>
                <w:sz w:val="18"/>
                <w:szCs w:val="18"/>
              </w:rPr>
            </w:pPr>
            <w:r>
              <w:rPr>
                <w:noProof/>
                <w:sz w:val="18"/>
              </w:rPr>
              <w:t>0,360</w:t>
            </w:r>
          </w:p>
        </w:tc>
        <w:tc>
          <w:tcPr>
            <w:tcW w:w="311" w:type="dxa"/>
            <w:tcBorders>
              <w:bottom w:val="single" w:sz="12" w:space="0" w:color="auto"/>
            </w:tcBorders>
          </w:tcPr>
          <w:p w:rsidR="00613CC4" w:rsidRDefault="00613CC4">
            <w:pPr>
              <w:ind w:right="-29"/>
              <w:jc w:val="center"/>
              <w:rPr>
                <w:noProof/>
                <w:sz w:val="18"/>
                <w:szCs w:val="18"/>
              </w:rPr>
            </w:pPr>
          </w:p>
        </w:tc>
        <w:tc>
          <w:tcPr>
            <w:tcW w:w="649" w:type="dxa"/>
            <w:tcBorders>
              <w:bottom w:val="single" w:sz="12" w:space="0" w:color="auto"/>
            </w:tcBorders>
          </w:tcPr>
          <w:p w:rsidR="00613CC4" w:rsidRDefault="00950A85">
            <w:pPr>
              <w:ind w:right="-29"/>
              <w:jc w:val="center"/>
              <w:rPr>
                <w:noProof/>
                <w:sz w:val="18"/>
                <w:szCs w:val="18"/>
              </w:rPr>
            </w:pPr>
            <w:r>
              <w:rPr>
                <w:noProof/>
                <w:sz w:val="18"/>
              </w:rPr>
              <w:t>0,500</w:t>
            </w:r>
          </w:p>
        </w:tc>
        <w:tc>
          <w:tcPr>
            <w:tcW w:w="431" w:type="dxa"/>
            <w:tcBorders>
              <w:bottom w:val="single" w:sz="12" w:space="0" w:color="auto"/>
            </w:tcBorders>
          </w:tcPr>
          <w:p w:rsidR="00613CC4" w:rsidRDefault="00613CC4">
            <w:pPr>
              <w:ind w:right="-29"/>
              <w:jc w:val="center"/>
              <w:rPr>
                <w:noProof/>
                <w:sz w:val="18"/>
                <w:szCs w:val="18"/>
              </w:rPr>
            </w:pPr>
          </w:p>
        </w:tc>
        <w:tc>
          <w:tcPr>
            <w:tcW w:w="769" w:type="dxa"/>
            <w:tcBorders>
              <w:bottom w:val="single" w:sz="12" w:space="0" w:color="auto"/>
            </w:tcBorders>
          </w:tcPr>
          <w:p w:rsidR="00613CC4" w:rsidRDefault="00950A85">
            <w:pPr>
              <w:ind w:right="-29"/>
              <w:jc w:val="center"/>
              <w:rPr>
                <w:noProof/>
                <w:sz w:val="18"/>
                <w:szCs w:val="18"/>
              </w:rPr>
            </w:pPr>
            <w:r>
              <w:rPr>
                <w:noProof/>
                <w:sz w:val="18"/>
              </w:rPr>
              <w:t>5,000</w:t>
            </w:r>
          </w:p>
        </w:tc>
        <w:tc>
          <w:tcPr>
            <w:tcW w:w="431" w:type="dxa"/>
            <w:tcBorders>
              <w:bottom w:val="single" w:sz="12" w:space="0" w:color="auto"/>
            </w:tcBorders>
          </w:tcPr>
          <w:p w:rsidR="00613CC4" w:rsidRDefault="00613CC4">
            <w:pPr>
              <w:ind w:right="-29"/>
              <w:jc w:val="center"/>
              <w:rPr>
                <w:noProof/>
                <w:sz w:val="18"/>
                <w:szCs w:val="18"/>
              </w:rPr>
            </w:pPr>
          </w:p>
        </w:tc>
        <w:tc>
          <w:tcPr>
            <w:tcW w:w="649" w:type="dxa"/>
            <w:tcBorders>
              <w:bottom w:val="single" w:sz="12" w:space="0" w:color="auto"/>
            </w:tcBorders>
          </w:tcPr>
          <w:p w:rsidR="00613CC4" w:rsidRDefault="00950A85">
            <w:pPr>
              <w:ind w:right="-29"/>
              <w:jc w:val="center"/>
              <w:rPr>
                <w:noProof/>
                <w:sz w:val="18"/>
                <w:szCs w:val="18"/>
              </w:rPr>
            </w:pPr>
            <w:r>
              <w:rPr>
                <w:noProof/>
                <w:sz w:val="18"/>
              </w:rPr>
              <w:t>0,500</w:t>
            </w:r>
          </w:p>
        </w:tc>
        <w:tc>
          <w:tcPr>
            <w:tcW w:w="494" w:type="dxa"/>
            <w:tcBorders>
              <w:bottom w:val="single" w:sz="12" w:space="0" w:color="auto"/>
            </w:tcBorders>
          </w:tcPr>
          <w:p w:rsidR="00613CC4" w:rsidRDefault="00613CC4">
            <w:pPr>
              <w:ind w:right="-29"/>
              <w:jc w:val="center"/>
              <w:rPr>
                <w:noProof/>
                <w:sz w:val="18"/>
                <w:szCs w:val="18"/>
              </w:rPr>
            </w:pPr>
          </w:p>
        </w:tc>
        <w:tc>
          <w:tcPr>
            <w:tcW w:w="706" w:type="dxa"/>
            <w:tcBorders>
              <w:bottom w:val="single" w:sz="12" w:space="0" w:color="auto"/>
            </w:tcBorders>
          </w:tcPr>
          <w:p w:rsidR="00613CC4" w:rsidRDefault="00950A85">
            <w:pPr>
              <w:ind w:right="-29"/>
              <w:jc w:val="center"/>
              <w:rPr>
                <w:noProof/>
                <w:sz w:val="18"/>
                <w:szCs w:val="18"/>
              </w:rPr>
            </w:pPr>
            <w:r>
              <w:rPr>
                <w:noProof/>
                <w:sz w:val="18"/>
              </w:rPr>
              <w:t>5.500</w:t>
            </w:r>
          </w:p>
        </w:tc>
        <w:tc>
          <w:tcPr>
            <w:tcW w:w="431" w:type="dxa"/>
            <w:tcBorders>
              <w:bottom w:val="single" w:sz="12" w:space="0" w:color="auto"/>
            </w:tcBorders>
          </w:tcPr>
          <w:p w:rsidR="00613CC4" w:rsidRDefault="00613CC4">
            <w:pPr>
              <w:ind w:right="-29"/>
              <w:jc w:val="center"/>
              <w:rPr>
                <w:noProof/>
                <w:sz w:val="18"/>
                <w:szCs w:val="18"/>
              </w:rPr>
            </w:pPr>
          </w:p>
        </w:tc>
        <w:tc>
          <w:tcPr>
            <w:tcW w:w="769" w:type="dxa"/>
            <w:tcBorders>
              <w:bottom w:val="single" w:sz="12" w:space="0" w:color="auto"/>
            </w:tcBorders>
          </w:tcPr>
          <w:p w:rsidR="00613CC4" w:rsidRDefault="00950A85">
            <w:pPr>
              <w:ind w:right="-29"/>
              <w:jc w:val="center"/>
              <w:rPr>
                <w:noProof/>
                <w:sz w:val="18"/>
                <w:szCs w:val="18"/>
              </w:rPr>
            </w:pPr>
            <w:r>
              <w:rPr>
                <w:noProof/>
                <w:sz w:val="18"/>
              </w:rPr>
              <w:t>0,500</w:t>
            </w:r>
          </w:p>
        </w:tc>
        <w:tc>
          <w:tcPr>
            <w:tcW w:w="431" w:type="dxa"/>
            <w:tcBorders>
              <w:bottom w:val="single" w:sz="12" w:space="0" w:color="auto"/>
            </w:tcBorders>
          </w:tcPr>
          <w:p w:rsidR="00613CC4" w:rsidRDefault="00613CC4">
            <w:pPr>
              <w:ind w:right="-29"/>
              <w:jc w:val="center"/>
              <w:rPr>
                <w:noProof/>
                <w:sz w:val="18"/>
                <w:szCs w:val="18"/>
              </w:rPr>
            </w:pPr>
          </w:p>
        </w:tc>
        <w:tc>
          <w:tcPr>
            <w:tcW w:w="769" w:type="dxa"/>
            <w:tcBorders>
              <w:bottom w:val="single" w:sz="12" w:space="0" w:color="auto"/>
            </w:tcBorders>
          </w:tcPr>
          <w:p w:rsidR="00613CC4" w:rsidRDefault="00950A85">
            <w:pPr>
              <w:ind w:right="-29"/>
              <w:jc w:val="center"/>
              <w:rPr>
                <w:noProof/>
                <w:sz w:val="18"/>
                <w:szCs w:val="18"/>
              </w:rPr>
            </w:pPr>
            <w:r>
              <w:rPr>
                <w:noProof/>
                <w:sz w:val="18"/>
              </w:rPr>
              <w:t>0,500</w:t>
            </w:r>
          </w:p>
        </w:tc>
        <w:tc>
          <w:tcPr>
            <w:tcW w:w="433" w:type="dxa"/>
            <w:tcBorders>
              <w:bottom w:val="single" w:sz="12" w:space="0" w:color="auto"/>
            </w:tcBorders>
          </w:tcPr>
          <w:p w:rsidR="00613CC4" w:rsidRDefault="00613CC4">
            <w:pPr>
              <w:ind w:right="-29"/>
              <w:jc w:val="center"/>
              <w:rPr>
                <w:noProof/>
                <w:sz w:val="18"/>
                <w:szCs w:val="18"/>
              </w:rPr>
            </w:pPr>
          </w:p>
        </w:tc>
        <w:tc>
          <w:tcPr>
            <w:tcW w:w="767" w:type="dxa"/>
            <w:tcBorders>
              <w:bottom w:val="single" w:sz="12" w:space="0" w:color="auto"/>
            </w:tcBorders>
          </w:tcPr>
          <w:p w:rsidR="00613CC4" w:rsidRDefault="00950A85">
            <w:pPr>
              <w:ind w:right="-29"/>
              <w:jc w:val="center"/>
              <w:rPr>
                <w:noProof/>
                <w:sz w:val="18"/>
                <w:szCs w:val="18"/>
              </w:rPr>
            </w:pPr>
            <w:r>
              <w:rPr>
                <w:noProof/>
                <w:sz w:val="18"/>
              </w:rPr>
              <w:t>4,000</w:t>
            </w:r>
          </w:p>
        </w:tc>
        <w:tc>
          <w:tcPr>
            <w:tcW w:w="433" w:type="dxa"/>
            <w:tcBorders>
              <w:bottom w:val="single" w:sz="12" w:space="0" w:color="auto"/>
            </w:tcBorders>
          </w:tcPr>
          <w:p w:rsidR="00613CC4" w:rsidRDefault="00613CC4">
            <w:pPr>
              <w:ind w:right="-29"/>
              <w:jc w:val="center"/>
              <w:rPr>
                <w:noProof/>
                <w:sz w:val="18"/>
                <w:szCs w:val="18"/>
              </w:rPr>
            </w:pPr>
          </w:p>
        </w:tc>
        <w:tc>
          <w:tcPr>
            <w:tcW w:w="887" w:type="dxa"/>
            <w:tcBorders>
              <w:bottom w:val="single" w:sz="12" w:space="0" w:color="auto"/>
            </w:tcBorders>
          </w:tcPr>
          <w:p w:rsidR="00613CC4" w:rsidRDefault="00950A85">
            <w:pPr>
              <w:ind w:right="-29"/>
              <w:jc w:val="center"/>
              <w:rPr>
                <w:noProof/>
                <w:sz w:val="18"/>
                <w:szCs w:val="18"/>
              </w:rPr>
            </w:pPr>
            <w:r>
              <w:rPr>
                <w:noProof/>
                <w:sz w:val="18"/>
              </w:rPr>
              <w:t>0,500</w:t>
            </w:r>
          </w:p>
        </w:tc>
        <w:tc>
          <w:tcPr>
            <w:tcW w:w="857" w:type="dxa"/>
            <w:gridSpan w:val="2"/>
            <w:tcBorders>
              <w:bottom w:val="single" w:sz="12" w:space="0" w:color="auto"/>
            </w:tcBorders>
          </w:tcPr>
          <w:p w:rsidR="00613CC4" w:rsidRDefault="00950A85">
            <w:pPr>
              <w:ind w:right="-29"/>
              <w:jc w:val="center"/>
              <w:rPr>
                <w:noProof/>
                <w:sz w:val="18"/>
                <w:szCs w:val="18"/>
              </w:rPr>
            </w:pPr>
            <w:r>
              <w:rPr>
                <w:noProof/>
                <w:sz w:val="18"/>
              </w:rPr>
              <w:t>17,360</w:t>
            </w:r>
          </w:p>
        </w:tc>
      </w:tr>
      <w:tr w:rsidR="00613CC4">
        <w:trPr>
          <w:jc w:val="center"/>
        </w:trPr>
        <w:tc>
          <w:tcPr>
            <w:tcW w:w="3003" w:type="dxa"/>
            <w:gridSpan w:val="3"/>
            <w:vAlign w:val="center"/>
          </w:tcPr>
          <w:p w:rsidR="00613CC4" w:rsidRDefault="00950A85">
            <w:pPr>
              <w:spacing w:before="60" w:after="60"/>
              <w:ind w:right="-29"/>
              <w:jc w:val="center"/>
              <w:rPr>
                <w:noProof/>
                <w:sz w:val="18"/>
                <w:szCs w:val="18"/>
              </w:rPr>
            </w:pPr>
            <w:r>
              <w:rPr>
                <w:noProof/>
                <w:sz w:val="18"/>
              </w:rPr>
              <w:t>SPECIFIKT MÅL NR. 2</w:t>
            </w:r>
          </w:p>
        </w:tc>
        <w:tc>
          <w:tcPr>
            <w:tcW w:w="236" w:type="dxa"/>
            <w:tcBorders>
              <w:top w:val="nil"/>
              <w:left w:val="nil"/>
              <w:bottom w:val="nil"/>
              <w:right w:val="nil"/>
            </w:tcBorders>
          </w:tcPr>
          <w:p w:rsidR="00613CC4" w:rsidRDefault="00613CC4">
            <w:pPr>
              <w:spacing w:before="60" w:after="60"/>
              <w:ind w:right="-29"/>
              <w:jc w:val="center"/>
              <w:rPr>
                <w:noProof/>
                <w:sz w:val="18"/>
                <w:szCs w:val="18"/>
              </w:rPr>
            </w:pPr>
          </w:p>
        </w:tc>
        <w:tc>
          <w:tcPr>
            <w:tcW w:w="649" w:type="dxa"/>
            <w:tcBorders>
              <w:top w:val="nil"/>
              <w:left w:val="nil"/>
              <w:bottom w:val="nil"/>
              <w:right w:val="nil"/>
            </w:tcBorders>
          </w:tcPr>
          <w:p w:rsidR="00613CC4" w:rsidRDefault="00613CC4">
            <w:pPr>
              <w:spacing w:before="60" w:after="60"/>
              <w:ind w:right="-29"/>
              <w:jc w:val="center"/>
              <w:rPr>
                <w:noProof/>
                <w:sz w:val="18"/>
                <w:szCs w:val="18"/>
              </w:rPr>
            </w:pPr>
          </w:p>
        </w:tc>
        <w:tc>
          <w:tcPr>
            <w:tcW w:w="311" w:type="dxa"/>
            <w:tcBorders>
              <w:top w:val="nil"/>
              <w:left w:val="nil"/>
              <w:bottom w:val="nil"/>
              <w:right w:val="nil"/>
            </w:tcBorders>
          </w:tcPr>
          <w:p w:rsidR="00613CC4" w:rsidRDefault="00613CC4">
            <w:pPr>
              <w:spacing w:before="60" w:after="60"/>
              <w:ind w:right="-29"/>
              <w:jc w:val="center"/>
              <w:rPr>
                <w:noProof/>
                <w:sz w:val="18"/>
                <w:szCs w:val="18"/>
              </w:rPr>
            </w:pPr>
          </w:p>
        </w:tc>
        <w:tc>
          <w:tcPr>
            <w:tcW w:w="649" w:type="dxa"/>
            <w:tcBorders>
              <w:top w:val="nil"/>
              <w:left w:val="nil"/>
              <w:bottom w:val="nil"/>
              <w:right w:val="nil"/>
            </w:tcBorders>
          </w:tcPr>
          <w:p w:rsidR="00613CC4" w:rsidRDefault="00613CC4">
            <w:pPr>
              <w:spacing w:before="60" w:after="60"/>
              <w:ind w:right="-29"/>
              <w:jc w:val="center"/>
              <w:rPr>
                <w:noProof/>
                <w:sz w:val="18"/>
                <w:szCs w:val="18"/>
              </w:rPr>
            </w:pPr>
          </w:p>
        </w:tc>
        <w:tc>
          <w:tcPr>
            <w:tcW w:w="431" w:type="dxa"/>
            <w:tcBorders>
              <w:top w:val="nil"/>
              <w:left w:val="nil"/>
              <w:bottom w:val="nil"/>
              <w:right w:val="nil"/>
            </w:tcBorders>
          </w:tcPr>
          <w:p w:rsidR="00613CC4" w:rsidRDefault="00613CC4">
            <w:pPr>
              <w:spacing w:before="60" w:after="60"/>
              <w:ind w:right="-29"/>
              <w:jc w:val="center"/>
              <w:rPr>
                <w:noProof/>
                <w:sz w:val="18"/>
                <w:szCs w:val="18"/>
              </w:rPr>
            </w:pPr>
          </w:p>
        </w:tc>
        <w:tc>
          <w:tcPr>
            <w:tcW w:w="769" w:type="dxa"/>
            <w:tcBorders>
              <w:top w:val="nil"/>
              <w:left w:val="nil"/>
              <w:bottom w:val="nil"/>
              <w:right w:val="nil"/>
            </w:tcBorders>
          </w:tcPr>
          <w:p w:rsidR="00613CC4" w:rsidRDefault="00613CC4">
            <w:pPr>
              <w:spacing w:before="60" w:after="60"/>
              <w:ind w:right="-29"/>
              <w:jc w:val="center"/>
              <w:rPr>
                <w:noProof/>
                <w:sz w:val="18"/>
                <w:szCs w:val="18"/>
              </w:rPr>
            </w:pPr>
          </w:p>
        </w:tc>
        <w:tc>
          <w:tcPr>
            <w:tcW w:w="431" w:type="dxa"/>
            <w:tcBorders>
              <w:top w:val="nil"/>
              <w:left w:val="nil"/>
              <w:bottom w:val="nil"/>
              <w:right w:val="nil"/>
            </w:tcBorders>
          </w:tcPr>
          <w:p w:rsidR="00613CC4" w:rsidRDefault="00613CC4">
            <w:pPr>
              <w:spacing w:before="60" w:after="60"/>
              <w:ind w:right="-29"/>
              <w:jc w:val="center"/>
              <w:rPr>
                <w:noProof/>
                <w:sz w:val="18"/>
                <w:szCs w:val="18"/>
              </w:rPr>
            </w:pPr>
          </w:p>
        </w:tc>
        <w:tc>
          <w:tcPr>
            <w:tcW w:w="649" w:type="dxa"/>
            <w:tcBorders>
              <w:top w:val="nil"/>
              <w:left w:val="nil"/>
              <w:bottom w:val="nil"/>
              <w:right w:val="nil"/>
            </w:tcBorders>
          </w:tcPr>
          <w:p w:rsidR="00613CC4" w:rsidRDefault="00613CC4">
            <w:pPr>
              <w:spacing w:before="60" w:after="60"/>
              <w:ind w:right="-29"/>
              <w:jc w:val="center"/>
              <w:rPr>
                <w:noProof/>
                <w:sz w:val="18"/>
                <w:szCs w:val="18"/>
              </w:rPr>
            </w:pPr>
          </w:p>
        </w:tc>
        <w:tc>
          <w:tcPr>
            <w:tcW w:w="494" w:type="dxa"/>
            <w:tcBorders>
              <w:top w:val="nil"/>
              <w:left w:val="nil"/>
              <w:bottom w:val="nil"/>
              <w:right w:val="nil"/>
            </w:tcBorders>
          </w:tcPr>
          <w:p w:rsidR="00613CC4" w:rsidRDefault="00613CC4">
            <w:pPr>
              <w:spacing w:before="60" w:after="60"/>
              <w:ind w:right="-29"/>
              <w:jc w:val="center"/>
              <w:rPr>
                <w:noProof/>
                <w:sz w:val="18"/>
                <w:szCs w:val="18"/>
              </w:rPr>
            </w:pPr>
          </w:p>
        </w:tc>
        <w:tc>
          <w:tcPr>
            <w:tcW w:w="706" w:type="dxa"/>
            <w:tcBorders>
              <w:top w:val="nil"/>
              <w:left w:val="nil"/>
              <w:bottom w:val="nil"/>
              <w:right w:val="nil"/>
            </w:tcBorders>
          </w:tcPr>
          <w:p w:rsidR="00613CC4" w:rsidRDefault="00613CC4">
            <w:pPr>
              <w:spacing w:before="60" w:after="60"/>
              <w:ind w:right="-29"/>
              <w:jc w:val="center"/>
              <w:rPr>
                <w:noProof/>
                <w:sz w:val="18"/>
                <w:szCs w:val="18"/>
              </w:rPr>
            </w:pPr>
          </w:p>
        </w:tc>
        <w:tc>
          <w:tcPr>
            <w:tcW w:w="431" w:type="dxa"/>
            <w:tcBorders>
              <w:top w:val="nil"/>
              <w:left w:val="nil"/>
              <w:bottom w:val="nil"/>
              <w:right w:val="nil"/>
            </w:tcBorders>
          </w:tcPr>
          <w:p w:rsidR="00613CC4" w:rsidRDefault="00613CC4">
            <w:pPr>
              <w:spacing w:before="60" w:after="60"/>
              <w:ind w:right="-29"/>
              <w:jc w:val="center"/>
              <w:rPr>
                <w:noProof/>
                <w:sz w:val="18"/>
                <w:szCs w:val="18"/>
              </w:rPr>
            </w:pPr>
          </w:p>
        </w:tc>
        <w:tc>
          <w:tcPr>
            <w:tcW w:w="769" w:type="dxa"/>
            <w:tcBorders>
              <w:top w:val="nil"/>
              <w:left w:val="nil"/>
              <w:bottom w:val="nil"/>
              <w:right w:val="nil"/>
            </w:tcBorders>
          </w:tcPr>
          <w:p w:rsidR="00613CC4" w:rsidRDefault="00613CC4">
            <w:pPr>
              <w:spacing w:before="60" w:after="60"/>
              <w:ind w:right="-29"/>
              <w:jc w:val="center"/>
              <w:rPr>
                <w:noProof/>
                <w:sz w:val="18"/>
                <w:szCs w:val="18"/>
              </w:rPr>
            </w:pPr>
          </w:p>
        </w:tc>
        <w:tc>
          <w:tcPr>
            <w:tcW w:w="431" w:type="dxa"/>
            <w:tcBorders>
              <w:top w:val="nil"/>
              <w:left w:val="nil"/>
              <w:bottom w:val="nil"/>
              <w:right w:val="nil"/>
            </w:tcBorders>
          </w:tcPr>
          <w:p w:rsidR="00613CC4" w:rsidRDefault="00613CC4">
            <w:pPr>
              <w:spacing w:before="60" w:after="60"/>
              <w:ind w:right="-29"/>
              <w:jc w:val="center"/>
              <w:rPr>
                <w:noProof/>
                <w:sz w:val="18"/>
                <w:szCs w:val="18"/>
              </w:rPr>
            </w:pPr>
          </w:p>
        </w:tc>
        <w:tc>
          <w:tcPr>
            <w:tcW w:w="769" w:type="dxa"/>
            <w:tcBorders>
              <w:top w:val="nil"/>
              <w:left w:val="nil"/>
              <w:bottom w:val="nil"/>
              <w:right w:val="nil"/>
            </w:tcBorders>
          </w:tcPr>
          <w:p w:rsidR="00613CC4" w:rsidRDefault="00613CC4">
            <w:pPr>
              <w:spacing w:before="60" w:after="60"/>
              <w:ind w:right="-29"/>
              <w:jc w:val="center"/>
              <w:rPr>
                <w:noProof/>
                <w:sz w:val="18"/>
                <w:szCs w:val="18"/>
              </w:rPr>
            </w:pPr>
          </w:p>
        </w:tc>
        <w:tc>
          <w:tcPr>
            <w:tcW w:w="433" w:type="dxa"/>
            <w:tcBorders>
              <w:top w:val="nil"/>
              <w:left w:val="nil"/>
              <w:bottom w:val="nil"/>
              <w:right w:val="nil"/>
            </w:tcBorders>
          </w:tcPr>
          <w:p w:rsidR="00613CC4" w:rsidRDefault="00613CC4">
            <w:pPr>
              <w:spacing w:before="60" w:after="60"/>
              <w:ind w:right="-29"/>
              <w:jc w:val="center"/>
              <w:rPr>
                <w:noProof/>
                <w:sz w:val="18"/>
                <w:szCs w:val="18"/>
              </w:rPr>
            </w:pPr>
          </w:p>
        </w:tc>
        <w:tc>
          <w:tcPr>
            <w:tcW w:w="767" w:type="dxa"/>
            <w:tcBorders>
              <w:top w:val="nil"/>
              <w:left w:val="nil"/>
              <w:bottom w:val="nil"/>
              <w:right w:val="nil"/>
            </w:tcBorders>
          </w:tcPr>
          <w:p w:rsidR="00613CC4" w:rsidRDefault="00613CC4">
            <w:pPr>
              <w:spacing w:before="60" w:after="60"/>
              <w:ind w:right="-29"/>
              <w:jc w:val="center"/>
              <w:rPr>
                <w:noProof/>
                <w:sz w:val="18"/>
                <w:szCs w:val="18"/>
              </w:rPr>
            </w:pPr>
          </w:p>
        </w:tc>
        <w:tc>
          <w:tcPr>
            <w:tcW w:w="433" w:type="dxa"/>
            <w:tcBorders>
              <w:top w:val="nil"/>
              <w:left w:val="nil"/>
              <w:bottom w:val="nil"/>
              <w:right w:val="nil"/>
            </w:tcBorders>
          </w:tcPr>
          <w:p w:rsidR="00613CC4" w:rsidRDefault="00613CC4">
            <w:pPr>
              <w:spacing w:before="60" w:after="60"/>
              <w:ind w:right="-29"/>
              <w:jc w:val="center"/>
              <w:rPr>
                <w:noProof/>
                <w:sz w:val="18"/>
                <w:szCs w:val="18"/>
              </w:rPr>
            </w:pPr>
          </w:p>
        </w:tc>
        <w:tc>
          <w:tcPr>
            <w:tcW w:w="887" w:type="dxa"/>
            <w:tcBorders>
              <w:top w:val="nil"/>
              <w:left w:val="nil"/>
              <w:bottom w:val="nil"/>
              <w:right w:val="nil"/>
            </w:tcBorders>
          </w:tcPr>
          <w:p w:rsidR="00613CC4" w:rsidRDefault="00613CC4">
            <w:pPr>
              <w:spacing w:before="60" w:after="60"/>
              <w:ind w:right="-29"/>
              <w:jc w:val="center"/>
              <w:rPr>
                <w:noProof/>
                <w:sz w:val="18"/>
                <w:szCs w:val="18"/>
              </w:rPr>
            </w:pPr>
          </w:p>
        </w:tc>
        <w:tc>
          <w:tcPr>
            <w:tcW w:w="857" w:type="dxa"/>
            <w:gridSpan w:val="2"/>
            <w:tcBorders>
              <w:top w:val="nil"/>
              <w:left w:val="nil"/>
              <w:bottom w:val="nil"/>
              <w:right w:val="nil"/>
            </w:tcBorders>
          </w:tcPr>
          <w:p w:rsidR="00613CC4" w:rsidRDefault="00613CC4">
            <w:pPr>
              <w:spacing w:before="60" w:after="60"/>
              <w:ind w:right="-29"/>
              <w:jc w:val="center"/>
              <w:rPr>
                <w:noProof/>
                <w:sz w:val="18"/>
                <w:szCs w:val="18"/>
              </w:rPr>
            </w:pPr>
          </w:p>
        </w:tc>
      </w:tr>
      <w:tr w:rsidR="00613CC4">
        <w:trPr>
          <w:trHeight w:hRule="exact" w:val="369"/>
          <w:jc w:val="center"/>
        </w:trPr>
        <w:tc>
          <w:tcPr>
            <w:tcW w:w="1232" w:type="dxa"/>
          </w:tcPr>
          <w:p w:rsidR="00613CC4" w:rsidRDefault="00950A85">
            <w:pPr>
              <w:ind w:right="-29"/>
              <w:jc w:val="center"/>
              <w:rPr>
                <w:noProof/>
                <w:sz w:val="18"/>
                <w:szCs w:val="18"/>
              </w:rPr>
            </w:pPr>
            <w:r>
              <w:rPr>
                <w:noProof/>
                <w:sz w:val="18"/>
              </w:rPr>
              <w:t>- Resultat</w:t>
            </w:r>
          </w:p>
        </w:tc>
        <w:tc>
          <w:tcPr>
            <w:tcW w:w="1085" w:type="dxa"/>
          </w:tcPr>
          <w:p w:rsidR="00613CC4" w:rsidRDefault="00613CC4">
            <w:pPr>
              <w:ind w:right="-29"/>
              <w:jc w:val="center"/>
              <w:rPr>
                <w:noProof/>
                <w:sz w:val="18"/>
                <w:szCs w:val="18"/>
              </w:rPr>
            </w:pPr>
          </w:p>
        </w:tc>
        <w:tc>
          <w:tcPr>
            <w:tcW w:w="686" w:type="dxa"/>
          </w:tcPr>
          <w:p w:rsidR="00613CC4" w:rsidRDefault="00613CC4">
            <w:pPr>
              <w:ind w:right="-29"/>
              <w:jc w:val="center"/>
              <w:rPr>
                <w:noProof/>
                <w:sz w:val="18"/>
                <w:szCs w:val="18"/>
              </w:rPr>
            </w:pPr>
          </w:p>
        </w:tc>
        <w:tc>
          <w:tcPr>
            <w:tcW w:w="236" w:type="dxa"/>
          </w:tcPr>
          <w:p w:rsidR="00613CC4" w:rsidRDefault="00613CC4">
            <w:pPr>
              <w:ind w:right="-29"/>
              <w:jc w:val="center"/>
              <w:rPr>
                <w:noProof/>
                <w:sz w:val="18"/>
                <w:szCs w:val="18"/>
              </w:rPr>
            </w:pPr>
          </w:p>
        </w:tc>
        <w:tc>
          <w:tcPr>
            <w:tcW w:w="649" w:type="dxa"/>
          </w:tcPr>
          <w:p w:rsidR="00613CC4" w:rsidRDefault="00613CC4">
            <w:pPr>
              <w:ind w:right="-29"/>
              <w:jc w:val="center"/>
              <w:rPr>
                <w:noProof/>
                <w:sz w:val="18"/>
                <w:szCs w:val="18"/>
              </w:rPr>
            </w:pPr>
          </w:p>
        </w:tc>
        <w:tc>
          <w:tcPr>
            <w:tcW w:w="311" w:type="dxa"/>
          </w:tcPr>
          <w:p w:rsidR="00613CC4" w:rsidRDefault="00613CC4">
            <w:pPr>
              <w:ind w:right="-29"/>
              <w:jc w:val="center"/>
              <w:rPr>
                <w:noProof/>
                <w:sz w:val="18"/>
                <w:szCs w:val="18"/>
              </w:rPr>
            </w:pPr>
          </w:p>
        </w:tc>
        <w:tc>
          <w:tcPr>
            <w:tcW w:w="649" w:type="dxa"/>
          </w:tcPr>
          <w:p w:rsidR="00613CC4" w:rsidRDefault="00613CC4">
            <w:pPr>
              <w:ind w:right="-29"/>
              <w:jc w:val="center"/>
              <w:rPr>
                <w:noProof/>
                <w:sz w:val="18"/>
                <w:szCs w:val="18"/>
              </w:rPr>
            </w:pPr>
          </w:p>
        </w:tc>
        <w:tc>
          <w:tcPr>
            <w:tcW w:w="431" w:type="dxa"/>
          </w:tcPr>
          <w:p w:rsidR="00613CC4" w:rsidRDefault="00613CC4">
            <w:pPr>
              <w:ind w:right="-29"/>
              <w:jc w:val="center"/>
              <w:rPr>
                <w:noProof/>
                <w:sz w:val="18"/>
                <w:szCs w:val="18"/>
              </w:rPr>
            </w:pPr>
          </w:p>
        </w:tc>
        <w:tc>
          <w:tcPr>
            <w:tcW w:w="769" w:type="dxa"/>
          </w:tcPr>
          <w:p w:rsidR="00613CC4" w:rsidRDefault="00613CC4">
            <w:pPr>
              <w:ind w:right="-29"/>
              <w:jc w:val="center"/>
              <w:rPr>
                <w:noProof/>
                <w:sz w:val="18"/>
                <w:szCs w:val="18"/>
              </w:rPr>
            </w:pPr>
          </w:p>
        </w:tc>
        <w:tc>
          <w:tcPr>
            <w:tcW w:w="431" w:type="dxa"/>
          </w:tcPr>
          <w:p w:rsidR="00613CC4" w:rsidRDefault="00613CC4">
            <w:pPr>
              <w:ind w:right="-29"/>
              <w:jc w:val="center"/>
              <w:rPr>
                <w:noProof/>
                <w:sz w:val="18"/>
                <w:szCs w:val="18"/>
              </w:rPr>
            </w:pPr>
          </w:p>
        </w:tc>
        <w:tc>
          <w:tcPr>
            <w:tcW w:w="649" w:type="dxa"/>
          </w:tcPr>
          <w:p w:rsidR="00613CC4" w:rsidRDefault="00613CC4">
            <w:pPr>
              <w:ind w:right="-29"/>
              <w:jc w:val="center"/>
              <w:rPr>
                <w:noProof/>
                <w:sz w:val="18"/>
                <w:szCs w:val="18"/>
              </w:rPr>
            </w:pPr>
          </w:p>
        </w:tc>
        <w:tc>
          <w:tcPr>
            <w:tcW w:w="494" w:type="dxa"/>
          </w:tcPr>
          <w:p w:rsidR="00613CC4" w:rsidRDefault="00613CC4">
            <w:pPr>
              <w:ind w:right="-29"/>
              <w:jc w:val="center"/>
              <w:rPr>
                <w:noProof/>
                <w:sz w:val="18"/>
                <w:szCs w:val="18"/>
              </w:rPr>
            </w:pPr>
          </w:p>
        </w:tc>
        <w:tc>
          <w:tcPr>
            <w:tcW w:w="706" w:type="dxa"/>
          </w:tcPr>
          <w:p w:rsidR="00613CC4" w:rsidRDefault="00613CC4">
            <w:pPr>
              <w:ind w:right="-29"/>
              <w:jc w:val="center"/>
              <w:rPr>
                <w:noProof/>
                <w:sz w:val="18"/>
                <w:szCs w:val="18"/>
              </w:rPr>
            </w:pPr>
          </w:p>
        </w:tc>
        <w:tc>
          <w:tcPr>
            <w:tcW w:w="431" w:type="dxa"/>
          </w:tcPr>
          <w:p w:rsidR="00613CC4" w:rsidRDefault="00613CC4">
            <w:pPr>
              <w:ind w:right="-29"/>
              <w:jc w:val="center"/>
              <w:rPr>
                <w:noProof/>
                <w:sz w:val="18"/>
                <w:szCs w:val="18"/>
              </w:rPr>
            </w:pPr>
          </w:p>
        </w:tc>
        <w:tc>
          <w:tcPr>
            <w:tcW w:w="769" w:type="dxa"/>
          </w:tcPr>
          <w:p w:rsidR="00613CC4" w:rsidRDefault="00613CC4">
            <w:pPr>
              <w:ind w:right="-29"/>
              <w:jc w:val="center"/>
              <w:rPr>
                <w:noProof/>
                <w:sz w:val="18"/>
                <w:szCs w:val="18"/>
              </w:rPr>
            </w:pPr>
          </w:p>
        </w:tc>
        <w:tc>
          <w:tcPr>
            <w:tcW w:w="431" w:type="dxa"/>
          </w:tcPr>
          <w:p w:rsidR="00613CC4" w:rsidRDefault="00613CC4">
            <w:pPr>
              <w:ind w:right="-29"/>
              <w:jc w:val="center"/>
              <w:rPr>
                <w:noProof/>
                <w:sz w:val="18"/>
                <w:szCs w:val="18"/>
              </w:rPr>
            </w:pPr>
          </w:p>
        </w:tc>
        <w:tc>
          <w:tcPr>
            <w:tcW w:w="769" w:type="dxa"/>
          </w:tcPr>
          <w:p w:rsidR="00613CC4" w:rsidRDefault="00613CC4">
            <w:pPr>
              <w:ind w:right="-29"/>
              <w:jc w:val="center"/>
              <w:rPr>
                <w:noProof/>
                <w:sz w:val="18"/>
                <w:szCs w:val="18"/>
              </w:rPr>
            </w:pPr>
          </w:p>
        </w:tc>
        <w:tc>
          <w:tcPr>
            <w:tcW w:w="433" w:type="dxa"/>
          </w:tcPr>
          <w:p w:rsidR="00613CC4" w:rsidRDefault="00613CC4">
            <w:pPr>
              <w:ind w:right="-29"/>
              <w:jc w:val="center"/>
              <w:rPr>
                <w:noProof/>
                <w:sz w:val="18"/>
                <w:szCs w:val="18"/>
              </w:rPr>
            </w:pPr>
          </w:p>
        </w:tc>
        <w:tc>
          <w:tcPr>
            <w:tcW w:w="767" w:type="dxa"/>
          </w:tcPr>
          <w:p w:rsidR="00613CC4" w:rsidRDefault="00613CC4">
            <w:pPr>
              <w:ind w:right="-29"/>
              <w:jc w:val="center"/>
              <w:rPr>
                <w:noProof/>
                <w:sz w:val="18"/>
                <w:szCs w:val="18"/>
              </w:rPr>
            </w:pPr>
          </w:p>
        </w:tc>
        <w:tc>
          <w:tcPr>
            <w:tcW w:w="433" w:type="dxa"/>
          </w:tcPr>
          <w:p w:rsidR="00613CC4" w:rsidRDefault="00613CC4">
            <w:pPr>
              <w:ind w:right="-29"/>
              <w:jc w:val="center"/>
              <w:rPr>
                <w:noProof/>
                <w:sz w:val="18"/>
                <w:szCs w:val="18"/>
              </w:rPr>
            </w:pPr>
          </w:p>
        </w:tc>
        <w:tc>
          <w:tcPr>
            <w:tcW w:w="887" w:type="dxa"/>
          </w:tcPr>
          <w:p w:rsidR="00613CC4" w:rsidRDefault="00613CC4">
            <w:pPr>
              <w:ind w:right="-29"/>
              <w:jc w:val="center"/>
              <w:rPr>
                <w:noProof/>
                <w:sz w:val="18"/>
                <w:szCs w:val="18"/>
              </w:rPr>
            </w:pPr>
          </w:p>
        </w:tc>
        <w:tc>
          <w:tcPr>
            <w:tcW w:w="857" w:type="dxa"/>
            <w:gridSpan w:val="2"/>
          </w:tcPr>
          <w:p w:rsidR="00613CC4" w:rsidRDefault="00613CC4">
            <w:pPr>
              <w:ind w:right="-29"/>
              <w:jc w:val="center"/>
              <w:rPr>
                <w:noProof/>
                <w:sz w:val="18"/>
                <w:szCs w:val="18"/>
              </w:rPr>
            </w:pPr>
          </w:p>
        </w:tc>
      </w:tr>
      <w:tr w:rsidR="00613CC4">
        <w:trPr>
          <w:jc w:val="center"/>
        </w:trPr>
        <w:tc>
          <w:tcPr>
            <w:tcW w:w="3003" w:type="dxa"/>
            <w:gridSpan w:val="3"/>
            <w:tcBorders>
              <w:bottom w:val="single" w:sz="12" w:space="0" w:color="auto"/>
            </w:tcBorders>
            <w:vAlign w:val="center"/>
          </w:tcPr>
          <w:p w:rsidR="00613CC4" w:rsidRDefault="00950A85">
            <w:pPr>
              <w:jc w:val="center"/>
              <w:rPr>
                <w:noProof/>
                <w:sz w:val="18"/>
                <w:szCs w:val="18"/>
              </w:rPr>
            </w:pPr>
            <w:r>
              <w:rPr>
                <w:noProof/>
                <w:sz w:val="18"/>
              </w:rPr>
              <w:t>Subtotal for specifikt mål nr. 2</w:t>
            </w:r>
          </w:p>
        </w:tc>
        <w:tc>
          <w:tcPr>
            <w:tcW w:w="236" w:type="dxa"/>
            <w:tcBorders>
              <w:bottom w:val="single" w:sz="12" w:space="0" w:color="auto"/>
            </w:tcBorders>
          </w:tcPr>
          <w:p w:rsidR="00613CC4" w:rsidRDefault="00613CC4">
            <w:pPr>
              <w:ind w:right="-29"/>
              <w:jc w:val="center"/>
              <w:rPr>
                <w:noProof/>
                <w:sz w:val="18"/>
                <w:szCs w:val="18"/>
              </w:rPr>
            </w:pPr>
          </w:p>
        </w:tc>
        <w:tc>
          <w:tcPr>
            <w:tcW w:w="649" w:type="dxa"/>
            <w:tcBorders>
              <w:bottom w:val="single" w:sz="12" w:space="0" w:color="auto"/>
            </w:tcBorders>
          </w:tcPr>
          <w:p w:rsidR="00613CC4" w:rsidRDefault="00613CC4">
            <w:pPr>
              <w:ind w:right="-29"/>
              <w:jc w:val="center"/>
              <w:rPr>
                <w:noProof/>
                <w:sz w:val="18"/>
                <w:szCs w:val="18"/>
              </w:rPr>
            </w:pPr>
          </w:p>
        </w:tc>
        <w:tc>
          <w:tcPr>
            <w:tcW w:w="311" w:type="dxa"/>
            <w:tcBorders>
              <w:bottom w:val="single" w:sz="12" w:space="0" w:color="auto"/>
            </w:tcBorders>
          </w:tcPr>
          <w:p w:rsidR="00613CC4" w:rsidRDefault="00613CC4">
            <w:pPr>
              <w:ind w:right="-29"/>
              <w:jc w:val="center"/>
              <w:rPr>
                <w:noProof/>
                <w:sz w:val="18"/>
                <w:szCs w:val="18"/>
              </w:rPr>
            </w:pPr>
          </w:p>
        </w:tc>
        <w:tc>
          <w:tcPr>
            <w:tcW w:w="649" w:type="dxa"/>
            <w:tcBorders>
              <w:bottom w:val="single" w:sz="12" w:space="0" w:color="auto"/>
            </w:tcBorders>
          </w:tcPr>
          <w:p w:rsidR="00613CC4" w:rsidRDefault="00613CC4">
            <w:pPr>
              <w:ind w:right="-29"/>
              <w:jc w:val="center"/>
              <w:rPr>
                <w:noProof/>
                <w:sz w:val="18"/>
                <w:szCs w:val="18"/>
              </w:rPr>
            </w:pPr>
          </w:p>
        </w:tc>
        <w:tc>
          <w:tcPr>
            <w:tcW w:w="431" w:type="dxa"/>
            <w:tcBorders>
              <w:bottom w:val="single" w:sz="12" w:space="0" w:color="auto"/>
            </w:tcBorders>
          </w:tcPr>
          <w:p w:rsidR="00613CC4" w:rsidRDefault="00613CC4">
            <w:pPr>
              <w:ind w:right="-29"/>
              <w:jc w:val="center"/>
              <w:rPr>
                <w:noProof/>
                <w:sz w:val="18"/>
                <w:szCs w:val="18"/>
              </w:rPr>
            </w:pPr>
          </w:p>
        </w:tc>
        <w:tc>
          <w:tcPr>
            <w:tcW w:w="769" w:type="dxa"/>
            <w:tcBorders>
              <w:bottom w:val="single" w:sz="12" w:space="0" w:color="auto"/>
            </w:tcBorders>
          </w:tcPr>
          <w:p w:rsidR="00613CC4" w:rsidRDefault="00613CC4">
            <w:pPr>
              <w:ind w:right="-29"/>
              <w:jc w:val="center"/>
              <w:rPr>
                <w:noProof/>
                <w:sz w:val="18"/>
                <w:szCs w:val="18"/>
              </w:rPr>
            </w:pPr>
          </w:p>
        </w:tc>
        <w:tc>
          <w:tcPr>
            <w:tcW w:w="431" w:type="dxa"/>
            <w:tcBorders>
              <w:bottom w:val="single" w:sz="12" w:space="0" w:color="auto"/>
            </w:tcBorders>
          </w:tcPr>
          <w:p w:rsidR="00613CC4" w:rsidRDefault="00613CC4">
            <w:pPr>
              <w:ind w:right="-29"/>
              <w:jc w:val="center"/>
              <w:rPr>
                <w:noProof/>
                <w:sz w:val="18"/>
                <w:szCs w:val="18"/>
              </w:rPr>
            </w:pPr>
          </w:p>
        </w:tc>
        <w:tc>
          <w:tcPr>
            <w:tcW w:w="649" w:type="dxa"/>
            <w:tcBorders>
              <w:bottom w:val="single" w:sz="12" w:space="0" w:color="auto"/>
            </w:tcBorders>
          </w:tcPr>
          <w:p w:rsidR="00613CC4" w:rsidRDefault="00613CC4">
            <w:pPr>
              <w:ind w:right="-29"/>
              <w:jc w:val="center"/>
              <w:rPr>
                <w:noProof/>
                <w:sz w:val="18"/>
                <w:szCs w:val="18"/>
              </w:rPr>
            </w:pPr>
          </w:p>
        </w:tc>
        <w:tc>
          <w:tcPr>
            <w:tcW w:w="494" w:type="dxa"/>
            <w:tcBorders>
              <w:bottom w:val="single" w:sz="12" w:space="0" w:color="auto"/>
            </w:tcBorders>
          </w:tcPr>
          <w:p w:rsidR="00613CC4" w:rsidRDefault="00613CC4">
            <w:pPr>
              <w:ind w:right="-29"/>
              <w:jc w:val="center"/>
              <w:rPr>
                <w:noProof/>
                <w:sz w:val="18"/>
                <w:szCs w:val="18"/>
              </w:rPr>
            </w:pPr>
          </w:p>
        </w:tc>
        <w:tc>
          <w:tcPr>
            <w:tcW w:w="706" w:type="dxa"/>
            <w:tcBorders>
              <w:bottom w:val="single" w:sz="12" w:space="0" w:color="auto"/>
            </w:tcBorders>
          </w:tcPr>
          <w:p w:rsidR="00613CC4" w:rsidRDefault="00613CC4">
            <w:pPr>
              <w:ind w:right="-29"/>
              <w:jc w:val="center"/>
              <w:rPr>
                <w:noProof/>
                <w:sz w:val="18"/>
                <w:szCs w:val="18"/>
              </w:rPr>
            </w:pPr>
          </w:p>
        </w:tc>
        <w:tc>
          <w:tcPr>
            <w:tcW w:w="431" w:type="dxa"/>
            <w:tcBorders>
              <w:bottom w:val="single" w:sz="12" w:space="0" w:color="auto"/>
            </w:tcBorders>
          </w:tcPr>
          <w:p w:rsidR="00613CC4" w:rsidRDefault="00613CC4">
            <w:pPr>
              <w:ind w:right="-29"/>
              <w:jc w:val="center"/>
              <w:rPr>
                <w:noProof/>
                <w:sz w:val="18"/>
                <w:szCs w:val="18"/>
              </w:rPr>
            </w:pPr>
          </w:p>
        </w:tc>
        <w:tc>
          <w:tcPr>
            <w:tcW w:w="769" w:type="dxa"/>
            <w:tcBorders>
              <w:bottom w:val="single" w:sz="12" w:space="0" w:color="auto"/>
            </w:tcBorders>
          </w:tcPr>
          <w:p w:rsidR="00613CC4" w:rsidRDefault="00613CC4">
            <w:pPr>
              <w:ind w:right="-29"/>
              <w:jc w:val="center"/>
              <w:rPr>
                <w:noProof/>
                <w:sz w:val="18"/>
                <w:szCs w:val="18"/>
              </w:rPr>
            </w:pPr>
          </w:p>
        </w:tc>
        <w:tc>
          <w:tcPr>
            <w:tcW w:w="431" w:type="dxa"/>
            <w:tcBorders>
              <w:bottom w:val="single" w:sz="12" w:space="0" w:color="auto"/>
            </w:tcBorders>
          </w:tcPr>
          <w:p w:rsidR="00613CC4" w:rsidRDefault="00613CC4">
            <w:pPr>
              <w:ind w:right="-29"/>
              <w:jc w:val="center"/>
              <w:rPr>
                <w:noProof/>
                <w:sz w:val="18"/>
                <w:szCs w:val="18"/>
              </w:rPr>
            </w:pPr>
          </w:p>
        </w:tc>
        <w:tc>
          <w:tcPr>
            <w:tcW w:w="769" w:type="dxa"/>
            <w:tcBorders>
              <w:bottom w:val="single" w:sz="12" w:space="0" w:color="auto"/>
            </w:tcBorders>
          </w:tcPr>
          <w:p w:rsidR="00613CC4" w:rsidRDefault="00613CC4">
            <w:pPr>
              <w:ind w:right="-29"/>
              <w:jc w:val="center"/>
              <w:rPr>
                <w:noProof/>
                <w:sz w:val="18"/>
                <w:szCs w:val="18"/>
              </w:rPr>
            </w:pPr>
          </w:p>
        </w:tc>
        <w:tc>
          <w:tcPr>
            <w:tcW w:w="433" w:type="dxa"/>
            <w:tcBorders>
              <w:bottom w:val="single" w:sz="12" w:space="0" w:color="auto"/>
            </w:tcBorders>
          </w:tcPr>
          <w:p w:rsidR="00613CC4" w:rsidRDefault="00613CC4">
            <w:pPr>
              <w:ind w:right="-29"/>
              <w:jc w:val="center"/>
              <w:rPr>
                <w:noProof/>
                <w:sz w:val="18"/>
                <w:szCs w:val="18"/>
              </w:rPr>
            </w:pPr>
          </w:p>
        </w:tc>
        <w:tc>
          <w:tcPr>
            <w:tcW w:w="767" w:type="dxa"/>
            <w:tcBorders>
              <w:bottom w:val="single" w:sz="12" w:space="0" w:color="auto"/>
            </w:tcBorders>
          </w:tcPr>
          <w:p w:rsidR="00613CC4" w:rsidRDefault="00613CC4">
            <w:pPr>
              <w:ind w:right="-29"/>
              <w:jc w:val="center"/>
              <w:rPr>
                <w:noProof/>
                <w:sz w:val="18"/>
                <w:szCs w:val="18"/>
              </w:rPr>
            </w:pPr>
          </w:p>
        </w:tc>
        <w:tc>
          <w:tcPr>
            <w:tcW w:w="433" w:type="dxa"/>
            <w:tcBorders>
              <w:bottom w:val="single" w:sz="12" w:space="0" w:color="auto"/>
            </w:tcBorders>
          </w:tcPr>
          <w:p w:rsidR="00613CC4" w:rsidRDefault="00613CC4">
            <w:pPr>
              <w:ind w:right="-29"/>
              <w:jc w:val="center"/>
              <w:rPr>
                <w:noProof/>
                <w:sz w:val="18"/>
                <w:szCs w:val="18"/>
              </w:rPr>
            </w:pPr>
          </w:p>
        </w:tc>
        <w:tc>
          <w:tcPr>
            <w:tcW w:w="887" w:type="dxa"/>
            <w:tcBorders>
              <w:bottom w:val="single" w:sz="12" w:space="0" w:color="auto"/>
            </w:tcBorders>
          </w:tcPr>
          <w:p w:rsidR="00613CC4" w:rsidRDefault="00613CC4">
            <w:pPr>
              <w:ind w:right="-29"/>
              <w:jc w:val="center"/>
              <w:rPr>
                <w:noProof/>
                <w:sz w:val="18"/>
                <w:szCs w:val="18"/>
              </w:rPr>
            </w:pPr>
          </w:p>
        </w:tc>
        <w:tc>
          <w:tcPr>
            <w:tcW w:w="857" w:type="dxa"/>
            <w:gridSpan w:val="2"/>
            <w:tcBorders>
              <w:bottom w:val="single" w:sz="12" w:space="0" w:color="auto"/>
            </w:tcBorders>
          </w:tcPr>
          <w:p w:rsidR="00613CC4" w:rsidRDefault="00613CC4">
            <w:pPr>
              <w:ind w:right="-29"/>
              <w:jc w:val="center"/>
              <w:rPr>
                <w:noProof/>
                <w:sz w:val="18"/>
                <w:szCs w:val="18"/>
              </w:rPr>
            </w:pPr>
          </w:p>
        </w:tc>
      </w:tr>
      <w:tr w:rsidR="00613CC4">
        <w:trPr>
          <w:jc w:val="center"/>
        </w:trPr>
        <w:tc>
          <w:tcPr>
            <w:tcW w:w="3003" w:type="dxa"/>
            <w:gridSpan w:val="3"/>
            <w:tcBorders>
              <w:top w:val="single" w:sz="12" w:space="0" w:color="auto"/>
              <w:left w:val="single" w:sz="12" w:space="0" w:color="auto"/>
              <w:bottom w:val="single" w:sz="12" w:space="0" w:color="auto"/>
            </w:tcBorders>
            <w:vAlign w:val="center"/>
          </w:tcPr>
          <w:p w:rsidR="00613CC4" w:rsidRDefault="00950A85">
            <w:pPr>
              <w:ind w:right="-29"/>
              <w:jc w:val="center"/>
              <w:rPr>
                <w:noProof/>
                <w:sz w:val="18"/>
                <w:szCs w:val="18"/>
              </w:rPr>
            </w:pPr>
            <w:r>
              <w:rPr>
                <w:b/>
                <w:noProof/>
                <w:sz w:val="18"/>
              </w:rPr>
              <w:t>OMKOSTNINGER I ALT</w:t>
            </w:r>
          </w:p>
        </w:tc>
        <w:tc>
          <w:tcPr>
            <w:tcW w:w="236" w:type="dxa"/>
            <w:tcBorders>
              <w:top w:val="single" w:sz="12" w:space="0" w:color="auto"/>
              <w:bottom w:val="single" w:sz="12" w:space="0" w:color="auto"/>
            </w:tcBorders>
          </w:tcPr>
          <w:p w:rsidR="00613CC4" w:rsidRDefault="00613CC4">
            <w:pPr>
              <w:spacing w:before="180" w:after="180"/>
              <w:ind w:right="-29"/>
              <w:jc w:val="center"/>
              <w:rPr>
                <w:noProof/>
                <w:sz w:val="18"/>
                <w:szCs w:val="18"/>
              </w:rPr>
            </w:pPr>
          </w:p>
        </w:tc>
        <w:tc>
          <w:tcPr>
            <w:tcW w:w="649" w:type="dxa"/>
            <w:tcBorders>
              <w:top w:val="single" w:sz="12" w:space="0" w:color="auto"/>
              <w:bottom w:val="single" w:sz="12" w:space="0" w:color="auto"/>
            </w:tcBorders>
          </w:tcPr>
          <w:p w:rsidR="00613CC4" w:rsidRDefault="00950A85">
            <w:pPr>
              <w:spacing w:before="180" w:after="180"/>
              <w:ind w:right="-29"/>
              <w:jc w:val="center"/>
              <w:rPr>
                <w:noProof/>
                <w:sz w:val="18"/>
                <w:szCs w:val="18"/>
              </w:rPr>
            </w:pPr>
            <w:r>
              <w:rPr>
                <w:noProof/>
                <w:sz w:val="18"/>
              </w:rPr>
              <w:t>0,360</w:t>
            </w:r>
          </w:p>
        </w:tc>
        <w:tc>
          <w:tcPr>
            <w:tcW w:w="311" w:type="dxa"/>
            <w:tcBorders>
              <w:top w:val="single" w:sz="12" w:space="0" w:color="auto"/>
              <w:bottom w:val="single" w:sz="12" w:space="0" w:color="auto"/>
            </w:tcBorders>
          </w:tcPr>
          <w:p w:rsidR="00613CC4" w:rsidRDefault="00613CC4">
            <w:pPr>
              <w:spacing w:before="180" w:after="180"/>
              <w:ind w:right="-29"/>
              <w:jc w:val="center"/>
              <w:rPr>
                <w:noProof/>
                <w:sz w:val="18"/>
                <w:szCs w:val="18"/>
              </w:rPr>
            </w:pPr>
          </w:p>
        </w:tc>
        <w:tc>
          <w:tcPr>
            <w:tcW w:w="649" w:type="dxa"/>
            <w:tcBorders>
              <w:top w:val="single" w:sz="12" w:space="0" w:color="auto"/>
              <w:bottom w:val="single" w:sz="12" w:space="0" w:color="auto"/>
            </w:tcBorders>
          </w:tcPr>
          <w:p w:rsidR="00613CC4" w:rsidRDefault="00950A85">
            <w:pPr>
              <w:spacing w:before="180" w:after="180"/>
              <w:ind w:right="-29"/>
              <w:jc w:val="center"/>
              <w:rPr>
                <w:noProof/>
                <w:sz w:val="18"/>
                <w:szCs w:val="18"/>
              </w:rPr>
            </w:pPr>
            <w:r>
              <w:rPr>
                <w:noProof/>
                <w:sz w:val="18"/>
              </w:rPr>
              <w:t>0,500</w:t>
            </w:r>
          </w:p>
        </w:tc>
        <w:tc>
          <w:tcPr>
            <w:tcW w:w="431" w:type="dxa"/>
            <w:tcBorders>
              <w:top w:val="single" w:sz="12" w:space="0" w:color="auto"/>
              <w:bottom w:val="single" w:sz="12" w:space="0" w:color="auto"/>
            </w:tcBorders>
          </w:tcPr>
          <w:p w:rsidR="00613CC4" w:rsidRDefault="00613CC4">
            <w:pPr>
              <w:spacing w:before="180" w:after="180"/>
              <w:ind w:right="-29"/>
              <w:jc w:val="center"/>
              <w:rPr>
                <w:noProof/>
                <w:sz w:val="18"/>
                <w:szCs w:val="18"/>
              </w:rPr>
            </w:pPr>
          </w:p>
        </w:tc>
        <w:tc>
          <w:tcPr>
            <w:tcW w:w="769" w:type="dxa"/>
            <w:tcBorders>
              <w:top w:val="single" w:sz="12" w:space="0" w:color="auto"/>
              <w:bottom w:val="single" w:sz="12" w:space="0" w:color="auto"/>
            </w:tcBorders>
          </w:tcPr>
          <w:p w:rsidR="00613CC4" w:rsidRDefault="00950A85">
            <w:pPr>
              <w:spacing w:before="180" w:after="180"/>
              <w:ind w:right="-29"/>
              <w:jc w:val="center"/>
              <w:rPr>
                <w:noProof/>
                <w:sz w:val="18"/>
                <w:szCs w:val="18"/>
              </w:rPr>
            </w:pPr>
            <w:r>
              <w:rPr>
                <w:noProof/>
                <w:sz w:val="18"/>
              </w:rPr>
              <w:t>6,640</w:t>
            </w:r>
          </w:p>
        </w:tc>
        <w:tc>
          <w:tcPr>
            <w:tcW w:w="431" w:type="dxa"/>
            <w:tcBorders>
              <w:top w:val="single" w:sz="12" w:space="0" w:color="auto"/>
              <w:bottom w:val="single" w:sz="12" w:space="0" w:color="auto"/>
            </w:tcBorders>
          </w:tcPr>
          <w:p w:rsidR="00613CC4" w:rsidRDefault="00613CC4">
            <w:pPr>
              <w:spacing w:before="180" w:after="180"/>
              <w:ind w:right="-29"/>
              <w:jc w:val="center"/>
              <w:rPr>
                <w:noProof/>
                <w:sz w:val="18"/>
                <w:szCs w:val="18"/>
              </w:rPr>
            </w:pPr>
          </w:p>
        </w:tc>
        <w:tc>
          <w:tcPr>
            <w:tcW w:w="649" w:type="dxa"/>
            <w:tcBorders>
              <w:top w:val="single" w:sz="12" w:space="0" w:color="auto"/>
              <w:bottom w:val="single" w:sz="12" w:space="0" w:color="auto"/>
            </w:tcBorders>
          </w:tcPr>
          <w:p w:rsidR="00613CC4" w:rsidRDefault="00950A85">
            <w:pPr>
              <w:spacing w:before="180" w:after="180"/>
              <w:ind w:right="-29"/>
              <w:jc w:val="center"/>
              <w:rPr>
                <w:noProof/>
                <w:sz w:val="18"/>
                <w:szCs w:val="18"/>
              </w:rPr>
            </w:pPr>
            <w:r>
              <w:rPr>
                <w:noProof/>
                <w:sz w:val="18"/>
              </w:rPr>
              <w:t>1,640</w:t>
            </w:r>
          </w:p>
        </w:tc>
        <w:tc>
          <w:tcPr>
            <w:tcW w:w="494" w:type="dxa"/>
            <w:tcBorders>
              <w:top w:val="single" w:sz="12" w:space="0" w:color="auto"/>
              <w:bottom w:val="single" w:sz="12" w:space="0" w:color="auto"/>
            </w:tcBorders>
          </w:tcPr>
          <w:p w:rsidR="00613CC4" w:rsidRDefault="00613CC4">
            <w:pPr>
              <w:spacing w:before="180" w:after="180"/>
              <w:ind w:right="-29"/>
              <w:jc w:val="center"/>
              <w:rPr>
                <w:noProof/>
                <w:sz w:val="18"/>
                <w:szCs w:val="18"/>
              </w:rPr>
            </w:pPr>
          </w:p>
        </w:tc>
        <w:tc>
          <w:tcPr>
            <w:tcW w:w="706" w:type="dxa"/>
            <w:tcBorders>
              <w:top w:val="single" w:sz="12" w:space="0" w:color="auto"/>
              <w:bottom w:val="single" w:sz="12" w:space="0" w:color="auto"/>
            </w:tcBorders>
          </w:tcPr>
          <w:p w:rsidR="00613CC4" w:rsidRDefault="00950A85">
            <w:pPr>
              <w:spacing w:before="180" w:after="180"/>
              <w:ind w:right="-29"/>
              <w:jc w:val="center"/>
              <w:rPr>
                <w:noProof/>
                <w:sz w:val="18"/>
                <w:szCs w:val="18"/>
              </w:rPr>
            </w:pPr>
            <w:r>
              <w:rPr>
                <w:noProof/>
                <w:sz w:val="18"/>
              </w:rPr>
              <w:t>6,640</w:t>
            </w:r>
          </w:p>
        </w:tc>
        <w:tc>
          <w:tcPr>
            <w:tcW w:w="431" w:type="dxa"/>
            <w:tcBorders>
              <w:top w:val="single" w:sz="12" w:space="0" w:color="auto"/>
              <w:bottom w:val="single" w:sz="12" w:space="0" w:color="auto"/>
            </w:tcBorders>
          </w:tcPr>
          <w:p w:rsidR="00613CC4" w:rsidRDefault="00613CC4">
            <w:pPr>
              <w:spacing w:before="180" w:after="180"/>
              <w:ind w:right="-29"/>
              <w:jc w:val="center"/>
              <w:rPr>
                <w:noProof/>
                <w:sz w:val="18"/>
                <w:szCs w:val="18"/>
              </w:rPr>
            </w:pPr>
          </w:p>
        </w:tc>
        <w:tc>
          <w:tcPr>
            <w:tcW w:w="769" w:type="dxa"/>
            <w:tcBorders>
              <w:top w:val="single" w:sz="12" w:space="0" w:color="auto"/>
              <w:bottom w:val="single" w:sz="12" w:space="0" w:color="auto"/>
            </w:tcBorders>
          </w:tcPr>
          <w:p w:rsidR="00613CC4" w:rsidRDefault="00950A85">
            <w:pPr>
              <w:spacing w:before="180" w:after="180"/>
              <w:ind w:right="-29"/>
              <w:jc w:val="center"/>
              <w:rPr>
                <w:noProof/>
                <w:sz w:val="18"/>
                <w:szCs w:val="18"/>
              </w:rPr>
            </w:pPr>
            <w:r>
              <w:rPr>
                <w:noProof/>
                <w:sz w:val="18"/>
              </w:rPr>
              <w:t>1,640</w:t>
            </w:r>
          </w:p>
        </w:tc>
        <w:tc>
          <w:tcPr>
            <w:tcW w:w="431" w:type="dxa"/>
            <w:tcBorders>
              <w:top w:val="single" w:sz="12" w:space="0" w:color="auto"/>
              <w:bottom w:val="single" w:sz="12" w:space="0" w:color="auto"/>
            </w:tcBorders>
          </w:tcPr>
          <w:p w:rsidR="00613CC4" w:rsidRDefault="00613CC4">
            <w:pPr>
              <w:spacing w:before="180" w:after="180"/>
              <w:ind w:right="-29"/>
              <w:jc w:val="center"/>
              <w:rPr>
                <w:noProof/>
                <w:sz w:val="18"/>
                <w:szCs w:val="18"/>
              </w:rPr>
            </w:pPr>
          </w:p>
        </w:tc>
        <w:tc>
          <w:tcPr>
            <w:tcW w:w="769" w:type="dxa"/>
            <w:tcBorders>
              <w:top w:val="single" w:sz="12" w:space="0" w:color="auto"/>
              <w:bottom w:val="single" w:sz="12" w:space="0" w:color="auto"/>
            </w:tcBorders>
          </w:tcPr>
          <w:p w:rsidR="00613CC4" w:rsidRDefault="00950A85">
            <w:pPr>
              <w:spacing w:before="180" w:after="180"/>
              <w:ind w:right="-29"/>
              <w:jc w:val="center"/>
              <w:rPr>
                <w:noProof/>
                <w:sz w:val="18"/>
                <w:szCs w:val="18"/>
              </w:rPr>
            </w:pPr>
            <w:r>
              <w:rPr>
                <w:noProof/>
                <w:sz w:val="18"/>
              </w:rPr>
              <w:t>1,640</w:t>
            </w:r>
          </w:p>
        </w:tc>
        <w:tc>
          <w:tcPr>
            <w:tcW w:w="433" w:type="dxa"/>
            <w:tcBorders>
              <w:top w:val="single" w:sz="12" w:space="0" w:color="auto"/>
              <w:bottom w:val="single" w:sz="12" w:space="0" w:color="auto"/>
            </w:tcBorders>
          </w:tcPr>
          <w:p w:rsidR="00613CC4" w:rsidRDefault="00613CC4">
            <w:pPr>
              <w:spacing w:before="180" w:after="180"/>
              <w:ind w:right="-29"/>
              <w:jc w:val="center"/>
              <w:rPr>
                <w:noProof/>
                <w:sz w:val="18"/>
                <w:szCs w:val="18"/>
              </w:rPr>
            </w:pPr>
          </w:p>
        </w:tc>
        <w:tc>
          <w:tcPr>
            <w:tcW w:w="767" w:type="dxa"/>
            <w:tcBorders>
              <w:top w:val="single" w:sz="12" w:space="0" w:color="auto"/>
              <w:bottom w:val="single" w:sz="12" w:space="0" w:color="auto"/>
            </w:tcBorders>
          </w:tcPr>
          <w:p w:rsidR="00613CC4" w:rsidRDefault="00950A85">
            <w:pPr>
              <w:spacing w:before="180" w:after="180"/>
              <w:ind w:right="-29"/>
              <w:jc w:val="center"/>
              <w:rPr>
                <w:noProof/>
                <w:sz w:val="18"/>
                <w:szCs w:val="18"/>
              </w:rPr>
            </w:pPr>
            <w:r>
              <w:rPr>
                <w:noProof/>
                <w:sz w:val="18"/>
              </w:rPr>
              <w:t>5,140</w:t>
            </w:r>
          </w:p>
        </w:tc>
        <w:tc>
          <w:tcPr>
            <w:tcW w:w="433" w:type="dxa"/>
            <w:tcBorders>
              <w:top w:val="single" w:sz="12" w:space="0" w:color="auto"/>
              <w:bottom w:val="single" w:sz="12" w:space="0" w:color="auto"/>
            </w:tcBorders>
          </w:tcPr>
          <w:p w:rsidR="00613CC4" w:rsidRDefault="00613CC4">
            <w:pPr>
              <w:spacing w:before="180" w:after="180"/>
              <w:ind w:right="-29"/>
              <w:jc w:val="center"/>
              <w:rPr>
                <w:noProof/>
                <w:sz w:val="18"/>
                <w:szCs w:val="18"/>
              </w:rPr>
            </w:pPr>
          </w:p>
        </w:tc>
        <w:tc>
          <w:tcPr>
            <w:tcW w:w="887" w:type="dxa"/>
            <w:tcBorders>
              <w:top w:val="single" w:sz="12" w:space="0" w:color="auto"/>
              <w:bottom w:val="single" w:sz="12" w:space="0" w:color="auto"/>
            </w:tcBorders>
          </w:tcPr>
          <w:p w:rsidR="00613CC4" w:rsidRDefault="00950A85">
            <w:pPr>
              <w:spacing w:before="180" w:after="180"/>
              <w:ind w:right="-29"/>
              <w:jc w:val="center"/>
              <w:rPr>
                <w:noProof/>
                <w:sz w:val="18"/>
                <w:szCs w:val="18"/>
              </w:rPr>
            </w:pPr>
            <w:r>
              <w:rPr>
                <w:noProof/>
                <w:sz w:val="18"/>
              </w:rPr>
              <w:t>1,640</w:t>
            </w:r>
          </w:p>
        </w:tc>
        <w:tc>
          <w:tcPr>
            <w:tcW w:w="857" w:type="dxa"/>
            <w:gridSpan w:val="2"/>
            <w:tcBorders>
              <w:top w:val="single" w:sz="12" w:space="0" w:color="auto"/>
              <w:bottom w:val="single" w:sz="12" w:space="0" w:color="auto"/>
            </w:tcBorders>
          </w:tcPr>
          <w:p w:rsidR="00613CC4" w:rsidRDefault="00950A85">
            <w:pPr>
              <w:spacing w:before="180" w:after="180"/>
              <w:ind w:right="-29"/>
              <w:jc w:val="center"/>
              <w:rPr>
                <w:noProof/>
                <w:sz w:val="18"/>
                <w:szCs w:val="18"/>
              </w:rPr>
            </w:pPr>
            <w:r>
              <w:rPr>
                <w:noProof/>
                <w:sz w:val="18"/>
              </w:rPr>
              <w:t>25,340</w:t>
            </w:r>
          </w:p>
        </w:tc>
      </w:tr>
    </w:tbl>
    <w:p w:rsidR="00613CC4" w:rsidRDefault="00613CC4">
      <w:pPr>
        <w:rPr>
          <w:noProof/>
        </w:rPr>
        <w:sectPr w:rsidR="00613CC4">
          <w:pgSz w:w="16840" w:h="11907" w:orient="landscape" w:code="9"/>
          <w:pgMar w:top="1134" w:right="1418" w:bottom="567" w:left="1418" w:header="709" w:footer="709" w:gutter="0"/>
          <w:cols w:space="708"/>
          <w:docGrid w:linePitch="360"/>
        </w:sectPr>
      </w:pPr>
    </w:p>
    <w:p w:rsidR="00613CC4" w:rsidRDefault="00950A85">
      <w:pPr>
        <w:pStyle w:val="ManualHeading3"/>
        <w:rPr>
          <w:bCs/>
          <w:noProof/>
          <w:szCs w:val="24"/>
        </w:rPr>
      </w:pPr>
      <w:r>
        <w:t>3.2.3.</w:t>
      </w:r>
      <w:r>
        <w:tab/>
      </w:r>
      <w:r>
        <w:rPr>
          <w:noProof/>
        </w:rPr>
        <w:t>Anslåede virkninger for administrationsbevillingerne</w:t>
      </w:r>
    </w:p>
    <w:p w:rsidR="00613CC4" w:rsidRDefault="00950A85">
      <w:pPr>
        <w:pStyle w:val="ManualHeading4"/>
        <w:rPr>
          <w:noProof/>
        </w:rPr>
      </w:pPr>
      <w:r>
        <w:t>3.2.3.1.</w:t>
      </w:r>
      <w:r>
        <w:tab/>
      </w:r>
      <w:r>
        <w:rPr>
          <w:noProof/>
        </w:rPr>
        <w:t xml:space="preserve">Resumé </w:t>
      </w:r>
    </w:p>
    <w:p w:rsidR="00613CC4" w:rsidRDefault="00950A85">
      <w:pPr>
        <w:pStyle w:val="ListDash1"/>
        <w:rPr>
          <w:noProof/>
        </w:rPr>
      </w:pPr>
      <w:r>
        <w:rPr>
          <w:noProof/>
        </w:rPr>
        <w:sym w:font="Wingdings" w:char="F0A8"/>
      </w:r>
      <w:r>
        <w:rPr>
          <w:noProof/>
        </w:rPr>
        <w:tab/>
        <w:t xml:space="preserve">Forslaget/initiativet medfører ikke anvendelse af administrationsbevillinger </w:t>
      </w:r>
    </w:p>
    <w:p w:rsidR="00613CC4" w:rsidRDefault="00950A85">
      <w:pPr>
        <w:pStyle w:val="ListDash1"/>
        <w:rPr>
          <w:noProof/>
        </w:rPr>
      </w:pPr>
      <w:r>
        <w:rPr>
          <w:noProof/>
        </w:rPr>
        <w:sym w:font="Wingdings" w:char="F0A8"/>
      </w:r>
      <w:r>
        <w:rPr>
          <w:noProof/>
        </w:rPr>
        <w:tab/>
        <w:t>Forslaget/initiativet medfører anvendelse af administrationsbevillinger som anført herunder:</w:t>
      </w:r>
    </w:p>
    <w:p w:rsidR="00613CC4" w:rsidRDefault="00950A85">
      <w:pPr>
        <w:rPr>
          <w:noProof/>
          <w:sz w:val="20"/>
        </w:rPr>
      </w:pPr>
      <w:r>
        <w:rPr>
          <w:noProof/>
          <w:sz w:val="20"/>
        </w:rPr>
        <w:t>i mio. EUR (tre decimaler)</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613CC4">
        <w:trPr>
          <w:trHeight w:val="585"/>
        </w:trPr>
        <w:tc>
          <w:tcPr>
            <w:tcW w:w="1980" w:type="dxa"/>
          </w:tcPr>
          <w:p w:rsidR="00613CC4" w:rsidRDefault="00613CC4">
            <w:pPr>
              <w:spacing w:before="60" w:after="60" w:line="200" w:lineRule="exact"/>
              <w:rPr>
                <w:noProof/>
                <w:sz w:val="16"/>
                <w:szCs w:val="16"/>
              </w:rPr>
            </w:pPr>
          </w:p>
        </w:tc>
        <w:tc>
          <w:tcPr>
            <w:tcW w:w="1080" w:type="dxa"/>
            <w:vAlign w:val="center"/>
          </w:tcPr>
          <w:p w:rsidR="00613CC4" w:rsidRDefault="00950A85">
            <w:pPr>
              <w:spacing w:before="60" w:after="60" w:line="200" w:lineRule="exact"/>
              <w:jc w:val="center"/>
              <w:rPr>
                <w:noProof/>
                <w:sz w:val="16"/>
                <w:szCs w:val="16"/>
              </w:rPr>
            </w:pPr>
            <w:r>
              <w:rPr>
                <w:noProof/>
                <w:sz w:val="16"/>
              </w:rPr>
              <w:t>År</w:t>
            </w:r>
            <w:r>
              <w:rPr>
                <w:noProof/>
                <w:sz w:val="22"/>
              </w:rPr>
              <w:br/>
            </w:r>
            <w:r>
              <w:rPr>
                <w:b/>
                <w:noProof/>
                <w:sz w:val="16"/>
              </w:rPr>
              <w:t xml:space="preserve">N </w:t>
            </w:r>
            <w:r>
              <w:rPr>
                <w:rStyle w:val="FootnoteReference"/>
                <w:b/>
                <w:noProof/>
                <w:sz w:val="16"/>
              </w:rPr>
              <w:footnoteReference w:id="48"/>
            </w:r>
          </w:p>
        </w:tc>
        <w:tc>
          <w:tcPr>
            <w:tcW w:w="1080" w:type="dxa"/>
            <w:vAlign w:val="center"/>
          </w:tcPr>
          <w:p w:rsidR="00613CC4" w:rsidRDefault="00950A85">
            <w:pPr>
              <w:spacing w:before="60" w:after="60" w:line="200" w:lineRule="exact"/>
              <w:jc w:val="center"/>
              <w:rPr>
                <w:noProof/>
                <w:sz w:val="16"/>
                <w:szCs w:val="16"/>
              </w:rPr>
            </w:pPr>
            <w:r>
              <w:rPr>
                <w:noProof/>
                <w:sz w:val="16"/>
              </w:rPr>
              <w:t>År</w:t>
            </w:r>
            <w:r>
              <w:rPr>
                <w:noProof/>
                <w:sz w:val="22"/>
              </w:rPr>
              <w:br/>
            </w:r>
            <w:r>
              <w:rPr>
                <w:b/>
                <w:noProof/>
                <w:sz w:val="16"/>
              </w:rPr>
              <w:t>N+1</w:t>
            </w:r>
          </w:p>
        </w:tc>
        <w:tc>
          <w:tcPr>
            <w:tcW w:w="1080" w:type="dxa"/>
            <w:vAlign w:val="center"/>
          </w:tcPr>
          <w:p w:rsidR="00613CC4" w:rsidRDefault="00950A85">
            <w:pPr>
              <w:spacing w:before="60" w:after="60" w:line="200" w:lineRule="exact"/>
              <w:jc w:val="center"/>
              <w:rPr>
                <w:noProof/>
                <w:sz w:val="16"/>
                <w:szCs w:val="16"/>
              </w:rPr>
            </w:pPr>
            <w:r>
              <w:rPr>
                <w:noProof/>
                <w:sz w:val="16"/>
              </w:rPr>
              <w:t>År</w:t>
            </w:r>
            <w:r>
              <w:rPr>
                <w:noProof/>
                <w:sz w:val="22"/>
              </w:rPr>
              <w:br/>
            </w:r>
            <w:r>
              <w:rPr>
                <w:b/>
                <w:noProof/>
                <w:sz w:val="16"/>
              </w:rPr>
              <w:t>N+2</w:t>
            </w:r>
          </w:p>
        </w:tc>
        <w:tc>
          <w:tcPr>
            <w:tcW w:w="1080" w:type="dxa"/>
            <w:vAlign w:val="center"/>
          </w:tcPr>
          <w:p w:rsidR="00613CC4" w:rsidRDefault="00950A85">
            <w:pPr>
              <w:spacing w:before="60" w:after="60" w:line="200" w:lineRule="exact"/>
              <w:jc w:val="center"/>
              <w:rPr>
                <w:noProof/>
                <w:sz w:val="16"/>
                <w:szCs w:val="16"/>
              </w:rPr>
            </w:pPr>
            <w:r>
              <w:rPr>
                <w:noProof/>
                <w:sz w:val="16"/>
              </w:rPr>
              <w:t>År</w:t>
            </w:r>
            <w:r>
              <w:rPr>
                <w:noProof/>
                <w:sz w:val="22"/>
              </w:rPr>
              <w:br/>
            </w:r>
            <w:r>
              <w:rPr>
                <w:b/>
                <w:noProof/>
                <w:sz w:val="16"/>
              </w:rPr>
              <w:t>N+3</w:t>
            </w:r>
          </w:p>
        </w:tc>
        <w:tc>
          <w:tcPr>
            <w:tcW w:w="3240" w:type="dxa"/>
            <w:vAlign w:val="center"/>
          </w:tcPr>
          <w:p w:rsidR="00613CC4" w:rsidRDefault="00950A85">
            <w:pPr>
              <w:spacing w:line="200" w:lineRule="exact"/>
              <w:jc w:val="center"/>
              <w:rPr>
                <w:b/>
                <w:noProof/>
                <w:sz w:val="16"/>
                <w:szCs w:val="16"/>
              </w:rPr>
            </w:pPr>
            <w:r>
              <w:rPr>
                <w:noProof/>
                <w:sz w:val="16"/>
              </w:rPr>
              <w:t xml:space="preserve">Der </w:t>
            </w:r>
            <w:r>
              <w:rPr>
                <w:noProof/>
                <w:sz w:val="16"/>
              </w:rPr>
              <w:t>indsættes flere år, hvis virkningerne varer længere (jf. punkt 1.6)</w:t>
            </w:r>
          </w:p>
        </w:tc>
        <w:tc>
          <w:tcPr>
            <w:tcW w:w="1080" w:type="dxa"/>
            <w:vAlign w:val="center"/>
          </w:tcPr>
          <w:p w:rsidR="00613CC4" w:rsidRDefault="00950A85">
            <w:pPr>
              <w:spacing w:before="60" w:after="60" w:line="200" w:lineRule="exact"/>
              <w:jc w:val="center"/>
              <w:rPr>
                <w:b/>
                <w:noProof/>
                <w:sz w:val="16"/>
                <w:szCs w:val="16"/>
              </w:rPr>
            </w:pPr>
            <w:r>
              <w:rPr>
                <w:b/>
                <w:noProof/>
                <w:sz w:val="16"/>
              </w:rPr>
              <w:t>I ALT</w:t>
            </w:r>
          </w:p>
        </w:tc>
      </w:tr>
    </w:tbl>
    <w:p w:rsidR="00613CC4" w:rsidRDefault="00613CC4">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613CC4">
        <w:trPr>
          <w:trHeight w:val="585"/>
        </w:trPr>
        <w:tc>
          <w:tcPr>
            <w:tcW w:w="1980" w:type="dxa"/>
            <w:shd w:val="clear" w:color="auto" w:fill="CCCCCC"/>
            <w:vAlign w:val="center"/>
          </w:tcPr>
          <w:p w:rsidR="00613CC4" w:rsidRDefault="00950A85">
            <w:pPr>
              <w:spacing w:before="60" w:after="60" w:line="200" w:lineRule="exact"/>
              <w:jc w:val="center"/>
              <w:rPr>
                <w:b/>
                <w:noProof/>
                <w:sz w:val="16"/>
                <w:szCs w:val="16"/>
              </w:rPr>
            </w:pPr>
            <w:r>
              <w:rPr>
                <w:b/>
                <w:noProof/>
                <w:sz w:val="16"/>
              </w:rPr>
              <w:t>UDGIFTSOMRÅDE 5</w:t>
            </w:r>
            <w:r>
              <w:rPr>
                <w:noProof/>
                <w:sz w:val="22"/>
              </w:rPr>
              <w:br/>
            </w:r>
            <w:r>
              <w:rPr>
                <w:b/>
                <w:noProof/>
                <w:sz w:val="16"/>
              </w:rPr>
              <w:t>i den flerårige finansielle ramme</w:t>
            </w:r>
          </w:p>
        </w:tc>
        <w:tc>
          <w:tcPr>
            <w:tcW w:w="1080" w:type="dxa"/>
            <w:vAlign w:val="center"/>
          </w:tcPr>
          <w:p w:rsidR="00613CC4" w:rsidRDefault="00613CC4">
            <w:pPr>
              <w:spacing w:before="60" w:after="60" w:line="200" w:lineRule="exact"/>
              <w:jc w:val="right"/>
              <w:rPr>
                <w:noProof/>
                <w:sz w:val="16"/>
                <w:szCs w:val="16"/>
              </w:rPr>
            </w:pPr>
          </w:p>
        </w:tc>
        <w:tc>
          <w:tcPr>
            <w:tcW w:w="1080" w:type="dxa"/>
            <w:vAlign w:val="center"/>
          </w:tcPr>
          <w:p w:rsidR="00613CC4" w:rsidRDefault="00613CC4">
            <w:pPr>
              <w:spacing w:before="60" w:after="60" w:line="200" w:lineRule="exact"/>
              <w:jc w:val="right"/>
              <w:rPr>
                <w:noProof/>
                <w:sz w:val="16"/>
                <w:szCs w:val="16"/>
              </w:rPr>
            </w:pPr>
          </w:p>
        </w:tc>
        <w:tc>
          <w:tcPr>
            <w:tcW w:w="1080" w:type="dxa"/>
            <w:vAlign w:val="center"/>
          </w:tcPr>
          <w:p w:rsidR="00613CC4" w:rsidRDefault="00613CC4">
            <w:pPr>
              <w:spacing w:before="60" w:after="60" w:line="200" w:lineRule="exact"/>
              <w:jc w:val="right"/>
              <w:rPr>
                <w:noProof/>
                <w:sz w:val="16"/>
                <w:szCs w:val="16"/>
              </w:rPr>
            </w:pPr>
          </w:p>
        </w:tc>
        <w:tc>
          <w:tcPr>
            <w:tcW w:w="1080" w:type="dxa"/>
            <w:vAlign w:val="center"/>
          </w:tcPr>
          <w:p w:rsidR="00613CC4" w:rsidRDefault="00613CC4">
            <w:pPr>
              <w:spacing w:before="60" w:after="60" w:line="200" w:lineRule="exact"/>
              <w:jc w:val="right"/>
              <w:rPr>
                <w:noProof/>
                <w:sz w:val="16"/>
                <w:szCs w:val="16"/>
              </w:rPr>
            </w:pPr>
          </w:p>
        </w:tc>
        <w:tc>
          <w:tcPr>
            <w:tcW w:w="1080" w:type="dxa"/>
            <w:vAlign w:val="center"/>
          </w:tcPr>
          <w:p w:rsidR="00613CC4" w:rsidRDefault="00613CC4">
            <w:pPr>
              <w:spacing w:before="60" w:after="60" w:line="200" w:lineRule="exact"/>
              <w:jc w:val="right"/>
              <w:rPr>
                <w:noProof/>
                <w:sz w:val="16"/>
                <w:szCs w:val="16"/>
              </w:rPr>
            </w:pPr>
          </w:p>
        </w:tc>
        <w:tc>
          <w:tcPr>
            <w:tcW w:w="1080" w:type="dxa"/>
            <w:vAlign w:val="center"/>
          </w:tcPr>
          <w:p w:rsidR="00613CC4" w:rsidRDefault="00613CC4">
            <w:pPr>
              <w:spacing w:before="60" w:after="60" w:line="200" w:lineRule="exact"/>
              <w:jc w:val="right"/>
              <w:rPr>
                <w:noProof/>
                <w:sz w:val="16"/>
                <w:szCs w:val="16"/>
              </w:rPr>
            </w:pPr>
          </w:p>
        </w:tc>
        <w:tc>
          <w:tcPr>
            <w:tcW w:w="1080" w:type="dxa"/>
            <w:vAlign w:val="center"/>
          </w:tcPr>
          <w:p w:rsidR="00613CC4" w:rsidRDefault="00613CC4">
            <w:pPr>
              <w:spacing w:before="60" w:after="60" w:line="200" w:lineRule="exact"/>
              <w:jc w:val="right"/>
              <w:rPr>
                <w:b/>
                <w:noProof/>
                <w:sz w:val="16"/>
                <w:szCs w:val="16"/>
              </w:rPr>
            </w:pPr>
          </w:p>
        </w:tc>
        <w:tc>
          <w:tcPr>
            <w:tcW w:w="1080" w:type="dxa"/>
            <w:vAlign w:val="center"/>
          </w:tcPr>
          <w:p w:rsidR="00613CC4" w:rsidRDefault="00613CC4">
            <w:pPr>
              <w:spacing w:before="60" w:after="60" w:line="200" w:lineRule="exact"/>
              <w:jc w:val="right"/>
              <w:rPr>
                <w:b/>
                <w:noProof/>
                <w:sz w:val="16"/>
                <w:szCs w:val="16"/>
              </w:rPr>
            </w:pPr>
          </w:p>
        </w:tc>
      </w:tr>
      <w:tr w:rsidR="00613CC4">
        <w:trPr>
          <w:trHeight w:val="585"/>
        </w:trPr>
        <w:tc>
          <w:tcPr>
            <w:tcW w:w="1980" w:type="dxa"/>
            <w:vAlign w:val="center"/>
          </w:tcPr>
          <w:p w:rsidR="00613CC4" w:rsidRDefault="00950A85">
            <w:pPr>
              <w:spacing w:before="60" w:after="60" w:line="200" w:lineRule="exact"/>
              <w:ind w:left="72"/>
              <w:jc w:val="left"/>
              <w:rPr>
                <w:noProof/>
                <w:sz w:val="16"/>
                <w:szCs w:val="16"/>
              </w:rPr>
            </w:pPr>
            <w:r>
              <w:rPr>
                <w:noProof/>
                <w:sz w:val="16"/>
              </w:rPr>
              <w:t xml:space="preserve">Menneskelige ressourcer </w:t>
            </w:r>
          </w:p>
        </w:tc>
        <w:tc>
          <w:tcPr>
            <w:tcW w:w="1080" w:type="dxa"/>
            <w:vAlign w:val="center"/>
          </w:tcPr>
          <w:p w:rsidR="00613CC4" w:rsidRDefault="00613CC4">
            <w:pPr>
              <w:spacing w:before="60" w:after="60" w:line="200" w:lineRule="exact"/>
              <w:jc w:val="right"/>
              <w:rPr>
                <w:noProof/>
                <w:sz w:val="16"/>
                <w:szCs w:val="16"/>
              </w:rPr>
            </w:pPr>
          </w:p>
        </w:tc>
        <w:tc>
          <w:tcPr>
            <w:tcW w:w="1080" w:type="dxa"/>
            <w:vAlign w:val="center"/>
          </w:tcPr>
          <w:p w:rsidR="00613CC4" w:rsidRDefault="00613CC4">
            <w:pPr>
              <w:spacing w:before="60" w:after="60" w:line="200" w:lineRule="exact"/>
              <w:jc w:val="right"/>
              <w:rPr>
                <w:noProof/>
                <w:sz w:val="16"/>
                <w:szCs w:val="16"/>
              </w:rPr>
            </w:pPr>
          </w:p>
        </w:tc>
        <w:tc>
          <w:tcPr>
            <w:tcW w:w="1080" w:type="dxa"/>
            <w:vAlign w:val="center"/>
          </w:tcPr>
          <w:p w:rsidR="00613CC4" w:rsidRDefault="00613CC4">
            <w:pPr>
              <w:spacing w:before="60" w:after="60" w:line="200" w:lineRule="exact"/>
              <w:jc w:val="right"/>
              <w:rPr>
                <w:noProof/>
                <w:sz w:val="16"/>
                <w:szCs w:val="16"/>
              </w:rPr>
            </w:pPr>
          </w:p>
        </w:tc>
        <w:tc>
          <w:tcPr>
            <w:tcW w:w="1080" w:type="dxa"/>
            <w:vAlign w:val="center"/>
          </w:tcPr>
          <w:p w:rsidR="00613CC4" w:rsidRDefault="00613CC4">
            <w:pPr>
              <w:spacing w:before="60" w:after="60" w:line="200" w:lineRule="exact"/>
              <w:jc w:val="right"/>
              <w:rPr>
                <w:noProof/>
                <w:sz w:val="16"/>
                <w:szCs w:val="16"/>
              </w:rPr>
            </w:pPr>
          </w:p>
        </w:tc>
        <w:tc>
          <w:tcPr>
            <w:tcW w:w="1080" w:type="dxa"/>
            <w:vAlign w:val="center"/>
          </w:tcPr>
          <w:p w:rsidR="00613CC4" w:rsidRDefault="00613CC4">
            <w:pPr>
              <w:spacing w:before="60" w:after="60" w:line="200" w:lineRule="exact"/>
              <w:jc w:val="right"/>
              <w:rPr>
                <w:noProof/>
                <w:sz w:val="16"/>
                <w:szCs w:val="16"/>
              </w:rPr>
            </w:pPr>
          </w:p>
        </w:tc>
        <w:tc>
          <w:tcPr>
            <w:tcW w:w="1080" w:type="dxa"/>
            <w:vAlign w:val="center"/>
          </w:tcPr>
          <w:p w:rsidR="00613CC4" w:rsidRDefault="00613CC4">
            <w:pPr>
              <w:spacing w:before="60" w:after="60" w:line="200" w:lineRule="exact"/>
              <w:jc w:val="right"/>
              <w:rPr>
                <w:noProof/>
                <w:sz w:val="16"/>
                <w:szCs w:val="16"/>
              </w:rPr>
            </w:pPr>
          </w:p>
        </w:tc>
        <w:tc>
          <w:tcPr>
            <w:tcW w:w="1080" w:type="dxa"/>
            <w:vAlign w:val="center"/>
          </w:tcPr>
          <w:p w:rsidR="00613CC4" w:rsidRDefault="00613CC4">
            <w:pPr>
              <w:spacing w:before="60" w:after="60" w:line="200" w:lineRule="exact"/>
              <w:jc w:val="right"/>
              <w:rPr>
                <w:b/>
                <w:noProof/>
                <w:sz w:val="16"/>
                <w:szCs w:val="16"/>
              </w:rPr>
            </w:pPr>
          </w:p>
        </w:tc>
        <w:tc>
          <w:tcPr>
            <w:tcW w:w="1080" w:type="dxa"/>
            <w:vAlign w:val="center"/>
          </w:tcPr>
          <w:p w:rsidR="00613CC4" w:rsidRDefault="00613CC4">
            <w:pPr>
              <w:spacing w:before="60" w:after="60" w:line="200" w:lineRule="exact"/>
              <w:jc w:val="right"/>
              <w:rPr>
                <w:b/>
                <w:noProof/>
                <w:sz w:val="16"/>
                <w:szCs w:val="16"/>
              </w:rPr>
            </w:pPr>
          </w:p>
        </w:tc>
      </w:tr>
      <w:tr w:rsidR="00613CC4">
        <w:trPr>
          <w:trHeight w:val="585"/>
        </w:trPr>
        <w:tc>
          <w:tcPr>
            <w:tcW w:w="1980" w:type="dxa"/>
            <w:vAlign w:val="center"/>
          </w:tcPr>
          <w:p w:rsidR="00613CC4" w:rsidRDefault="00950A85">
            <w:pPr>
              <w:spacing w:before="60" w:after="60" w:line="200" w:lineRule="exact"/>
              <w:ind w:left="72"/>
              <w:jc w:val="left"/>
              <w:rPr>
                <w:noProof/>
                <w:sz w:val="16"/>
                <w:szCs w:val="16"/>
              </w:rPr>
            </w:pPr>
            <w:r>
              <w:rPr>
                <w:noProof/>
                <w:sz w:val="16"/>
              </w:rPr>
              <w:t xml:space="preserve">Andre administrationsudgifter </w:t>
            </w:r>
          </w:p>
        </w:tc>
        <w:tc>
          <w:tcPr>
            <w:tcW w:w="1080" w:type="dxa"/>
            <w:vAlign w:val="center"/>
          </w:tcPr>
          <w:p w:rsidR="00613CC4" w:rsidRDefault="00613CC4">
            <w:pPr>
              <w:spacing w:before="60" w:after="60" w:line="200" w:lineRule="exact"/>
              <w:jc w:val="right"/>
              <w:rPr>
                <w:noProof/>
                <w:sz w:val="16"/>
                <w:szCs w:val="16"/>
              </w:rPr>
            </w:pPr>
          </w:p>
        </w:tc>
        <w:tc>
          <w:tcPr>
            <w:tcW w:w="1080" w:type="dxa"/>
            <w:vAlign w:val="center"/>
          </w:tcPr>
          <w:p w:rsidR="00613CC4" w:rsidRDefault="00613CC4">
            <w:pPr>
              <w:spacing w:before="60" w:after="60" w:line="200" w:lineRule="exact"/>
              <w:jc w:val="right"/>
              <w:rPr>
                <w:noProof/>
                <w:sz w:val="16"/>
                <w:szCs w:val="16"/>
              </w:rPr>
            </w:pPr>
          </w:p>
        </w:tc>
        <w:tc>
          <w:tcPr>
            <w:tcW w:w="1080" w:type="dxa"/>
            <w:vAlign w:val="center"/>
          </w:tcPr>
          <w:p w:rsidR="00613CC4" w:rsidRDefault="00613CC4">
            <w:pPr>
              <w:spacing w:before="60" w:after="60" w:line="200" w:lineRule="exact"/>
              <w:jc w:val="right"/>
              <w:rPr>
                <w:noProof/>
                <w:sz w:val="16"/>
                <w:szCs w:val="16"/>
              </w:rPr>
            </w:pPr>
          </w:p>
        </w:tc>
        <w:tc>
          <w:tcPr>
            <w:tcW w:w="1080" w:type="dxa"/>
            <w:vAlign w:val="center"/>
          </w:tcPr>
          <w:p w:rsidR="00613CC4" w:rsidRDefault="00613CC4">
            <w:pPr>
              <w:spacing w:before="60" w:after="60" w:line="200" w:lineRule="exact"/>
              <w:jc w:val="right"/>
              <w:rPr>
                <w:noProof/>
                <w:sz w:val="16"/>
                <w:szCs w:val="16"/>
              </w:rPr>
            </w:pPr>
          </w:p>
        </w:tc>
        <w:tc>
          <w:tcPr>
            <w:tcW w:w="1080" w:type="dxa"/>
            <w:vAlign w:val="center"/>
          </w:tcPr>
          <w:p w:rsidR="00613CC4" w:rsidRDefault="00613CC4">
            <w:pPr>
              <w:spacing w:before="60" w:after="60" w:line="200" w:lineRule="exact"/>
              <w:jc w:val="right"/>
              <w:rPr>
                <w:noProof/>
                <w:sz w:val="16"/>
                <w:szCs w:val="16"/>
              </w:rPr>
            </w:pPr>
          </w:p>
        </w:tc>
        <w:tc>
          <w:tcPr>
            <w:tcW w:w="1080" w:type="dxa"/>
            <w:vAlign w:val="center"/>
          </w:tcPr>
          <w:p w:rsidR="00613CC4" w:rsidRDefault="00613CC4">
            <w:pPr>
              <w:spacing w:before="60" w:after="60" w:line="200" w:lineRule="exact"/>
              <w:jc w:val="right"/>
              <w:rPr>
                <w:noProof/>
                <w:sz w:val="16"/>
                <w:szCs w:val="16"/>
              </w:rPr>
            </w:pPr>
          </w:p>
        </w:tc>
        <w:tc>
          <w:tcPr>
            <w:tcW w:w="1080" w:type="dxa"/>
            <w:vAlign w:val="center"/>
          </w:tcPr>
          <w:p w:rsidR="00613CC4" w:rsidRDefault="00613CC4">
            <w:pPr>
              <w:spacing w:before="60" w:after="60" w:line="200" w:lineRule="exact"/>
              <w:jc w:val="right"/>
              <w:rPr>
                <w:b/>
                <w:noProof/>
                <w:sz w:val="16"/>
                <w:szCs w:val="16"/>
              </w:rPr>
            </w:pPr>
          </w:p>
        </w:tc>
        <w:tc>
          <w:tcPr>
            <w:tcW w:w="1080" w:type="dxa"/>
            <w:vAlign w:val="center"/>
          </w:tcPr>
          <w:p w:rsidR="00613CC4" w:rsidRDefault="00613CC4">
            <w:pPr>
              <w:spacing w:before="60" w:after="60" w:line="200" w:lineRule="exact"/>
              <w:jc w:val="right"/>
              <w:rPr>
                <w:b/>
                <w:noProof/>
                <w:sz w:val="16"/>
                <w:szCs w:val="16"/>
              </w:rPr>
            </w:pPr>
          </w:p>
        </w:tc>
      </w:tr>
      <w:tr w:rsidR="00613CC4">
        <w:trPr>
          <w:trHeight w:val="585"/>
        </w:trPr>
        <w:tc>
          <w:tcPr>
            <w:tcW w:w="1980" w:type="dxa"/>
            <w:shd w:val="clear" w:color="auto" w:fill="CCCCCC"/>
            <w:vAlign w:val="center"/>
          </w:tcPr>
          <w:p w:rsidR="00613CC4" w:rsidRDefault="00950A85">
            <w:pPr>
              <w:spacing w:before="60" w:after="60" w:line="200" w:lineRule="exact"/>
              <w:jc w:val="center"/>
              <w:rPr>
                <w:b/>
                <w:noProof/>
                <w:sz w:val="16"/>
                <w:szCs w:val="16"/>
              </w:rPr>
            </w:pPr>
            <w:r>
              <w:rPr>
                <w:b/>
                <w:noProof/>
                <w:sz w:val="16"/>
              </w:rPr>
              <w:t>Subtotal UDGIFTSOMRÅDE 5</w:t>
            </w:r>
            <w:r>
              <w:rPr>
                <w:noProof/>
                <w:sz w:val="22"/>
              </w:rPr>
              <w:br/>
            </w:r>
            <w:r>
              <w:rPr>
                <w:b/>
                <w:noProof/>
                <w:sz w:val="16"/>
              </w:rPr>
              <w:t xml:space="preserve">i den flerårige finansielle ramme </w:t>
            </w:r>
          </w:p>
        </w:tc>
        <w:tc>
          <w:tcPr>
            <w:tcW w:w="1080" w:type="dxa"/>
            <w:vAlign w:val="center"/>
          </w:tcPr>
          <w:p w:rsidR="00613CC4" w:rsidRDefault="00613CC4">
            <w:pPr>
              <w:spacing w:before="60" w:after="60" w:line="200" w:lineRule="exact"/>
              <w:jc w:val="right"/>
              <w:rPr>
                <w:noProof/>
                <w:sz w:val="16"/>
                <w:szCs w:val="16"/>
              </w:rPr>
            </w:pPr>
          </w:p>
        </w:tc>
        <w:tc>
          <w:tcPr>
            <w:tcW w:w="1080" w:type="dxa"/>
            <w:vAlign w:val="center"/>
          </w:tcPr>
          <w:p w:rsidR="00613CC4" w:rsidRDefault="00613CC4">
            <w:pPr>
              <w:spacing w:before="60" w:after="60" w:line="200" w:lineRule="exact"/>
              <w:jc w:val="right"/>
              <w:rPr>
                <w:noProof/>
                <w:sz w:val="16"/>
                <w:szCs w:val="16"/>
              </w:rPr>
            </w:pPr>
          </w:p>
        </w:tc>
        <w:tc>
          <w:tcPr>
            <w:tcW w:w="1080" w:type="dxa"/>
            <w:vAlign w:val="center"/>
          </w:tcPr>
          <w:p w:rsidR="00613CC4" w:rsidRDefault="00613CC4">
            <w:pPr>
              <w:spacing w:before="60" w:after="60" w:line="200" w:lineRule="exact"/>
              <w:jc w:val="right"/>
              <w:rPr>
                <w:noProof/>
                <w:sz w:val="16"/>
                <w:szCs w:val="16"/>
              </w:rPr>
            </w:pPr>
          </w:p>
        </w:tc>
        <w:tc>
          <w:tcPr>
            <w:tcW w:w="1080" w:type="dxa"/>
            <w:vAlign w:val="center"/>
          </w:tcPr>
          <w:p w:rsidR="00613CC4" w:rsidRDefault="00613CC4">
            <w:pPr>
              <w:spacing w:before="60" w:after="60" w:line="200" w:lineRule="exact"/>
              <w:jc w:val="right"/>
              <w:rPr>
                <w:noProof/>
                <w:sz w:val="16"/>
                <w:szCs w:val="16"/>
              </w:rPr>
            </w:pPr>
          </w:p>
        </w:tc>
        <w:tc>
          <w:tcPr>
            <w:tcW w:w="1080" w:type="dxa"/>
            <w:vAlign w:val="center"/>
          </w:tcPr>
          <w:p w:rsidR="00613CC4" w:rsidRDefault="00613CC4">
            <w:pPr>
              <w:spacing w:before="60" w:after="60" w:line="200" w:lineRule="exact"/>
              <w:jc w:val="right"/>
              <w:rPr>
                <w:noProof/>
                <w:sz w:val="16"/>
                <w:szCs w:val="16"/>
              </w:rPr>
            </w:pPr>
          </w:p>
        </w:tc>
        <w:tc>
          <w:tcPr>
            <w:tcW w:w="1080" w:type="dxa"/>
            <w:vAlign w:val="center"/>
          </w:tcPr>
          <w:p w:rsidR="00613CC4" w:rsidRDefault="00613CC4">
            <w:pPr>
              <w:spacing w:before="60" w:after="60" w:line="200" w:lineRule="exact"/>
              <w:jc w:val="right"/>
              <w:rPr>
                <w:noProof/>
                <w:sz w:val="16"/>
                <w:szCs w:val="16"/>
              </w:rPr>
            </w:pPr>
          </w:p>
        </w:tc>
        <w:tc>
          <w:tcPr>
            <w:tcW w:w="1080" w:type="dxa"/>
            <w:vAlign w:val="center"/>
          </w:tcPr>
          <w:p w:rsidR="00613CC4" w:rsidRDefault="00613CC4">
            <w:pPr>
              <w:spacing w:before="60" w:after="60" w:line="200" w:lineRule="exact"/>
              <w:jc w:val="right"/>
              <w:rPr>
                <w:b/>
                <w:noProof/>
                <w:sz w:val="16"/>
                <w:szCs w:val="16"/>
              </w:rPr>
            </w:pPr>
          </w:p>
        </w:tc>
        <w:tc>
          <w:tcPr>
            <w:tcW w:w="1080" w:type="dxa"/>
            <w:vAlign w:val="center"/>
          </w:tcPr>
          <w:p w:rsidR="00613CC4" w:rsidRDefault="00613CC4">
            <w:pPr>
              <w:spacing w:before="60" w:after="60" w:line="200" w:lineRule="exact"/>
              <w:jc w:val="right"/>
              <w:rPr>
                <w:b/>
                <w:noProof/>
                <w:sz w:val="16"/>
                <w:szCs w:val="16"/>
              </w:rPr>
            </w:pPr>
          </w:p>
        </w:tc>
      </w:tr>
    </w:tbl>
    <w:p w:rsidR="00613CC4" w:rsidRDefault="00613CC4">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613CC4">
        <w:trPr>
          <w:trHeight w:val="585"/>
        </w:trPr>
        <w:tc>
          <w:tcPr>
            <w:tcW w:w="1980" w:type="dxa"/>
            <w:shd w:val="clear" w:color="auto" w:fill="CCCCCC"/>
            <w:vAlign w:val="center"/>
          </w:tcPr>
          <w:p w:rsidR="00613CC4" w:rsidRDefault="00950A85">
            <w:pPr>
              <w:spacing w:before="60" w:after="60" w:line="200" w:lineRule="exact"/>
              <w:jc w:val="center"/>
              <w:rPr>
                <w:noProof/>
                <w:sz w:val="16"/>
                <w:szCs w:val="16"/>
              </w:rPr>
            </w:pPr>
            <w:r>
              <w:rPr>
                <w:b/>
                <w:noProof/>
                <w:sz w:val="16"/>
              </w:rPr>
              <w:t>uden for UDGIFTSOMRÅDE 5</w:t>
            </w:r>
            <w:r>
              <w:rPr>
                <w:rStyle w:val="FootnoteReference"/>
                <w:b/>
                <w:noProof/>
                <w:sz w:val="16"/>
              </w:rPr>
              <w:footnoteReference w:id="49"/>
            </w:r>
            <w:r>
              <w:rPr>
                <w:noProof/>
                <w:sz w:val="22"/>
              </w:rPr>
              <w:br/>
            </w:r>
            <w:r>
              <w:rPr>
                <w:b/>
                <w:noProof/>
                <w:sz w:val="16"/>
              </w:rPr>
              <w:t xml:space="preserve">i den flerårige finansielle ramme </w:t>
            </w:r>
          </w:p>
          <w:p w:rsidR="00613CC4" w:rsidRDefault="00613CC4">
            <w:pPr>
              <w:spacing w:before="0" w:after="0" w:line="200" w:lineRule="exact"/>
              <w:jc w:val="center"/>
              <w:rPr>
                <w:b/>
                <w:noProof/>
                <w:sz w:val="16"/>
                <w:szCs w:val="16"/>
              </w:rPr>
            </w:pPr>
          </w:p>
        </w:tc>
        <w:tc>
          <w:tcPr>
            <w:tcW w:w="1080" w:type="dxa"/>
            <w:vAlign w:val="center"/>
          </w:tcPr>
          <w:p w:rsidR="00613CC4" w:rsidRDefault="00613CC4">
            <w:pPr>
              <w:spacing w:before="60" w:after="60" w:line="200" w:lineRule="exact"/>
              <w:jc w:val="right"/>
              <w:rPr>
                <w:noProof/>
                <w:sz w:val="16"/>
                <w:szCs w:val="16"/>
              </w:rPr>
            </w:pPr>
          </w:p>
        </w:tc>
        <w:tc>
          <w:tcPr>
            <w:tcW w:w="1080" w:type="dxa"/>
            <w:vAlign w:val="center"/>
          </w:tcPr>
          <w:p w:rsidR="00613CC4" w:rsidRDefault="00613CC4">
            <w:pPr>
              <w:spacing w:before="60" w:after="60" w:line="200" w:lineRule="exact"/>
              <w:jc w:val="right"/>
              <w:rPr>
                <w:noProof/>
                <w:sz w:val="16"/>
                <w:szCs w:val="16"/>
              </w:rPr>
            </w:pPr>
          </w:p>
        </w:tc>
        <w:tc>
          <w:tcPr>
            <w:tcW w:w="1080" w:type="dxa"/>
            <w:vAlign w:val="center"/>
          </w:tcPr>
          <w:p w:rsidR="00613CC4" w:rsidRDefault="00613CC4">
            <w:pPr>
              <w:spacing w:before="60" w:after="60" w:line="200" w:lineRule="exact"/>
              <w:jc w:val="right"/>
              <w:rPr>
                <w:noProof/>
                <w:sz w:val="16"/>
                <w:szCs w:val="16"/>
              </w:rPr>
            </w:pPr>
          </w:p>
        </w:tc>
        <w:tc>
          <w:tcPr>
            <w:tcW w:w="1080" w:type="dxa"/>
            <w:vAlign w:val="center"/>
          </w:tcPr>
          <w:p w:rsidR="00613CC4" w:rsidRDefault="00613CC4">
            <w:pPr>
              <w:spacing w:before="60" w:after="60" w:line="200" w:lineRule="exact"/>
              <w:jc w:val="right"/>
              <w:rPr>
                <w:noProof/>
                <w:sz w:val="16"/>
                <w:szCs w:val="16"/>
              </w:rPr>
            </w:pPr>
          </w:p>
        </w:tc>
        <w:tc>
          <w:tcPr>
            <w:tcW w:w="1080" w:type="dxa"/>
            <w:vAlign w:val="center"/>
          </w:tcPr>
          <w:p w:rsidR="00613CC4" w:rsidRDefault="00613CC4">
            <w:pPr>
              <w:spacing w:before="60" w:after="60" w:line="200" w:lineRule="exact"/>
              <w:jc w:val="right"/>
              <w:rPr>
                <w:noProof/>
                <w:sz w:val="16"/>
                <w:szCs w:val="16"/>
              </w:rPr>
            </w:pPr>
          </w:p>
        </w:tc>
        <w:tc>
          <w:tcPr>
            <w:tcW w:w="1080" w:type="dxa"/>
            <w:vAlign w:val="center"/>
          </w:tcPr>
          <w:p w:rsidR="00613CC4" w:rsidRDefault="00613CC4">
            <w:pPr>
              <w:spacing w:before="60" w:after="60" w:line="200" w:lineRule="exact"/>
              <w:jc w:val="right"/>
              <w:rPr>
                <w:noProof/>
                <w:sz w:val="16"/>
                <w:szCs w:val="16"/>
              </w:rPr>
            </w:pPr>
          </w:p>
        </w:tc>
        <w:tc>
          <w:tcPr>
            <w:tcW w:w="1080" w:type="dxa"/>
            <w:vAlign w:val="center"/>
          </w:tcPr>
          <w:p w:rsidR="00613CC4" w:rsidRDefault="00613CC4">
            <w:pPr>
              <w:spacing w:before="60" w:after="60" w:line="200" w:lineRule="exact"/>
              <w:jc w:val="right"/>
              <w:rPr>
                <w:b/>
                <w:noProof/>
                <w:sz w:val="16"/>
                <w:szCs w:val="16"/>
              </w:rPr>
            </w:pPr>
          </w:p>
        </w:tc>
        <w:tc>
          <w:tcPr>
            <w:tcW w:w="1080" w:type="dxa"/>
            <w:vAlign w:val="center"/>
          </w:tcPr>
          <w:p w:rsidR="00613CC4" w:rsidRDefault="00613CC4">
            <w:pPr>
              <w:spacing w:before="60" w:after="60" w:line="200" w:lineRule="exact"/>
              <w:jc w:val="right"/>
              <w:rPr>
                <w:b/>
                <w:noProof/>
                <w:sz w:val="16"/>
                <w:szCs w:val="16"/>
              </w:rPr>
            </w:pPr>
          </w:p>
        </w:tc>
      </w:tr>
      <w:tr w:rsidR="00613CC4">
        <w:trPr>
          <w:trHeight w:val="585"/>
        </w:trPr>
        <w:tc>
          <w:tcPr>
            <w:tcW w:w="1980" w:type="dxa"/>
            <w:vAlign w:val="center"/>
          </w:tcPr>
          <w:p w:rsidR="00613CC4" w:rsidRDefault="00950A85">
            <w:pPr>
              <w:spacing w:before="60" w:after="60" w:line="200" w:lineRule="exact"/>
              <w:ind w:left="72"/>
              <w:jc w:val="left"/>
              <w:rPr>
                <w:noProof/>
                <w:sz w:val="16"/>
                <w:szCs w:val="16"/>
              </w:rPr>
            </w:pPr>
            <w:r>
              <w:rPr>
                <w:noProof/>
                <w:sz w:val="16"/>
              </w:rPr>
              <w:t xml:space="preserve">Menneskelige ressourcer </w:t>
            </w:r>
          </w:p>
        </w:tc>
        <w:tc>
          <w:tcPr>
            <w:tcW w:w="1080" w:type="dxa"/>
            <w:vAlign w:val="center"/>
          </w:tcPr>
          <w:p w:rsidR="00613CC4" w:rsidRDefault="00613CC4">
            <w:pPr>
              <w:spacing w:before="60" w:after="60" w:line="200" w:lineRule="exact"/>
              <w:jc w:val="right"/>
              <w:rPr>
                <w:noProof/>
                <w:sz w:val="16"/>
                <w:szCs w:val="16"/>
              </w:rPr>
            </w:pPr>
          </w:p>
        </w:tc>
        <w:tc>
          <w:tcPr>
            <w:tcW w:w="1080" w:type="dxa"/>
            <w:vAlign w:val="center"/>
          </w:tcPr>
          <w:p w:rsidR="00613CC4" w:rsidRDefault="00613CC4">
            <w:pPr>
              <w:spacing w:before="60" w:after="60" w:line="200" w:lineRule="exact"/>
              <w:jc w:val="right"/>
              <w:rPr>
                <w:noProof/>
                <w:sz w:val="16"/>
                <w:szCs w:val="16"/>
              </w:rPr>
            </w:pPr>
          </w:p>
        </w:tc>
        <w:tc>
          <w:tcPr>
            <w:tcW w:w="1080" w:type="dxa"/>
            <w:vAlign w:val="center"/>
          </w:tcPr>
          <w:p w:rsidR="00613CC4" w:rsidRDefault="00613CC4">
            <w:pPr>
              <w:spacing w:before="60" w:after="60" w:line="200" w:lineRule="exact"/>
              <w:jc w:val="right"/>
              <w:rPr>
                <w:noProof/>
                <w:sz w:val="16"/>
                <w:szCs w:val="16"/>
              </w:rPr>
            </w:pPr>
          </w:p>
        </w:tc>
        <w:tc>
          <w:tcPr>
            <w:tcW w:w="1080" w:type="dxa"/>
            <w:vAlign w:val="center"/>
          </w:tcPr>
          <w:p w:rsidR="00613CC4" w:rsidRDefault="00613CC4">
            <w:pPr>
              <w:spacing w:before="60" w:after="60" w:line="200" w:lineRule="exact"/>
              <w:jc w:val="right"/>
              <w:rPr>
                <w:noProof/>
                <w:sz w:val="16"/>
                <w:szCs w:val="16"/>
              </w:rPr>
            </w:pPr>
          </w:p>
        </w:tc>
        <w:tc>
          <w:tcPr>
            <w:tcW w:w="1080" w:type="dxa"/>
            <w:vAlign w:val="center"/>
          </w:tcPr>
          <w:p w:rsidR="00613CC4" w:rsidRDefault="00613CC4">
            <w:pPr>
              <w:spacing w:before="60" w:after="60" w:line="200" w:lineRule="exact"/>
              <w:jc w:val="right"/>
              <w:rPr>
                <w:noProof/>
                <w:sz w:val="16"/>
                <w:szCs w:val="16"/>
              </w:rPr>
            </w:pPr>
          </w:p>
        </w:tc>
        <w:tc>
          <w:tcPr>
            <w:tcW w:w="1080" w:type="dxa"/>
            <w:vAlign w:val="center"/>
          </w:tcPr>
          <w:p w:rsidR="00613CC4" w:rsidRDefault="00613CC4">
            <w:pPr>
              <w:spacing w:before="60" w:after="60" w:line="200" w:lineRule="exact"/>
              <w:jc w:val="right"/>
              <w:rPr>
                <w:noProof/>
                <w:sz w:val="16"/>
                <w:szCs w:val="16"/>
              </w:rPr>
            </w:pPr>
          </w:p>
        </w:tc>
        <w:tc>
          <w:tcPr>
            <w:tcW w:w="1080" w:type="dxa"/>
            <w:vAlign w:val="center"/>
          </w:tcPr>
          <w:p w:rsidR="00613CC4" w:rsidRDefault="00613CC4">
            <w:pPr>
              <w:spacing w:before="60" w:after="60" w:line="200" w:lineRule="exact"/>
              <w:jc w:val="right"/>
              <w:rPr>
                <w:b/>
                <w:noProof/>
                <w:sz w:val="16"/>
                <w:szCs w:val="16"/>
              </w:rPr>
            </w:pPr>
          </w:p>
        </w:tc>
        <w:tc>
          <w:tcPr>
            <w:tcW w:w="1080" w:type="dxa"/>
            <w:vAlign w:val="center"/>
          </w:tcPr>
          <w:p w:rsidR="00613CC4" w:rsidRDefault="00613CC4">
            <w:pPr>
              <w:spacing w:before="60" w:after="60" w:line="200" w:lineRule="exact"/>
              <w:jc w:val="right"/>
              <w:rPr>
                <w:b/>
                <w:noProof/>
                <w:sz w:val="16"/>
                <w:szCs w:val="16"/>
              </w:rPr>
            </w:pPr>
          </w:p>
        </w:tc>
      </w:tr>
      <w:tr w:rsidR="00613CC4">
        <w:trPr>
          <w:trHeight w:val="585"/>
        </w:trPr>
        <w:tc>
          <w:tcPr>
            <w:tcW w:w="1980" w:type="dxa"/>
            <w:vAlign w:val="center"/>
          </w:tcPr>
          <w:p w:rsidR="00613CC4" w:rsidRDefault="00950A85">
            <w:pPr>
              <w:spacing w:before="60" w:after="60" w:line="200" w:lineRule="exact"/>
              <w:ind w:left="72"/>
              <w:jc w:val="left"/>
              <w:rPr>
                <w:noProof/>
                <w:sz w:val="16"/>
                <w:szCs w:val="16"/>
              </w:rPr>
            </w:pPr>
            <w:r>
              <w:rPr>
                <w:noProof/>
                <w:sz w:val="16"/>
              </w:rPr>
              <w:t xml:space="preserve">Andre udgifter </w:t>
            </w:r>
            <w:r>
              <w:rPr>
                <w:noProof/>
                <w:sz w:val="22"/>
              </w:rPr>
              <w:br/>
            </w:r>
            <w:r>
              <w:rPr>
                <w:noProof/>
                <w:sz w:val="16"/>
              </w:rPr>
              <w:t>af administrativ art</w:t>
            </w:r>
          </w:p>
        </w:tc>
        <w:tc>
          <w:tcPr>
            <w:tcW w:w="1080" w:type="dxa"/>
            <w:vAlign w:val="center"/>
          </w:tcPr>
          <w:p w:rsidR="00613CC4" w:rsidRDefault="00613CC4">
            <w:pPr>
              <w:spacing w:before="60" w:after="60" w:line="200" w:lineRule="exact"/>
              <w:jc w:val="right"/>
              <w:rPr>
                <w:noProof/>
                <w:sz w:val="16"/>
                <w:szCs w:val="16"/>
              </w:rPr>
            </w:pPr>
          </w:p>
        </w:tc>
        <w:tc>
          <w:tcPr>
            <w:tcW w:w="1080" w:type="dxa"/>
            <w:vAlign w:val="center"/>
          </w:tcPr>
          <w:p w:rsidR="00613CC4" w:rsidRDefault="00613CC4">
            <w:pPr>
              <w:spacing w:before="60" w:after="60" w:line="200" w:lineRule="exact"/>
              <w:jc w:val="right"/>
              <w:rPr>
                <w:noProof/>
                <w:sz w:val="16"/>
                <w:szCs w:val="16"/>
              </w:rPr>
            </w:pPr>
          </w:p>
        </w:tc>
        <w:tc>
          <w:tcPr>
            <w:tcW w:w="1080" w:type="dxa"/>
            <w:vAlign w:val="center"/>
          </w:tcPr>
          <w:p w:rsidR="00613CC4" w:rsidRDefault="00613CC4">
            <w:pPr>
              <w:spacing w:before="60" w:after="60" w:line="200" w:lineRule="exact"/>
              <w:jc w:val="right"/>
              <w:rPr>
                <w:noProof/>
                <w:sz w:val="16"/>
                <w:szCs w:val="16"/>
              </w:rPr>
            </w:pPr>
          </w:p>
        </w:tc>
        <w:tc>
          <w:tcPr>
            <w:tcW w:w="1080" w:type="dxa"/>
            <w:vAlign w:val="center"/>
          </w:tcPr>
          <w:p w:rsidR="00613CC4" w:rsidRDefault="00613CC4">
            <w:pPr>
              <w:spacing w:before="60" w:after="60" w:line="200" w:lineRule="exact"/>
              <w:jc w:val="right"/>
              <w:rPr>
                <w:noProof/>
                <w:sz w:val="16"/>
                <w:szCs w:val="16"/>
              </w:rPr>
            </w:pPr>
          </w:p>
        </w:tc>
        <w:tc>
          <w:tcPr>
            <w:tcW w:w="1080" w:type="dxa"/>
            <w:vAlign w:val="center"/>
          </w:tcPr>
          <w:p w:rsidR="00613CC4" w:rsidRDefault="00613CC4">
            <w:pPr>
              <w:spacing w:before="60" w:after="60" w:line="200" w:lineRule="exact"/>
              <w:jc w:val="right"/>
              <w:rPr>
                <w:noProof/>
                <w:sz w:val="16"/>
                <w:szCs w:val="16"/>
              </w:rPr>
            </w:pPr>
          </w:p>
        </w:tc>
        <w:tc>
          <w:tcPr>
            <w:tcW w:w="1080" w:type="dxa"/>
            <w:vAlign w:val="center"/>
          </w:tcPr>
          <w:p w:rsidR="00613CC4" w:rsidRDefault="00613CC4">
            <w:pPr>
              <w:spacing w:before="60" w:after="60" w:line="200" w:lineRule="exact"/>
              <w:jc w:val="right"/>
              <w:rPr>
                <w:noProof/>
                <w:sz w:val="16"/>
                <w:szCs w:val="16"/>
              </w:rPr>
            </w:pPr>
          </w:p>
        </w:tc>
        <w:tc>
          <w:tcPr>
            <w:tcW w:w="1080" w:type="dxa"/>
            <w:vAlign w:val="center"/>
          </w:tcPr>
          <w:p w:rsidR="00613CC4" w:rsidRDefault="00613CC4">
            <w:pPr>
              <w:spacing w:before="60" w:after="60" w:line="200" w:lineRule="exact"/>
              <w:jc w:val="right"/>
              <w:rPr>
                <w:b/>
                <w:noProof/>
                <w:sz w:val="16"/>
                <w:szCs w:val="16"/>
              </w:rPr>
            </w:pPr>
          </w:p>
        </w:tc>
        <w:tc>
          <w:tcPr>
            <w:tcW w:w="1080" w:type="dxa"/>
            <w:vAlign w:val="center"/>
          </w:tcPr>
          <w:p w:rsidR="00613CC4" w:rsidRDefault="00613CC4">
            <w:pPr>
              <w:spacing w:before="60" w:after="60" w:line="200" w:lineRule="exact"/>
              <w:jc w:val="right"/>
              <w:rPr>
                <w:b/>
                <w:noProof/>
                <w:sz w:val="16"/>
                <w:szCs w:val="16"/>
              </w:rPr>
            </w:pPr>
          </w:p>
        </w:tc>
      </w:tr>
      <w:tr w:rsidR="00613CC4">
        <w:trPr>
          <w:trHeight w:val="585"/>
        </w:trPr>
        <w:tc>
          <w:tcPr>
            <w:tcW w:w="1980" w:type="dxa"/>
            <w:shd w:val="clear" w:color="auto" w:fill="CCCCCC"/>
            <w:vAlign w:val="center"/>
          </w:tcPr>
          <w:p w:rsidR="00613CC4" w:rsidRDefault="00950A85">
            <w:pPr>
              <w:spacing w:before="60" w:after="60" w:line="200" w:lineRule="exact"/>
              <w:jc w:val="center"/>
              <w:rPr>
                <w:b/>
                <w:noProof/>
                <w:sz w:val="16"/>
                <w:szCs w:val="16"/>
              </w:rPr>
            </w:pPr>
            <w:r>
              <w:rPr>
                <w:b/>
                <w:noProof/>
                <w:sz w:val="16"/>
              </w:rPr>
              <w:t xml:space="preserve">Subtotal </w:t>
            </w:r>
            <w:r>
              <w:rPr>
                <w:noProof/>
                <w:sz w:val="22"/>
              </w:rPr>
              <w:br/>
            </w:r>
            <w:r>
              <w:rPr>
                <w:b/>
                <w:noProof/>
                <w:sz w:val="16"/>
              </w:rPr>
              <w:t>uden for UDGIFTSOMRÅDE 5</w:t>
            </w:r>
            <w:r>
              <w:rPr>
                <w:noProof/>
                <w:sz w:val="22"/>
              </w:rPr>
              <w:br/>
            </w:r>
            <w:r>
              <w:rPr>
                <w:b/>
                <w:noProof/>
                <w:sz w:val="16"/>
              </w:rPr>
              <w:t xml:space="preserve">i den flerårige finansielle ramme </w:t>
            </w:r>
          </w:p>
        </w:tc>
        <w:tc>
          <w:tcPr>
            <w:tcW w:w="1080" w:type="dxa"/>
            <w:vAlign w:val="center"/>
          </w:tcPr>
          <w:p w:rsidR="00613CC4" w:rsidRDefault="00613CC4">
            <w:pPr>
              <w:spacing w:before="60" w:after="60" w:line="200" w:lineRule="exact"/>
              <w:jc w:val="right"/>
              <w:rPr>
                <w:noProof/>
                <w:sz w:val="16"/>
                <w:szCs w:val="16"/>
              </w:rPr>
            </w:pPr>
          </w:p>
        </w:tc>
        <w:tc>
          <w:tcPr>
            <w:tcW w:w="1080" w:type="dxa"/>
            <w:vAlign w:val="center"/>
          </w:tcPr>
          <w:p w:rsidR="00613CC4" w:rsidRDefault="00613CC4">
            <w:pPr>
              <w:spacing w:before="60" w:after="60" w:line="200" w:lineRule="exact"/>
              <w:jc w:val="right"/>
              <w:rPr>
                <w:noProof/>
                <w:sz w:val="16"/>
                <w:szCs w:val="16"/>
              </w:rPr>
            </w:pPr>
          </w:p>
        </w:tc>
        <w:tc>
          <w:tcPr>
            <w:tcW w:w="1080" w:type="dxa"/>
            <w:vAlign w:val="center"/>
          </w:tcPr>
          <w:p w:rsidR="00613CC4" w:rsidRDefault="00613CC4">
            <w:pPr>
              <w:spacing w:before="60" w:after="60" w:line="200" w:lineRule="exact"/>
              <w:jc w:val="right"/>
              <w:rPr>
                <w:noProof/>
                <w:sz w:val="16"/>
                <w:szCs w:val="16"/>
              </w:rPr>
            </w:pPr>
          </w:p>
        </w:tc>
        <w:tc>
          <w:tcPr>
            <w:tcW w:w="1080" w:type="dxa"/>
            <w:vAlign w:val="center"/>
          </w:tcPr>
          <w:p w:rsidR="00613CC4" w:rsidRDefault="00613CC4">
            <w:pPr>
              <w:spacing w:before="60" w:after="60" w:line="200" w:lineRule="exact"/>
              <w:jc w:val="right"/>
              <w:rPr>
                <w:noProof/>
                <w:sz w:val="16"/>
                <w:szCs w:val="16"/>
              </w:rPr>
            </w:pPr>
          </w:p>
        </w:tc>
        <w:tc>
          <w:tcPr>
            <w:tcW w:w="1080" w:type="dxa"/>
            <w:vAlign w:val="center"/>
          </w:tcPr>
          <w:p w:rsidR="00613CC4" w:rsidRDefault="00613CC4">
            <w:pPr>
              <w:spacing w:before="60" w:after="60" w:line="200" w:lineRule="exact"/>
              <w:jc w:val="right"/>
              <w:rPr>
                <w:noProof/>
                <w:sz w:val="16"/>
                <w:szCs w:val="16"/>
              </w:rPr>
            </w:pPr>
          </w:p>
        </w:tc>
        <w:tc>
          <w:tcPr>
            <w:tcW w:w="1080" w:type="dxa"/>
            <w:vAlign w:val="center"/>
          </w:tcPr>
          <w:p w:rsidR="00613CC4" w:rsidRDefault="00613CC4">
            <w:pPr>
              <w:spacing w:before="60" w:after="60" w:line="200" w:lineRule="exact"/>
              <w:jc w:val="right"/>
              <w:rPr>
                <w:noProof/>
                <w:sz w:val="16"/>
                <w:szCs w:val="16"/>
              </w:rPr>
            </w:pPr>
          </w:p>
        </w:tc>
        <w:tc>
          <w:tcPr>
            <w:tcW w:w="1080" w:type="dxa"/>
            <w:vAlign w:val="center"/>
          </w:tcPr>
          <w:p w:rsidR="00613CC4" w:rsidRDefault="00613CC4">
            <w:pPr>
              <w:spacing w:before="60" w:after="60" w:line="200" w:lineRule="exact"/>
              <w:jc w:val="right"/>
              <w:rPr>
                <w:b/>
                <w:noProof/>
                <w:sz w:val="16"/>
                <w:szCs w:val="16"/>
              </w:rPr>
            </w:pPr>
          </w:p>
        </w:tc>
        <w:tc>
          <w:tcPr>
            <w:tcW w:w="1080" w:type="dxa"/>
            <w:vAlign w:val="center"/>
          </w:tcPr>
          <w:p w:rsidR="00613CC4" w:rsidRDefault="00613CC4">
            <w:pPr>
              <w:spacing w:before="60" w:after="60" w:line="200" w:lineRule="exact"/>
              <w:jc w:val="right"/>
              <w:rPr>
                <w:b/>
                <w:noProof/>
                <w:sz w:val="16"/>
                <w:szCs w:val="16"/>
              </w:rPr>
            </w:pPr>
          </w:p>
        </w:tc>
      </w:tr>
    </w:tbl>
    <w:p w:rsidR="00613CC4" w:rsidRDefault="00613CC4">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613CC4">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613CC4" w:rsidRDefault="00950A85">
            <w:pPr>
              <w:spacing w:before="60" w:after="60" w:line="200" w:lineRule="exact"/>
              <w:jc w:val="center"/>
              <w:rPr>
                <w:noProof/>
                <w:sz w:val="16"/>
                <w:szCs w:val="16"/>
              </w:rPr>
            </w:pPr>
            <w:r>
              <w:rPr>
                <w:b/>
                <w:noProof/>
                <w:sz w:val="16"/>
              </w:rPr>
              <w:t>I ALT</w:t>
            </w:r>
          </w:p>
        </w:tc>
        <w:tc>
          <w:tcPr>
            <w:tcW w:w="1080" w:type="dxa"/>
            <w:tcBorders>
              <w:top w:val="single" w:sz="12" w:space="0" w:color="auto"/>
              <w:left w:val="single" w:sz="2" w:space="0" w:color="auto"/>
              <w:bottom w:val="single" w:sz="12" w:space="0" w:color="auto"/>
              <w:right w:val="single" w:sz="2" w:space="0" w:color="auto"/>
            </w:tcBorders>
            <w:vAlign w:val="center"/>
          </w:tcPr>
          <w:p w:rsidR="00613CC4" w:rsidRDefault="00613CC4">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613CC4" w:rsidRDefault="00613CC4">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613CC4" w:rsidRDefault="00613CC4">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613CC4" w:rsidRDefault="00613CC4">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613CC4" w:rsidRDefault="00613CC4">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613CC4" w:rsidRDefault="00613CC4">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613CC4" w:rsidRDefault="00613CC4">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rsidR="00613CC4" w:rsidRDefault="00613CC4">
            <w:pPr>
              <w:spacing w:before="60" w:after="60" w:line="200" w:lineRule="exact"/>
              <w:jc w:val="right"/>
              <w:rPr>
                <w:b/>
                <w:noProof/>
                <w:sz w:val="16"/>
                <w:szCs w:val="16"/>
              </w:rPr>
            </w:pPr>
          </w:p>
        </w:tc>
      </w:tr>
    </w:tbl>
    <w:p w:rsidR="00613CC4" w:rsidRDefault="00950A85">
      <w:pPr>
        <w:rPr>
          <w:noProof/>
          <w:sz w:val="18"/>
        </w:rPr>
        <w:sectPr w:rsidR="00613CC4">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r>
        <w:rPr>
          <w:noProof/>
          <w:sz w:val="18"/>
        </w:rPr>
        <w:t xml:space="preserve">Bevillingerne til menneskelige ressourcer og andre administrationsudgifter vil blive dækket ved hjælp af de bevillinger, der i forvejen </w:t>
      </w:r>
      <w:r>
        <w:rPr>
          <w:noProof/>
          <w:sz w:val="18"/>
        </w:rPr>
        <w:t>er afsat til generaldirektoratets forvaltning af aktionen, og/eller ved intern omfordeling i generaldirektoratet, eventuelt suppleret med yderligere bevillinger, som tildeles det ansvarlige generaldirektorat i forbindelse med den årlige tildelingsprocedure</w:t>
      </w:r>
      <w:r>
        <w:rPr>
          <w:noProof/>
          <w:sz w:val="18"/>
        </w:rPr>
        <w:t xml:space="preserve"> under hensyntagen til de budgetmæssige begrænsninger.</w:t>
      </w:r>
    </w:p>
    <w:p w:rsidR="00613CC4" w:rsidRDefault="00950A85">
      <w:pPr>
        <w:pStyle w:val="ManualHeading4"/>
        <w:rPr>
          <w:bCs/>
          <w:noProof/>
          <w:szCs w:val="24"/>
        </w:rPr>
      </w:pPr>
      <w:r>
        <w:t>3.2.3.2.</w:t>
      </w:r>
      <w:r>
        <w:tab/>
      </w:r>
      <w:r>
        <w:rPr>
          <w:noProof/>
        </w:rPr>
        <w:t>Anslået behov for menneskelige ressourcer</w:t>
      </w:r>
    </w:p>
    <w:p w:rsidR="00613CC4" w:rsidRDefault="00950A85">
      <w:pPr>
        <w:pStyle w:val="ListDash1"/>
        <w:rPr>
          <w:noProof/>
        </w:rPr>
      </w:pPr>
      <w:r>
        <w:rPr>
          <w:noProof/>
        </w:rPr>
        <w:sym w:font="Wingdings" w:char="F0A8"/>
      </w:r>
      <w:r>
        <w:rPr>
          <w:noProof/>
        </w:rPr>
        <w:tab/>
        <w:t xml:space="preserve">Forslaget/initiativet medfører ikke anvendelse af menneskelige ressourcer </w:t>
      </w:r>
    </w:p>
    <w:p w:rsidR="00613CC4" w:rsidRDefault="00950A85">
      <w:pPr>
        <w:pStyle w:val="ListDash1"/>
        <w:rPr>
          <w:noProof/>
        </w:rPr>
      </w:pPr>
      <w:r>
        <w:rPr>
          <w:noProof/>
        </w:rPr>
        <w:sym w:font="Wingdings" w:char="F0A8"/>
      </w:r>
      <w:r>
        <w:rPr>
          <w:noProof/>
        </w:rPr>
        <w:tab/>
        <w:t>Forslaget/initiativet medfører anvendelse af menneskelige ressourcer so</w:t>
      </w:r>
      <w:r>
        <w:rPr>
          <w:noProof/>
        </w:rPr>
        <w:t>m anført nedenfor:</w:t>
      </w:r>
    </w:p>
    <w:p w:rsidR="00613CC4" w:rsidRDefault="00950A85">
      <w:pPr>
        <w:spacing w:after="60"/>
        <w:jc w:val="right"/>
        <w:rPr>
          <w:i/>
          <w:noProof/>
          <w:sz w:val="20"/>
        </w:rPr>
      </w:pPr>
      <w:r>
        <w:rPr>
          <w:i/>
          <w:noProof/>
          <w:sz w:val="20"/>
        </w:rPr>
        <w:t>Overslag angives i årsværk</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rsidR="00613CC4">
        <w:trPr>
          <w:gridBefore w:val="1"/>
          <w:wBefore w:w="6" w:type="pct"/>
          <w:trHeight w:val="289"/>
          <w:jc w:val="center"/>
        </w:trPr>
        <w:tc>
          <w:tcPr>
            <w:tcW w:w="1897" w:type="pct"/>
            <w:gridSpan w:val="2"/>
            <w:shd w:val="clear" w:color="auto" w:fill="auto"/>
          </w:tcPr>
          <w:p w:rsidR="00613CC4" w:rsidRDefault="00613CC4">
            <w:pPr>
              <w:pStyle w:val="Text1"/>
              <w:spacing w:before="40" w:after="40"/>
              <w:ind w:left="0"/>
              <w:jc w:val="center"/>
              <w:rPr>
                <w:i/>
                <w:noProof/>
                <w:sz w:val="16"/>
                <w:szCs w:val="16"/>
              </w:rPr>
            </w:pPr>
          </w:p>
        </w:tc>
        <w:tc>
          <w:tcPr>
            <w:tcW w:w="318" w:type="pct"/>
            <w:shd w:val="clear" w:color="auto" w:fill="auto"/>
            <w:vAlign w:val="center"/>
          </w:tcPr>
          <w:p w:rsidR="00613CC4" w:rsidRDefault="00950A85">
            <w:pPr>
              <w:spacing w:before="20" w:after="20"/>
              <w:jc w:val="center"/>
              <w:rPr>
                <w:noProof/>
                <w:sz w:val="16"/>
                <w:szCs w:val="16"/>
              </w:rPr>
            </w:pPr>
            <w:r>
              <w:rPr>
                <w:noProof/>
                <w:sz w:val="16"/>
              </w:rPr>
              <w:t>År</w:t>
            </w:r>
            <w:r>
              <w:rPr>
                <w:noProof/>
                <w:sz w:val="22"/>
              </w:rPr>
              <w:br/>
            </w:r>
            <w:r>
              <w:rPr>
                <w:b/>
                <w:noProof/>
                <w:sz w:val="16"/>
              </w:rPr>
              <w:t>N</w:t>
            </w:r>
          </w:p>
        </w:tc>
        <w:tc>
          <w:tcPr>
            <w:tcW w:w="318" w:type="pct"/>
            <w:shd w:val="clear" w:color="auto" w:fill="auto"/>
            <w:vAlign w:val="center"/>
          </w:tcPr>
          <w:p w:rsidR="00613CC4" w:rsidRDefault="00950A85">
            <w:pPr>
              <w:spacing w:before="20" w:after="20"/>
              <w:jc w:val="center"/>
              <w:rPr>
                <w:noProof/>
                <w:sz w:val="16"/>
                <w:szCs w:val="16"/>
              </w:rPr>
            </w:pPr>
            <w:r>
              <w:rPr>
                <w:noProof/>
                <w:sz w:val="16"/>
              </w:rPr>
              <w:t>År</w:t>
            </w:r>
            <w:r>
              <w:rPr>
                <w:noProof/>
                <w:sz w:val="22"/>
              </w:rPr>
              <w:br/>
            </w:r>
            <w:r>
              <w:rPr>
                <w:b/>
                <w:noProof/>
                <w:sz w:val="16"/>
              </w:rPr>
              <w:t>N+1</w:t>
            </w:r>
          </w:p>
        </w:tc>
        <w:tc>
          <w:tcPr>
            <w:tcW w:w="1891" w:type="pct"/>
            <w:shd w:val="clear" w:color="auto" w:fill="auto"/>
            <w:vAlign w:val="center"/>
          </w:tcPr>
          <w:p w:rsidR="00613CC4" w:rsidRDefault="00950A85">
            <w:pPr>
              <w:spacing w:before="20" w:after="20"/>
              <w:jc w:val="center"/>
              <w:rPr>
                <w:noProof/>
                <w:sz w:val="16"/>
                <w:szCs w:val="16"/>
              </w:rPr>
            </w:pPr>
            <w:r>
              <w:rPr>
                <w:noProof/>
                <w:sz w:val="16"/>
              </w:rPr>
              <w:t xml:space="preserve">År </w:t>
            </w:r>
            <w:r>
              <w:rPr>
                <w:b/>
                <w:noProof/>
                <w:sz w:val="16"/>
              </w:rPr>
              <w:t>N + 2</w:t>
            </w:r>
          </w:p>
        </w:tc>
        <w:tc>
          <w:tcPr>
            <w:tcW w:w="226" w:type="pct"/>
            <w:shd w:val="clear" w:color="auto" w:fill="auto"/>
            <w:vAlign w:val="center"/>
          </w:tcPr>
          <w:p w:rsidR="00613CC4" w:rsidRDefault="00950A85">
            <w:pPr>
              <w:spacing w:before="20" w:after="20"/>
              <w:jc w:val="center"/>
              <w:rPr>
                <w:noProof/>
                <w:sz w:val="16"/>
                <w:szCs w:val="16"/>
              </w:rPr>
            </w:pPr>
            <w:r>
              <w:rPr>
                <w:noProof/>
                <w:sz w:val="16"/>
              </w:rPr>
              <w:t xml:space="preserve">År </w:t>
            </w:r>
            <w:r>
              <w:rPr>
                <w:b/>
                <w:noProof/>
                <w:sz w:val="16"/>
              </w:rPr>
              <w:t>N + +3</w:t>
            </w:r>
          </w:p>
        </w:tc>
        <w:tc>
          <w:tcPr>
            <w:tcW w:w="345" w:type="pct"/>
            <w:gridSpan w:val="3"/>
            <w:shd w:val="clear" w:color="auto" w:fill="auto"/>
            <w:vAlign w:val="center"/>
          </w:tcPr>
          <w:p w:rsidR="00613CC4" w:rsidRDefault="00950A85">
            <w:pPr>
              <w:jc w:val="center"/>
              <w:rPr>
                <w:b/>
                <w:noProof/>
                <w:sz w:val="16"/>
                <w:szCs w:val="16"/>
              </w:rPr>
            </w:pPr>
            <w:r>
              <w:rPr>
                <w:noProof/>
                <w:sz w:val="16"/>
              </w:rPr>
              <w:t>Der indsættes flere år, hvis virkningerne varer længere (jf. punkt 1.6)</w:t>
            </w:r>
          </w:p>
        </w:tc>
      </w:tr>
      <w:tr w:rsidR="00613CC4">
        <w:trPr>
          <w:gridBefore w:val="1"/>
          <w:wBefore w:w="6" w:type="pct"/>
          <w:trHeight w:val="289"/>
          <w:jc w:val="center"/>
        </w:trPr>
        <w:tc>
          <w:tcPr>
            <w:tcW w:w="4424" w:type="pct"/>
            <w:gridSpan w:val="5"/>
            <w:shd w:val="clear" w:color="auto" w:fill="auto"/>
          </w:tcPr>
          <w:p w:rsidR="00613CC4" w:rsidRDefault="00950A85">
            <w:pPr>
              <w:spacing w:before="20" w:after="20"/>
              <w:rPr>
                <w:noProof/>
                <w:sz w:val="16"/>
                <w:szCs w:val="16"/>
              </w:rPr>
            </w:pPr>
            <w:r>
              <w:rPr>
                <w:b/>
                <w:noProof/>
                <w:sz w:val="16"/>
              </w:rPr>
              <w:sym w:font="Wingdings" w:char="F09F"/>
            </w:r>
            <w:r>
              <w:rPr>
                <w:b/>
                <w:noProof/>
                <w:sz w:val="16"/>
              </w:rPr>
              <w:t xml:space="preserve"> Stillinger i stillingsfortegnelsen (tjenestemænd og midlertidigt ansatte)</w:t>
            </w:r>
          </w:p>
        </w:tc>
        <w:tc>
          <w:tcPr>
            <w:tcW w:w="226" w:type="pct"/>
            <w:shd w:val="clear" w:color="auto" w:fill="auto"/>
            <w:vAlign w:val="center"/>
          </w:tcPr>
          <w:p w:rsidR="00613CC4" w:rsidRDefault="00613CC4">
            <w:pPr>
              <w:spacing w:before="20" w:after="20"/>
              <w:jc w:val="center"/>
              <w:rPr>
                <w:noProof/>
                <w:sz w:val="16"/>
                <w:szCs w:val="16"/>
              </w:rPr>
            </w:pPr>
          </w:p>
        </w:tc>
        <w:tc>
          <w:tcPr>
            <w:tcW w:w="345" w:type="pct"/>
            <w:gridSpan w:val="3"/>
            <w:shd w:val="clear" w:color="auto" w:fill="auto"/>
            <w:vAlign w:val="center"/>
          </w:tcPr>
          <w:p w:rsidR="00613CC4" w:rsidRDefault="00613CC4">
            <w:pPr>
              <w:jc w:val="center"/>
              <w:rPr>
                <w:noProof/>
                <w:sz w:val="16"/>
                <w:szCs w:val="16"/>
              </w:rPr>
            </w:pPr>
          </w:p>
        </w:tc>
      </w:tr>
      <w:tr w:rsidR="00613CC4">
        <w:trPr>
          <w:gridBefore w:val="1"/>
          <w:wBefore w:w="6" w:type="pct"/>
          <w:trHeight w:val="289"/>
          <w:jc w:val="center"/>
        </w:trPr>
        <w:tc>
          <w:tcPr>
            <w:tcW w:w="1897" w:type="pct"/>
            <w:gridSpan w:val="2"/>
            <w:shd w:val="clear" w:color="auto" w:fill="auto"/>
            <w:vAlign w:val="center"/>
          </w:tcPr>
          <w:p w:rsidR="00613CC4" w:rsidRDefault="00950A85">
            <w:pPr>
              <w:pStyle w:val="Text1"/>
              <w:spacing w:beforeLines="20" w:before="48" w:afterLines="20" w:after="48"/>
              <w:ind w:left="134"/>
              <w:jc w:val="left"/>
              <w:rPr>
                <w:b/>
                <w:noProof/>
                <w:sz w:val="16"/>
                <w:szCs w:val="16"/>
              </w:rPr>
            </w:pPr>
            <w:r>
              <w:rPr>
                <w:noProof/>
                <w:sz w:val="16"/>
              </w:rPr>
              <w:t xml:space="preserve">XX 01 01 01 (i hovedsædet </w:t>
            </w:r>
            <w:r>
              <w:rPr>
                <w:noProof/>
                <w:sz w:val="16"/>
              </w:rPr>
              <w:t>og i Kommissionens repræsentationskontorer)</w:t>
            </w:r>
          </w:p>
        </w:tc>
        <w:tc>
          <w:tcPr>
            <w:tcW w:w="318" w:type="pct"/>
            <w:shd w:val="clear" w:color="auto" w:fill="auto"/>
            <w:vAlign w:val="center"/>
          </w:tcPr>
          <w:p w:rsidR="00613CC4" w:rsidRDefault="00613CC4">
            <w:pPr>
              <w:spacing w:beforeLines="20" w:before="48" w:afterLines="20" w:after="48"/>
              <w:jc w:val="center"/>
              <w:rPr>
                <w:noProof/>
                <w:sz w:val="16"/>
                <w:szCs w:val="16"/>
              </w:rPr>
            </w:pPr>
          </w:p>
        </w:tc>
        <w:tc>
          <w:tcPr>
            <w:tcW w:w="318" w:type="pct"/>
            <w:shd w:val="clear" w:color="auto" w:fill="auto"/>
            <w:vAlign w:val="center"/>
          </w:tcPr>
          <w:p w:rsidR="00613CC4" w:rsidRDefault="00613CC4">
            <w:pPr>
              <w:spacing w:beforeLines="20" w:before="48" w:afterLines="20" w:after="48"/>
              <w:jc w:val="center"/>
              <w:rPr>
                <w:noProof/>
                <w:sz w:val="16"/>
                <w:szCs w:val="16"/>
              </w:rPr>
            </w:pPr>
          </w:p>
        </w:tc>
        <w:tc>
          <w:tcPr>
            <w:tcW w:w="1891" w:type="pct"/>
            <w:shd w:val="clear" w:color="auto" w:fill="auto"/>
            <w:vAlign w:val="center"/>
          </w:tcPr>
          <w:p w:rsidR="00613CC4" w:rsidRDefault="00613CC4">
            <w:pPr>
              <w:spacing w:beforeLines="20" w:before="48" w:afterLines="20" w:after="48"/>
              <w:jc w:val="center"/>
              <w:rPr>
                <w:noProof/>
                <w:sz w:val="16"/>
                <w:szCs w:val="16"/>
              </w:rPr>
            </w:pPr>
          </w:p>
        </w:tc>
        <w:tc>
          <w:tcPr>
            <w:tcW w:w="226" w:type="pct"/>
            <w:shd w:val="clear" w:color="auto" w:fill="auto"/>
            <w:vAlign w:val="center"/>
          </w:tcPr>
          <w:p w:rsidR="00613CC4" w:rsidRDefault="00613CC4">
            <w:pPr>
              <w:spacing w:beforeLines="20" w:before="48" w:afterLines="20" w:after="48"/>
              <w:jc w:val="center"/>
              <w:rPr>
                <w:noProof/>
                <w:sz w:val="16"/>
                <w:szCs w:val="16"/>
              </w:rPr>
            </w:pPr>
          </w:p>
        </w:tc>
        <w:tc>
          <w:tcPr>
            <w:tcW w:w="115" w:type="pct"/>
            <w:shd w:val="clear" w:color="auto" w:fill="auto"/>
            <w:vAlign w:val="center"/>
          </w:tcPr>
          <w:p w:rsidR="00613CC4" w:rsidRDefault="00613CC4">
            <w:pPr>
              <w:spacing w:beforeLines="20" w:before="48" w:afterLines="20" w:after="48"/>
              <w:jc w:val="center"/>
              <w:rPr>
                <w:noProof/>
                <w:sz w:val="16"/>
                <w:szCs w:val="16"/>
              </w:rPr>
            </w:pPr>
          </w:p>
        </w:tc>
        <w:tc>
          <w:tcPr>
            <w:tcW w:w="115" w:type="pct"/>
            <w:shd w:val="clear" w:color="auto" w:fill="auto"/>
            <w:vAlign w:val="center"/>
          </w:tcPr>
          <w:p w:rsidR="00613CC4" w:rsidRDefault="00613CC4">
            <w:pPr>
              <w:spacing w:beforeLines="20" w:before="48" w:afterLines="20" w:after="48"/>
              <w:jc w:val="center"/>
              <w:rPr>
                <w:noProof/>
                <w:sz w:val="16"/>
                <w:szCs w:val="16"/>
              </w:rPr>
            </w:pPr>
          </w:p>
        </w:tc>
        <w:tc>
          <w:tcPr>
            <w:tcW w:w="115" w:type="pct"/>
            <w:shd w:val="clear" w:color="auto" w:fill="auto"/>
            <w:vAlign w:val="center"/>
          </w:tcPr>
          <w:p w:rsidR="00613CC4" w:rsidRDefault="00613CC4">
            <w:pPr>
              <w:spacing w:beforeLines="20" w:before="48" w:afterLines="20" w:after="48"/>
              <w:jc w:val="center"/>
              <w:rPr>
                <w:noProof/>
                <w:sz w:val="16"/>
                <w:szCs w:val="16"/>
              </w:rPr>
            </w:pPr>
          </w:p>
        </w:tc>
      </w:tr>
      <w:tr w:rsidR="00613CC4">
        <w:trPr>
          <w:gridBefore w:val="1"/>
          <w:wBefore w:w="6" w:type="pct"/>
          <w:trHeight w:val="289"/>
          <w:jc w:val="center"/>
        </w:trPr>
        <w:tc>
          <w:tcPr>
            <w:tcW w:w="1897" w:type="pct"/>
            <w:gridSpan w:val="2"/>
            <w:shd w:val="clear" w:color="auto" w:fill="auto"/>
            <w:vAlign w:val="center"/>
          </w:tcPr>
          <w:p w:rsidR="00613CC4" w:rsidRDefault="00950A85">
            <w:pPr>
              <w:pStyle w:val="Text1"/>
              <w:spacing w:beforeLines="20" w:before="48" w:afterLines="20" w:after="48"/>
              <w:ind w:left="134"/>
              <w:jc w:val="left"/>
              <w:rPr>
                <w:noProof/>
                <w:sz w:val="16"/>
                <w:szCs w:val="16"/>
              </w:rPr>
            </w:pPr>
            <w:r>
              <w:rPr>
                <w:noProof/>
                <w:sz w:val="16"/>
              </w:rPr>
              <w:t>XX 01 01 02 (i delegationer)</w:t>
            </w:r>
          </w:p>
        </w:tc>
        <w:tc>
          <w:tcPr>
            <w:tcW w:w="318" w:type="pct"/>
            <w:shd w:val="clear" w:color="auto" w:fill="auto"/>
            <w:vAlign w:val="center"/>
          </w:tcPr>
          <w:p w:rsidR="00613CC4" w:rsidRDefault="00613CC4">
            <w:pPr>
              <w:spacing w:beforeLines="20" w:before="48" w:afterLines="20" w:after="48"/>
              <w:jc w:val="center"/>
              <w:rPr>
                <w:noProof/>
                <w:sz w:val="16"/>
                <w:szCs w:val="16"/>
              </w:rPr>
            </w:pPr>
          </w:p>
        </w:tc>
        <w:tc>
          <w:tcPr>
            <w:tcW w:w="318" w:type="pct"/>
            <w:shd w:val="clear" w:color="auto" w:fill="auto"/>
            <w:vAlign w:val="center"/>
          </w:tcPr>
          <w:p w:rsidR="00613CC4" w:rsidRDefault="00613CC4">
            <w:pPr>
              <w:spacing w:beforeLines="20" w:before="48" w:afterLines="20" w:after="48"/>
              <w:jc w:val="center"/>
              <w:rPr>
                <w:noProof/>
                <w:sz w:val="16"/>
                <w:szCs w:val="16"/>
              </w:rPr>
            </w:pPr>
          </w:p>
        </w:tc>
        <w:tc>
          <w:tcPr>
            <w:tcW w:w="1891" w:type="pct"/>
            <w:shd w:val="clear" w:color="auto" w:fill="auto"/>
            <w:vAlign w:val="center"/>
          </w:tcPr>
          <w:p w:rsidR="00613CC4" w:rsidRDefault="00613CC4">
            <w:pPr>
              <w:spacing w:beforeLines="20" w:before="48" w:afterLines="20" w:after="48"/>
              <w:jc w:val="center"/>
              <w:rPr>
                <w:noProof/>
                <w:sz w:val="16"/>
                <w:szCs w:val="16"/>
              </w:rPr>
            </w:pPr>
          </w:p>
        </w:tc>
        <w:tc>
          <w:tcPr>
            <w:tcW w:w="226" w:type="pct"/>
            <w:shd w:val="clear" w:color="auto" w:fill="auto"/>
            <w:vAlign w:val="center"/>
          </w:tcPr>
          <w:p w:rsidR="00613CC4" w:rsidRDefault="00613CC4">
            <w:pPr>
              <w:spacing w:beforeLines="20" w:before="48" w:afterLines="20" w:after="48"/>
              <w:jc w:val="center"/>
              <w:rPr>
                <w:noProof/>
                <w:sz w:val="16"/>
                <w:szCs w:val="16"/>
              </w:rPr>
            </w:pPr>
          </w:p>
        </w:tc>
        <w:tc>
          <w:tcPr>
            <w:tcW w:w="115" w:type="pct"/>
            <w:shd w:val="clear" w:color="auto" w:fill="auto"/>
            <w:vAlign w:val="center"/>
          </w:tcPr>
          <w:p w:rsidR="00613CC4" w:rsidRDefault="00613CC4">
            <w:pPr>
              <w:spacing w:beforeLines="20" w:before="48" w:afterLines="20" w:after="48"/>
              <w:jc w:val="center"/>
              <w:rPr>
                <w:noProof/>
                <w:sz w:val="16"/>
                <w:szCs w:val="16"/>
              </w:rPr>
            </w:pPr>
          </w:p>
        </w:tc>
        <w:tc>
          <w:tcPr>
            <w:tcW w:w="115" w:type="pct"/>
            <w:shd w:val="clear" w:color="auto" w:fill="auto"/>
            <w:vAlign w:val="center"/>
          </w:tcPr>
          <w:p w:rsidR="00613CC4" w:rsidRDefault="00613CC4">
            <w:pPr>
              <w:spacing w:beforeLines="20" w:before="48" w:afterLines="20" w:after="48"/>
              <w:jc w:val="center"/>
              <w:rPr>
                <w:noProof/>
                <w:sz w:val="16"/>
                <w:szCs w:val="16"/>
              </w:rPr>
            </w:pPr>
          </w:p>
        </w:tc>
        <w:tc>
          <w:tcPr>
            <w:tcW w:w="115" w:type="pct"/>
            <w:shd w:val="clear" w:color="auto" w:fill="auto"/>
            <w:vAlign w:val="center"/>
          </w:tcPr>
          <w:p w:rsidR="00613CC4" w:rsidRDefault="00613CC4">
            <w:pPr>
              <w:spacing w:beforeLines="20" w:before="48" w:afterLines="20" w:after="48"/>
              <w:jc w:val="center"/>
              <w:rPr>
                <w:noProof/>
                <w:sz w:val="16"/>
                <w:szCs w:val="16"/>
              </w:rPr>
            </w:pPr>
          </w:p>
        </w:tc>
      </w:tr>
      <w:tr w:rsidR="00613CC4">
        <w:trPr>
          <w:gridBefore w:val="1"/>
          <w:wBefore w:w="6" w:type="pct"/>
          <w:trHeight w:val="289"/>
          <w:jc w:val="center"/>
        </w:trPr>
        <w:tc>
          <w:tcPr>
            <w:tcW w:w="1897" w:type="pct"/>
            <w:gridSpan w:val="2"/>
            <w:shd w:val="clear" w:color="auto" w:fill="auto"/>
            <w:vAlign w:val="center"/>
          </w:tcPr>
          <w:p w:rsidR="00613CC4" w:rsidRDefault="00950A85">
            <w:pPr>
              <w:pStyle w:val="Text1"/>
              <w:spacing w:beforeLines="20" w:before="48" w:afterLines="20" w:after="48"/>
              <w:ind w:left="134"/>
              <w:jc w:val="left"/>
              <w:rPr>
                <w:noProof/>
                <w:sz w:val="16"/>
                <w:szCs w:val="16"/>
              </w:rPr>
            </w:pPr>
            <w:r>
              <w:rPr>
                <w:noProof/>
                <w:sz w:val="16"/>
              </w:rPr>
              <w:t>XX 01 05 01 (indirekte forskning)</w:t>
            </w:r>
          </w:p>
        </w:tc>
        <w:tc>
          <w:tcPr>
            <w:tcW w:w="318" w:type="pct"/>
            <w:shd w:val="clear" w:color="auto" w:fill="auto"/>
            <w:vAlign w:val="center"/>
          </w:tcPr>
          <w:p w:rsidR="00613CC4" w:rsidRDefault="00613CC4">
            <w:pPr>
              <w:spacing w:beforeLines="20" w:before="48" w:afterLines="20" w:after="48"/>
              <w:jc w:val="center"/>
              <w:rPr>
                <w:noProof/>
                <w:sz w:val="16"/>
                <w:szCs w:val="16"/>
              </w:rPr>
            </w:pPr>
          </w:p>
        </w:tc>
        <w:tc>
          <w:tcPr>
            <w:tcW w:w="318" w:type="pct"/>
            <w:shd w:val="clear" w:color="auto" w:fill="auto"/>
            <w:vAlign w:val="center"/>
          </w:tcPr>
          <w:p w:rsidR="00613CC4" w:rsidRDefault="00613CC4">
            <w:pPr>
              <w:spacing w:beforeLines="20" w:before="48" w:afterLines="20" w:after="48"/>
              <w:jc w:val="center"/>
              <w:rPr>
                <w:noProof/>
                <w:sz w:val="16"/>
                <w:szCs w:val="16"/>
              </w:rPr>
            </w:pPr>
          </w:p>
        </w:tc>
        <w:tc>
          <w:tcPr>
            <w:tcW w:w="1891" w:type="pct"/>
            <w:shd w:val="clear" w:color="auto" w:fill="auto"/>
            <w:vAlign w:val="center"/>
          </w:tcPr>
          <w:p w:rsidR="00613CC4" w:rsidRDefault="00613CC4">
            <w:pPr>
              <w:spacing w:beforeLines="20" w:before="48" w:afterLines="20" w:after="48"/>
              <w:jc w:val="center"/>
              <w:rPr>
                <w:noProof/>
                <w:sz w:val="16"/>
                <w:szCs w:val="16"/>
              </w:rPr>
            </w:pPr>
          </w:p>
        </w:tc>
        <w:tc>
          <w:tcPr>
            <w:tcW w:w="226" w:type="pct"/>
            <w:shd w:val="clear" w:color="auto" w:fill="auto"/>
            <w:vAlign w:val="center"/>
          </w:tcPr>
          <w:p w:rsidR="00613CC4" w:rsidRDefault="00613CC4">
            <w:pPr>
              <w:spacing w:beforeLines="20" w:before="48" w:afterLines="20" w:after="48"/>
              <w:jc w:val="center"/>
              <w:rPr>
                <w:noProof/>
                <w:sz w:val="16"/>
                <w:szCs w:val="16"/>
              </w:rPr>
            </w:pPr>
          </w:p>
        </w:tc>
        <w:tc>
          <w:tcPr>
            <w:tcW w:w="115" w:type="pct"/>
            <w:shd w:val="clear" w:color="auto" w:fill="auto"/>
            <w:vAlign w:val="center"/>
          </w:tcPr>
          <w:p w:rsidR="00613CC4" w:rsidRDefault="00613CC4">
            <w:pPr>
              <w:spacing w:beforeLines="20" w:before="48" w:afterLines="20" w:after="48"/>
              <w:jc w:val="center"/>
              <w:rPr>
                <w:noProof/>
                <w:sz w:val="16"/>
                <w:szCs w:val="16"/>
              </w:rPr>
            </w:pPr>
          </w:p>
        </w:tc>
        <w:tc>
          <w:tcPr>
            <w:tcW w:w="115" w:type="pct"/>
            <w:shd w:val="clear" w:color="auto" w:fill="auto"/>
            <w:vAlign w:val="center"/>
          </w:tcPr>
          <w:p w:rsidR="00613CC4" w:rsidRDefault="00613CC4">
            <w:pPr>
              <w:spacing w:beforeLines="20" w:before="48" w:afterLines="20" w:after="48"/>
              <w:jc w:val="center"/>
              <w:rPr>
                <w:noProof/>
                <w:sz w:val="16"/>
                <w:szCs w:val="16"/>
              </w:rPr>
            </w:pPr>
          </w:p>
        </w:tc>
        <w:tc>
          <w:tcPr>
            <w:tcW w:w="115" w:type="pct"/>
            <w:shd w:val="clear" w:color="auto" w:fill="auto"/>
            <w:vAlign w:val="center"/>
          </w:tcPr>
          <w:p w:rsidR="00613CC4" w:rsidRDefault="00613CC4">
            <w:pPr>
              <w:spacing w:beforeLines="20" w:before="48" w:afterLines="20" w:after="48"/>
              <w:jc w:val="center"/>
              <w:rPr>
                <w:noProof/>
                <w:sz w:val="16"/>
                <w:szCs w:val="16"/>
              </w:rPr>
            </w:pPr>
          </w:p>
        </w:tc>
      </w:tr>
      <w:tr w:rsidR="00613CC4">
        <w:trPr>
          <w:gridBefore w:val="1"/>
          <w:wBefore w:w="6" w:type="pct"/>
          <w:trHeight w:val="289"/>
          <w:jc w:val="center"/>
        </w:trPr>
        <w:tc>
          <w:tcPr>
            <w:tcW w:w="1897" w:type="pct"/>
            <w:gridSpan w:val="2"/>
            <w:shd w:val="clear" w:color="auto" w:fill="auto"/>
            <w:vAlign w:val="center"/>
          </w:tcPr>
          <w:p w:rsidR="00613CC4" w:rsidRDefault="00950A85">
            <w:pPr>
              <w:pStyle w:val="Text1"/>
              <w:spacing w:beforeLines="20" w:before="48" w:afterLines="20" w:after="48"/>
              <w:ind w:left="134"/>
              <w:jc w:val="left"/>
              <w:rPr>
                <w:noProof/>
                <w:sz w:val="16"/>
                <w:szCs w:val="16"/>
              </w:rPr>
            </w:pPr>
            <w:r>
              <w:rPr>
                <w:noProof/>
                <w:sz w:val="16"/>
              </w:rPr>
              <w:t>10 01 05 01 (direkte forskning)</w:t>
            </w:r>
          </w:p>
        </w:tc>
        <w:tc>
          <w:tcPr>
            <w:tcW w:w="318" w:type="pct"/>
            <w:shd w:val="clear" w:color="auto" w:fill="auto"/>
            <w:vAlign w:val="center"/>
          </w:tcPr>
          <w:p w:rsidR="00613CC4" w:rsidRDefault="00613CC4">
            <w:pPr>
              <w:spacing w:beforeLines="20" w:before="48" w:afterLines="20" w:after="48"/>
              <w:jc w:val="center"/>
              <w:rPr>
                <w:noProof/>
                <w:sz w:val="16"/>
                <w:szCs w:val="16"/>
              </w:rPr>
            </w:pPr>
          </w:p>
        </w:tc>
        <w:tc>
          <w:tcPr>
            <w:tcW w:w="318" w:type="pct"/>
            <w:shd w:val="clear" w:color="auto" w:fill="auto"/>
            <w:vAlign w:val="center"/>
          </w:tcPr>
          <w:p w:rsidR="00613CC4" w:rsidRDefault="00613CC4">
            <w:pPr>
              <w:spacing w:beforeLines="20" w:before="48" w:afterLines="20" w:after="48"/>
              <w:jc w:val="center"/>
              <w:rPr>
                <w:noProof/>
                <w:sz w:val="16"/>
                <w:szCs w:val="16"/>
              </w:rPr>
            </w:pPr>
          </w:p>
        </w:tc>
        <w:tc>
          <w:tcPr>
            <w:tcW w:w="1891" w:type="pct"/>
            <w:shd w:val="clear" w:color="auto" w:fill="auto"/>
            <w:vAlign w:val="center"/>
          </w:tcPr>
          <w:p w:rsidR="00613CC4" w:rsidRDefault="00613CC4">
            <w:pPr>
              <w:spacing w:beforeLines="20" w:before="48" w:afterLines="20" w:after="48"/>
              <w:jc w:val="center"/>
              <w:rPr>
                <w:noProof/>
                <w:sz w:val="16"/>
                <w:szCs w:val="16"/>
              </w:rPr>
            </w:pPr>
          </w:p>
        </w:tc>
        <w:tc>
          <w:tcPr>
            <w:tcW w:w="226" w:type="pct"/>
            <w:shd w:val="clear" w:color="auto" w:fill="auto"/>
            <w:vAlign w:val="center"/>
          </w:tcPr>
          <w:p w:rsidR="00613CC4" w:rsidRDefault="00613CC4">
            <w:pPr>
              <w:spacing w:beforeLines="20" w:before="48" w:afterLines="20" w:after="48"/>
              <w:jc w:val="center"/>
              <w:rPr>
                <w:noProof/>
                <w:sz w:val="16"/>
                <w:szCs w:val="16"/>
              </w:rPr>
            </w:pPr>
          </w:p>
        </w:tc>
        <w:tc>
          <w:tcPr>
            <w:tcW w:w="115" w:type="pct"/>
            <w:shd w:val="clear" w:color="auto" w:fill="auto"/>
            <w:vAlign w:val="center"/>
          </w:tcPr>
          <w:p w:rsidR="00613CC4" w:rsidRDefault="00613CC4">
            <w:pPr>
              <w:spacing w:beforeLines="20" w:before="48" w:afterLines="20" w:after="48"/>
              <w:jc w:val="center"/>
              <w:rPr>
                <w:noProof/>
                <w:sz w:val="16"/>
                <w:szCs w:val="16"/>
              </w:rPr>
            </w:pPr>
          </w:p>
        </w:tc>
        <w:tc>
          <w:tcPr>
            <w:tcW w:w="115" w:type="pct"/>
            <w:shd w:val="clear" w:color="auto" w:fill="auto"/>
            <w:vAlign w:val="center"/>
          </w:tcPr>
          <w:p w:rsidR="00613CC4" w:rsidRDefault="00613CC4">
            <w:pPr>
              <w:spacing w:beforeLines="20" w:before="48" w:afterLines="20" w:after="48"/>
              <w:jc w:val="center"/>
              <w:rPr>
                <w:noProof/>
                <w:sz w:val="16"/>
                <w:szCs w:val="16"/>
              </w:rPr>
            </w:pPr>
          </w:p>
        </w:tc>
        <w:tc>
          <w:tcPr>
            <w:tcW w:w="115" w:type="pct"/>
            <w:shd w:val="clear" w:color="auto" w:fill="auto"/>
            <w:vAlign w:val="center"/>
          </w:tcPr>
          <w:p w:rsidR="00613CC4" w:rsidRDefault="00613CC4">
            <w:pPr>
              <w:spacing w:beforeLines="20" w:before="48" w:afterLines="20" w:after="48"/>
              <w:jc w:val="center"/>
              <w:rPr>
                <w:noProof/>
                <w:sz w:val="16"/>
                <w:szCs w:val="16"/>
              </w:rPr>
            </w:pPr>
          </w:p>
        </w:tc>
      </w:tr>
      <w:tr w:rsidR="00613CC4">
        <w:trPr>
          <w:gridAfter w:val="4"/>
          <w:wAfter w:w="570" w:type="pct"/>
          <w:trHeight w:val="248"/>
          <w:jc w:val="center"/>
        </w:trPr>
        <w:tc>
          <w:tcPr>
            <w:tcW w:w="4430" w:type="pct"/>
            <w:gridSpan w:val="6"/>
            <w:shd w:val="clear" w:color="auto" w:fill="auto"/>
            <w:vAlign w:val="center"/>
          </w:tcPr>
          <w:p w:rsidR="00613CC4" w:rsidRDefault="00950A85">
            <w:pPr>
              <w:pStyle w:val="Text1"/>
              <w:spacing w:before="60" w:after="60"/>
              <w:ind w:left="0"/>
              <w:jc w:val="left"/>
              <w:rPr>
                <w:b/>
                <w:noProof/>
                <w:sz w:val="16"/>
                <w:szCs w:val="16"/>
              </w:rPr>
            </w:pPr>
            <w:r>
              <w:rPr>
                <w:b/>
                <w:noProof/>
                <w:sz w:val="16"/>
              </w:rPr>
              <w:sym w:font="Wingdings" w:char="F09F"/>
            </w:r>
            <w:r>
              <w:rPr>
                <w:b/>
                <w:noProof/>
                <w:sz w:val="16"/>
              </w:rPr>
              <w:t xml:space="preserve"> Eksternt personale (i årsværk)</w:t>
            </w:r>
            <w:r>
              <w:rPr>
                <w:rStyle w:val="FootnoteReference"/>
                <w:b/>
                <w:noProof/>
                <w:sz w:val="16"/>
              </w:rPr>
              <w:footnoteReference w:id="50"/>
            </w:r>
          </w:p>
          <w:p w:rsidR="00613CC4" w:rsidRDefault="00613CC4">
            <w:pPr>
              <w:pStyle w:val="Text1"/>
              <w:spacing w:before="0" w:after="0"/>
              <w:ind w:left="0"/>
              <w:jc w:val="left"/>
              <w:rPr>
                <w:noProof/>
                <w:sz w:val="16"/>
                <w:szCs w:val="16"/>
              </w:rPr>
            </w:pPr>
          </w:p>
        </w:tc>
      </w:tr>
      <w:tr w:rsidR="00613CC4">
        <w:trPr>
          <w:gridBefore w:val="1"/>
          <w:wBefore w:w="6" w:type="pct"/>
          <w:trHeight w:val="289"/>
          <w:jc w:val="center"/>
        </w:trPr>
        <w:tc>
          <w:tcPr>
            <w:tcW w:w="1897" w:type="pct"/>
            <w:gridSpan w:val="2"/>
            <w:shd w:val="clear" w:color="auto" w:fill="auto"/>
            <w:vAlign w:val="center"/>
          </w:tcPr>
          <w:p w:rsidR="00613CC4" w:rsidRDefault="00950A85">
            <w:pPr>
              <w:pStyle w:val="Text1"/>
              <w:spacing w:beforeLines="20" w:before="48" w:afterLines="20" w:after="48"/>
              <w:ind w:left="136"/>
              <w:jc w:val="left"/>
              <w:rPr>
                <w:b/>
                <w:noProof/>
                <w:sz w:val="16"/>
                <w:szCs w:val="16"/>
              </w:rPr>
            </w:pPr>
            <w:r>
              <w:rPr>
                <w:noProof/>
                <w:sz w:val="16"/>
              </w:rPr>
              <w:t xml:space="preserve">XX 01 02 01 (KA, UNE, V under den samlede </w:t>
            </w:r>
            <w:r>
              <w:rPr>
                <w:noProof/>
                <w:sz w:val="16"/>
              </w:rPr>
              <w:t>bevillingsramme)</w:t>
            </w:r>
          </w:p>
        </w:tc>
        <w:tc>
          <w:tcPr>
            <w:tcW w:w="318" w:type="pct"/>
            <w:shd w:val="clear" w:color="auto" w:fill="auto"/>
            <w:vAlign w:val="center"/>
          </w:tcPr>
          <w:p w:rsidR="00613CC4" w:rsidRDefault="00613CC4">
            <w:pPr>
              <w:spacing w:beforeLines="20" w:before="48" w:afterLines="20" w:after="48"/>
              <w:jc w:val="center"/>
              <w:rPr>
                <w:noProof/>
                <w:sz w:val="16"/>
                <w:szCs w:val="16"/>
              </w:rPr>
            </w:pPr>
          </w:p>
        </w:tc>
        <w:tc>
          <w:tcPr>
            <w:tcW w:w="318" w:type="pct"/>
            <w:shd w:val="clear" w:color="auto" w:fill="auto"/>
            <w:vAlign w:val="center"/>
          </w:tcPr>
          <w:p w:rsidR="00613CC4" w:rsidRDefault="00613CC4">
            <w:pPr>
              <w:spacing w:beforeLines="20" w:before="48" w:afterLines="20" w:after="48"/>
              <w:jc w:val="center"/>
              <w:rPr>
                <w:noProof/>
                <w:sz w:val="16"/>
                <w:szCs w:val="16"/>
              </w:rPr>
            </w:pPr>
          </w:p>
        </w:tc>
        <w:tc>
          <w:tcPr>
            <w:tcW w:w="1891" w:type="pct"/>
            <w:shd w:val="clear" w:color="auto" w:fill="auto"/>
            <w:vAlign w:val="center"/>
          </w:tcPr>
          <w:p w:rsidR="00613CC4" w:rsidRDefault="00613CC4">
            <w:pPr>
              <w:spacing w:beforeLines="20" w:before="48" w:afterLines="20" w:after="48"/>
              <w:jc w:val="center"/>
              <w:rPr>
                <w:noProof/>
                <w:sz w:val="16"/>
                <w:szCs w:val="16"/>
              </w:rPr>
            </w:pPr>
          </w:p>
        </w:tc>
        <w:tc>
          <w:tcPr>
            <w:tcW w:w="226" w:type="pct"/>
            <w:shd w:val="clear" w:color="auto" w:fill="auto"/>
            <w:vAlign w:val="center"/>
          </w:tcPr>
          <w:p w:rsidR="00613CC4" w:rsidRDefault="00613CC4">
            <w:pPr>
              <w:spacing w:beforeLines="20" w:before="48" w:afterLines="20" w:after="48"/>
              <w:jc w:val="center"/>
              <w:rPr>
                <w:noProof/>
                <w:sz w:val="16"/>
                <w:szCs w:val="16"/>
              </w:rPr>
            </w:pPr>
          </w:p>
        </w:tc>
        <w:tc>
          <w:tcPr>
            <w:tcW w:w="115" w:type="pct"/>
            <w:shd w:val="clear" w:color="auto" w:fill="auto"/>
            <w:vAlign w:val="center"/>
          </w:tcPr>
          <w:p w:rsidR="00613CC4" w:rsidRDefault="00613CC4">
            <w:pPr>
              <w:spacing w:beforeLines="20" w:before="48" w:afterLines="20" w:after="48"/>
              <w:jc w:val="center"/>
              <w:rPr>
                <w:noProof/>
                <w:sz w:val="16"/>
                <w:szCs w:val="16"/>
              </w:rPr>
            </w:pPr>
          </w:p>
        </w:tc>
        <w:tc>
          <w:tcPr>
            <w:tcW w:w="115" w:type="pct"/>
            <w:shd w:val="clear" w:color="auto" w:fill="auto"/>
            <w:vAlign w:val="center"/>
          </w:tcPr>
          <w:p w:rsidR="00613CC4" w:rsidRDefault="00613CC4">
            <w:pPr>
              <w:spacing w:beforeLines="20" w:before="48" w:afterLines="20" w:after="48"/>
              <w:jc w:val="center"/>
              <w:rPr>
                <w:noProof/>
                <w:sz w:val="16"/>
                <w:szCs w:val="16"/>
              </w:rPr>
            </w:pPr>
          </w:p>
        </w:tc>
        <w:tc>
          <w:tcPr>
            <w:tcW w:w="115" w:type="pct"/>
            <w:shd w:val="clear" w:color="auto" w:fill="auto"/>
            <w:vAlign w:val="center"/>
          </w:tcPr>
          <w:p w:rsidR="00613CC4" w:rsidRDefault="00613CC4">
            <w:pPr>
              <w:spacing w:beforeLines="20" w:before="48" w:afterLines="20" w:after="48"/>
              <w:jc w:val="center"/>
              <w:rPr>
                <w:noProof/>
                <w:sz w:val="16"/>
                <w:szCs w:val="16"/>
              </w:rPr>
            </w:pPr>
          </w:p>
        </w:tc>
      </w:tr>
      <w:tr w:rsidR="00613CC4">
        <w:trPr>
          <w:gridBefore w:val="1"/>
          <w:wBefore w:w="6" w:type="pct"/>
          <w:trHeight w:val="289"/>
          <w:jc w:val="center"/>
        </w:trPr>
        <w:tc>
          <w:tcPr>
            <w:tcW w:w="1897" w:type="pct"/>
            <w:gridSpan w:val="2"/>
            <w:shd w:val="clear" w:color="auto" w:fill="auto"/>
            <w:vAlign w:val="center"/>
          </w:tcPr>
          <w:p w:rsidR="00613CC4" w:rsidRDefault="00950A85">
            <w:pPr>
              <w:pStyle w:val="Text1"/>
              <w:spacing w:beforeLines="20" w:before="48" w:afterLines="20" w:after="48"/>
              <w:ind w:left="136"/>
              <w:jc w:val="left"/>
              <w:rPr>
                <w:noProof/>
                <w:sz w:val="16"/>
                <w:szCs w:val="16"/>
              </w:rPr>
            </w:pPr>
            <w:r>
              <w:rPr>
                <w:noProof/>
                <w:sz w:val="16"/>
              </w:rPr>
              <w:t>XX 01 02 02 (KA, LA, UNE, V og JMD i delegationerne)</w:t>
            </w:r>
          </w:p>
        </w:tc>
        <w:tc>
          <w:tcPr>
            <w:tcW w:w="318" w:type="pct"/>
            <w:shd w:val="clear" w:color="auto" w:fill="auto"/>
            <w:vAlign w:val="center"/>
          </w:tcPr>
          <w:p w:rsidR="00613CC4" w:rsidRDefault="00613CC4">
            <w:pPr>
              <w:spacing w:beforeLines="20" w:before="48" w:afterLines="20" w:after="48"/>
              <w:jc w:val="center"/>
              <w:rPr>
                <w:noProof/>
                <w:sz w:val="16"/>
                <w:szCs w:val="16"/>
              </w:rPr>
            </w:pPr>
          </w:p>
        </w:tc>
        <w:tc>
          <w:tcPr>
            <w:tcW w:w="318" w:type="pct"/>
            <w:shd w:val="clear" w:color="auto" w:fill="auto"/>
            <w:vAlign w:val="center"/>
          </w:tcPr>
          <w:p w:rsidR="00613CC4" w:rsidRDefault="00613CC4">
            <w:pPr>
              <w:spacing w:beforeLines="20" w:before="48" w:afterLines="20" w:after="48"/>
              <w:jc w:val="center"/>
              <w:rPr>
                <w:noProof/>
                <w:sz w:val="16"/>
                <w:szCs w:val="16"/>
              </w:rPr>
            </w:pPr>
          </w:p>
        </w:tc>
        <w:tc>
          <w:tcPr>
            <w:tcW w:w="1891" w:type="pct"/>
            <w:shd w:val="clear" w:color="auto" w:fill="auto"/>
            <w:vAlign w:val="center"/>
          </w:tcPr>
          <w:p w:rsidR="00613CC4" w:rsidRDefault="00613CC4">
            <w:pPr>
              <w:spacing w:beforeLines="20" w:before="48" w:afterLines="20" w:after="48"/>
              <w:jc w:val="center"/>
              <w:rPr>
                <w:noProof/>
                <w:sz w:val="16"/>
                <w:szCs w:val="16"/>
              </w:rPr>
            </w:pPr>
          </w:p>
        </w:tc>
        <w:tc>
          <w:tcPr>
            <w:tcW w:w="226" w:type="pct"/>
            <w:shd w:val="clear" w:color="auto" w:fill="auto"/>
            <w:vAlign w:val="center"/>
          </w:tcPr>
          <w:p w:rsidR="00613CC4" w:rsidRDefault="00613CC4">
            <w:pPr>
              <w:spacing w:beforeLines="20" w:before="48" w:afterLines="20" w:after="48"/>
              <w:jc w:val="center"/>
              <w:rPr>
                <w:noProof/>
                <w:sz w:val="16"/>
                <w:szCs w:val="16"/>
              </w:rPr>
            </w:pPr>
          </w:p>
        </w:tc>
        <w:tc>
          <w:tcPr>
            <w:tcW w:w="115" w:type="pct"/>
            <w:shd w:val="clear" w:color="auto" w:fill="auto"/>
            <w:vAlign w:val="center"/>
          </w:tcPr>
          <w:p w:rsidR="00613CC4" w:rsidRDefault="00613CC4">
            <w:pPr>
              <w:spacing w:beforeLines="20" w:before="48" w:afterLines="20" w:after="48"/>
              <w:jc w:val="center"/>
              <w:rPr>
                <w:noProof/>
                <w:sz w:val="16"/>
                <w:szCs w:val="16"/>
              </w:rPr>
            </w:pPr>
          </w:p>
        </w:tc>
        <w:tc>
          <w:tcPr>
            <w:tcW w:w="115" w:type="pct"/>
            <w:shd w:val="clear" w:color="auto" w:fill="auto"/>
            <w:vAlign w:val="center"/>
          </w:tcPr>
          <w:p w:rsidR="00613CC4" w:rsidRDefault="00613CC4">
            <w:pPr>
              <w:spacing w:beforeLines="20" w:before="48" w:afterLines="20" w:after="48"/>
              <w:jc w:val="center"/>
              <w:rPr>
                <w:noProof/>
                <w:sz w:val="16"/>
                <w:szCs w:val="16"/>
              </w:rPr>
            </w:pPr>
          </w:p>
        </w:tc>
        <w:tc>
          <w:tcPr>
            <w:tcW w:w="115" w:type="pct"/>
            <w:shd w:val="clear" w:color="auto" w:fill="auto"/>
            <w:vAlign w:val="center"/>
          </w:tcPr>
          <w:p w:rsidR="00613CC4" w:rsidRDefault="00613CC4">
            <w:pPr>
              <w:spacing w:beforeLines="20" w:before="48" w:afterLines="20" w:after="48"/>
              <w:jc w:val="center"/>
              <w:rPr>
                <w:noProof/>
                <w:sz w:val="16"/>
                <w:szCs w:val="16"/>
              </w:rPr>
            </w:pPr>
          </w:p>
        </w:tc>
      </w:tr>
      <w:tr w:rsidR="00613CC4">
        <w:trPr>
          <w:gridBefore w:val="1"/>
          <w:wBefore w:w="6" w:type="pct"/>
          <w:trHeight w:val="289"/>
          <w:jc w:val="center"/>
        </w:trPr>
        <w:tc>
          <w:tcPr>
            <w:tcW w:w="948" w:type="pct"/>
            <w:vMerge w:val="restart"/>
            <w:shd w:val="clear" w:color="auto" w:fill="auto"/>
            <w:vAlign w:val="center"/>
          </w:tcPr>
          <w:p w:rsidR="00613CC4" w:rsidRDefault="00950A85">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51"/>
            </w:r>
          </w:p>
          <w:p w:rsidR="00613CC4" w:rsidRDefault="00613CC4">
            <w:pPr>
              <w:pStyle w:val="Text1"/>
              <w:spacing w:beforeLines="20" w:before="48" w:afterLines="20" w:after="48"/>
              <w:ind w:left="136"/>
              <w:jc w:val="left"/>
              <w:rPr>
                <w:b/>
                <w:noProof/>
                <w:sz w:val="16"/>
                <w:szCs w:val="16"/>
              </w:rPr>
            </w:pPr>
          </w:p>
        </w:tc>
        <w:tc>
          <w:tcPr>
            <w:tcW w:w="949" w:type="pct"/>
            <w:shd w:val="clear" w:color="auto" w:fill="auto"/>
            <w:vAlign w:val="center"/>
          </w:tcPr>
          <w:p w:rsidR="00613CC4" w:rsidRDefault="00950A85">
            <w:pPr>
              <w:pStyle w:val="Text1"/>
              <w:spacing w:beforeLines="20" w:before="48" w:afterLines="20" w:after="48"/>
              <w:ind w:left="136"/>
              <w:jc w:val="left"/>
              <w:rPr>
                <w:b/>
                <w:noProof/>
                <w:sz w:val="16"/>
                <w:szCs w:val="16"/>
              </w:rPr>
            </w:pPr>
            <w:r>
              <w:rPr>
                <w:noProof/>
                <w:sz w:val="16"/>
              </w:rPr>
              <w:t>- hovedsædet</w:t>
            </w:r>
          </w:p>
          <w:p w:rsidR="00613CC4" w:rsidRDefault="00613CC4">
            <w:pPr>
              <w:pStyle w:val="Text1"/>
              <w:spacing w:beforeLines="20" w:before="48" w:afterLines="20" w:after="48"/>
              <w:ind w:left="136"/>
              <w:jc w:val="left"/>
              <w:rPr>
                <w:b/>
                <w:noProof/>
                <w:sz w:val="16"/>
                <w:szCs w:val="16"/>
              </w:rPr>
            </w:pPr>
          </w:p>
        </w:tc>
        <w:tc>
          <w:tcPr>
            <w:tcW w:w="318" w:type="pct"/>
            <w:shd w:val="clear" w:color="auto" w:fill="auto"/>
            <w:vAlign w:val="center"/>
          </w:tcPr>
          <w:p w:rsidR="00613CC4" w:rsidRDefault="00613CC4">
            <w:pPr>
              <w:pStyle w:val="Text1"/>
              <w:spacing w:beforeLines="20" w:before="48" w:afterLines="20" w:after="48"/>
              <w:ind w:left="0"/>
              <w:rPr>
                <w:noProof/>
                <w:sz w:val="16"/>
                <w:szCs w:val="16"/>
              </w:rPr>
            </w:pPr>
          </w:p>
        </w:tc>
        <w:tc>
          <w:tcPr>
            <w:tcW w:w="318" w:type="pct"/>
            <w:shd w:val="clear" w:color="auto" w:fill="auto"/>
            <w:vAlign w:val="center"/>
          </w:tcPr>
          <w:p w:rsidR="00613CC4" w:rsidRDefault="00613CC4">
            <w:pPr>
              <w:spacing w:beforeLines="20" w:before="48" w:afterLines="20" w:after="48"/>
              <w:jc w:val="center"/>
              <w:rPr>
                <w:noProof/>
                <w:sz w:val="16"/>
                <w:szCs w:val="16"/>
              </w:rPr>
            </w:pPr>
          </w:p>
        </w:tc>
        <w:tc>
          <w:tcPr>
            <w:tcW w:w="1891" w:type="pct"/>
            <w:shd w:val="clear" w:color="auto" w:fill="auto"/>
            <w:vAlign w:val="center"/>
          </w:tcPr>
          <w:p w:rsidR="00613CC4" w:rsidRDefault="00613CC4">
            <w:pPr>
              <w:spacing w:beforeLines="20" w:before="48" w:afterLines="20" w:after="48"/>
              <w:jc w:val="center"/>
              <w:rPr>
                <w:noProof/>
                <w:sz w:val="16"/>
                <w:szCs w:val="16"/>
              </w:rPr>
            </w:pPr>
          </w:p>
        </w:tc>
        <w:tc>
          <w:tcPr>
            <w:tcW w:w="226" w:type="pct"/>
            <w:shd w:val="clear" w:color="auto" w:fill="auto"/>
            <w:vAlign w:val="center"/>
          </w:tcPr>
          <w:p w:rsidR="00613CC4" w:rsidRDefault="00613CC4">
            <w:pPr>
              <w:spacing w:beforeLines="20" w:before="48" w:afterLines="20" w:after="48"/>
              <w:jc w:val="center"/>
              <w:rPr>
                <w:noProof/>
                <w:sz w:val="16"/>
                <w:szCs w:val="16"/>
              </w:rPr>
            </w:pPr>
          </w:p>
        </w:tc>
        <w:tc>
          <w:tcPr>
            <w:tcW w:w="115" w:type="pct"/>
            <w:shd w:val="clear" w:color="auto" w:fill="auto"/>
            <w:vAlign w:val="center"/>
          </w:tcPr>
          <w:p w:rsidR="00613CC4" w:rsidRDefault="00613CC4">
            <w:pPr>
              <w:spacing w:beforeLines="20" w:before="48" w:afterLines="20" w:after="48"/>
              <w:jc w:val="center"/>
              <w:rPr>
                <w:noProof/>
                <w:sz w:val="16"/>
                <w:szCs w:val="16"/>
              </w:rPr>
            </w:pPr>
          </w:p>
        </w:tc>
        <w:tc>
          <w:tcPr>
            <w:tcW w:w="115" w:type="pct"/>
            <w:shd w:val="clear" w:color="auto" w:fill="auto"/>
            <w:vAlign w:val="center"/>
          </w:tcPr>
          <w:p w:rsidR="00613CC4" w:rsidRDefault="00613CC4">
            <w:pPr>
              <w:spacing w:beforeLines="20" w:before="48" w:afterLines="20" w:after="48"/>
              <w:jc w:val="center"/>
              <w:rPr>
                <w:noProof/>
                <w:sz w:val="16"/>
                <w:szCs w:val="16"/>
              </w:rPr>
            </w:pPr>
          </w:p>
        </w:tc>
        <w:tc>
          <w:tcPr>
            <w:tcW w:w="115" w:type="pct"/>
            <w:shd w:val="clear" w:color="auto" w:fill="auto"/>
            <w:vAlign w:val="center"/>
          </w:tcPr>
          <w:p w:rsidR="00613CC4" w:rsidRDefault="00613CC4">
            <w:pPr>
              <w:spacing w:beforeLines="20" w:before="48" w:afterLines="20" w:after="48"/>
              <w:jc w:val="center"/>
              <w:rPr>
                <w:noProof/>
                <w:sz w:val="16"/>
                <w:szCs w:val="16"/>
              </w:rPr>
            </w:pPr>
          </w:p>
        </w:tc>
      </w:tr>
      <w:tr w:rsidR="00613CC4">
        <w:trPr>
          <w:gridBefore w:val="1"/>
          <w:wBefore w:w="6" w:type="pct"/>
          <w:trHeight w:val="289"/>
          <w:jc w:val="center"/>
        </w:trPr>
        <w:tc>
          <w:tcPr>
            <w:tcW w:w="948" w:type="pct"/>
            <w:vMerge/>
            <w:shd w:val="clear" w:color="auto" w:fill="auto"/>
            <w:vAlign w:val="center"/>
          </w:tcPr>
          <w:p w:rsidR="00613CC4" w:rsidRDefault="00613CC4">
            <w:pPr>
              <w:pStyle w:val="Text1"/>
              <w:spacing w:beforeLines="20" w:before="48" w:afterLines="20" w:after="48"/>
              <w:ind w:left="136"/>
              <w:jc w:val="left"/>
              <w:rPr>
                <w:b/>
                <w:noProof/>
                <w:sz w:val="16"/>
                <w:szCs w:val="16"/>
              </w:rPr>
            </w:pPr>
          </w:p>
        </w:tc>
        <w:tc>
          <w:tcPr>
            <w:tcW w:w="949" w:type="pct"/>
            <w:shd w:val="clear" w:color="auto" w:fill="auto"/>
            <w:vAlign w:val="center"/>
          </w:tcPr>
          <w:p w:rsidR="00613CC4" w:rsidRDefault="00950A85">
            <w:pPr>
              <w:pStyle w:val="Text1"/>
              <w:spacing w:beforeLines="20" w:before="48" w:afterLines="20" w:after="48"/>
              <w:ind w:left="136"/>
              <w:jc w:val="left"/>
              <w:rPr>
                <w:b/>
                <w:noProof/>
                <w:sz w:val="16"/>
                <w:szCs w:val="16"/>
              </w:rPr>
            </w:pPr>
            <w:r>
              <w:rPr>
                <w:noProof/>
                <w:sz w:val="16"/>
              </w:rPr>
              <w:t xml:space="preserve">- delegationer </w:t>
            </w:r>
          </w:p>
        </w:tc>
        <w:tc>
          <w:tcPr>
            <w:tcW w:w="318" w:type="pct"/>
            <w:shd w:val="clear" w:color="auto" w:fill="auto"/>
            <w:vAlign w:val="center"/>
          </w:tcPr>
          <w:p w:rsidR="00613CC4" w:rsidRDefault="00613CC4">
            <w:pPr>
              <w:pStyle w:val="Text1"/>
              <w:spacing w:beforeLines="20" w:before="48" w:afterLines="20" w:after="48"/>
              <w:ind w:left="0"/>
              <w:rPr>
                <w:noProof/>
                <w:sz w:val="16"/>
                <w:szCs w:val="16"/>
              </w:rPr>
            </w:pPr>
          </w:p>
        </w:tc>
        <w:tc>
          <w:tcPr>
            <w:tcW w:w="318" w:type="pct"/>
            <w:shd w:val="clear" w:color="auto" w:fill="auto"/>
            <w:vAlign w:val="center"/>
          </w:tcPr>
          <w:p w:rsidR="00613CC4" w:rsidRDefault="00613CC4">
            <w:pPr>
              <w:spacing w:beforeLines="20" w:before="48" w:afterLines="20" w:after="48"/>
              <w:jc w:val="center"/>
              <w:rPr>
                <w:noProof/>
                <w:sz w:val="16"/>
                <w:szCs w:val="16"/>
              </w:rPr>
            </w:pPr>
          </w:p>
        </w:tc>
        <w:tc>
          <w:tcPr>
            <w:tcW w:w="1891" w:type="pct"/>
            <w:shd w:val="clear" w:color="auto" w:fill="auto"/>
            <w:vAlign w:val="center"/>
          </w:tcPr>
          <w:p w:rsidR="00613CC4" w:rsidRDefault="00613CC4">
            <w:pPr>
              <w:spacing w:beforeLines="20" w:before="48" w:afterLines="20" w:after="48"/>
              <w:jc w:val="center"/>
              <w:rPr>
                <w:noProof/>
                <w:sz w:val="16"/>
                <w:szCs w:val="16"/>
              </w:rPr>
            </w:pPr>
          </w:p>
        </w:tc>
        <w:tc>
          <w:tcPr>
            <w:tcW w:w="226" w:type="pct"/>
            <w:shd w:val="clear" w:color="auto" w:fill="auto"/>
            <w:vAlign w:val="center"/>
          </w:tcPr>
          <w:p w:rsidR="00613CC4" w:rsidRDefault="00613CC4">
            <w:pPr>
              <w:spacing w:beforeLines="20" w:before="48" w:afterLines="20" w:after="48"/>
              <w:jc w:val="center"/>
              <w:rPr>
                <w:noProof/>
                <w:sz w:val="16"/>
                <w:szCs w:val="16"/>
              </w:rPr>
            </w:pPr>
          </w:p>
        </w:tc>
        <w:tc>
          <w:tcPr>
            <w:tcW w:w="115" w:type="pct"/>
            <w:shd w:val="clear" w:color="auto" w:fill="auto"/>
            <w:vAlign w:val="center"/>
          </w:tcPr>
          <w:p w:rsidR="00613CC4" w:rsidRDefault="00613CC4">
            <w:pPr>
              <w:spacing w:beforeLines="20" w:before="48" w:afterLines="20" w:after="48"/>
              <w:jc w:val="center"/>
              <w:rPr>
                <w:noProof/>
                <w:sz w:val="16"/>
                <w:szCs w:val="16"/>
              </w:rPr>
            </w:pPr>
          </w:p>
        </w:tc>
        <w:tc>
          <w:tcPr>
            <w:tcW w:w="115" w:type="pct"/>
            <w:shd w:val="clear" w:color="auto" w:fill="auto"/>
            <w:vAlign w:val="center"/>
          </w:tcPr>
          <w:p w:rsidR="00613CC4" w:rsidRDefault="00613CC4">
            <w:pPr>
              <w:spacing w:beforeLines="20" w:before="48" w:afterLines="20" w:after="48"/>
              <w:jc w:val="center"/>
              <w:rPr>
                <w:noProof/>
                <w:sz w:val="16"/>
                <w:szCs w:val="16"/>
              </w:rPr>
            </w:pPr>
          </w:p>
        </w:tc>
        <w:tc>
          <w:tcPr>
            <w:tcW w:w="115" w:type="pct"/>
            <w:shd w:val="clear" w:color="auto" w:fill="auto"/>
            <w:vAlign w:val="center"/>
          </w:tcPr>
          <w:p w:rsidR="00613CC4" w:rsidRDefault="00613CC4">
            <w:pPr>
              <w:spacing w:beforeLines="20" w:before="48" w:afterLines="20" w:after="48"/>
              <w:jc w:val="center"/>
              <w:rPr>
                <w:noProof/>
                <w:sz w:val="16"/>
                <w:szCs w:val="16"/>
              </w:rPr>
            </w:pPr>
          </w:p>
        </w:tc>
      </w:tr>
      <w:tr w:rsidR="00613CC4">
        <w:trPr>
          <w:gridBefore w:val="1"/>
          <w:wBefore w:w="6" w:type="pct"/>
          <w:trHeight w:val="289"/>
          <w:jc w:val="center"/>
        </w:trPr>
        <w:tc>
          <w:tcPr>
            <w:tcW w:w="1897" w:type="pct"/>
            <w:gridSpan w:val="2"/>
            <w:shd w:val="clear" w:color="auto" w:fill="auto"/>
            <w:vAlign w:val="center"/>
          </w:tcPr>
          <w:p w:rsidR="00613CC4" w:rsidRDefault="00950A85">
            <w:pPr>
              <w:pStyle w:val="Text1"/>
              <w:spacing w:beforeLines="20" w:before="48" w:afterLines="20" w:after="48"/>
              <w:ind w:left="136"/>
              <w:jc w:val="left"/>
              <w:rPr>
                <w:noProof/>
                <w:sz w:val="16"/>
                <w:szCs w:val="16"/>
              </w:rPr>
            </w:pPr>
            <w:r>
              <w:rPr>
                <w:b/>
                <w:noProof/>
                <w:sz w:val="16"/>
              </w:rPr>
              <w:t>XX</w:t>
            </w:r>
            <w:r>
              <w:rPr>
                <w:noProof/>
              </w:rPr>
              <w:t xml:space="preserve"> </w:t>
            </w:r>
            <w:r>
              <w:rPr>
                <w:noProof/>
                <w:sz w:val="16"/>
              </w:rPr>
              <w:t>01 05 02 (KA, UNE, V – indirekte forskning)</w:t>
            </w:r>
          </w:p>
        </w:tc>
        <w:tc>
          <w:tcPr>
            <w:tcW w:w="318" w:type="pct"/>
            <w:shd w:val="clear" w:color="auto" w:fill="auto"/>
            <w:vAlign w:val="center"/>
          </w:tcPr>
          <w:p w:rsidR="00613CC4" w:rsidRDefault="00613CC4">
            <w:pPr>
              <w:spacing w:beforeLines="20" w:before="48" w:afterLines="20" w:after="48"/>
              <w:jc w:val="center"/>
              <w:rPr>
                <w:noProof/>
                <w:sz w:val="16"/>
                <w:szCs w:val="16"/>
              </w:rPr>
            </w:pPr>
          </w:p>
        </w:tc>
        <w:tc>
          <w:tcPr>
            <w:tcW w:w="318" w:type="pct"/>
            <w:shd w:val="clear" w:color="auto" w:fill="auto"/>
            <w:vAlign w:val="center"/>
          </w:tcPr>
          <w:p w:rsidR="00613CC4" w:rsidRDefault="00613CC4">
            <w:pPr>
              <w:spacing w:beforeLines="20" w:before="48" w:afterLines="20" w:after="48"/>
              <w:jc w:val="center"/>
              <w:rPr>
                <w:noProof/>
                <w:sz w:val="16"/>
                <w:szCs w:val="16"/>
              </w:rPr>
            </w:pPr>
          </w:p>
        </w:tc>
        <w:tc>
          <w:tcPr>
            <w:tcW w:w="1891" w:type="pct"/>
            <w:shd w:val="clear" w:color="auto" w:fill="auto"/>
            <w:vAlign w:val="center"/>
          </w:tcPr>
          <w:p w:rsidR="00613CC4" w:rsidRDefault="00613CC4">
            <w:pPr>
              <w:spacing w:beforeLines="20" w:before="48" w:afterLines="20" w:after="48"/>
              <w:jc w:val="center"/>
              <w:rPr>
                <w:noProof/>
                <w:sz w:val="16"/>
                <w:szCs w:val="16"/>
              </w:rPr>
            </w:pPr>
          </w:p>
        </w:tc>
        <w:tc>
          <w:tcPr>
            <w:tcW w:w="226" w:type="pct"/>
            <w:shd w:val="clear" w:color="auto" w:fill="auto"/>
            <w:vAlign w:val="center"/>
          </w:tcPr>
          <w:p w:rsidR="00613CC4" w:rsidRDefault="00613CC4">
            <w:pPr>
              <w:spacing w:beforeLines="20" w:before="48" w:afterLines="20" w:after="48"/>
              <w:jc w:val="center"/>
              <w:rPr>
                <w:noProof/>
                <w:sz w:val="16"/>
                <w:szCs w:val="16"/>
              </w:rPr>
            </w:pPr>
          </w:p>
        </w:tc>
        <w:tc>
          <w:tcPr>
            <w:tcW w:w="115" w:type="pct"/>
            <w:shd w:val="clear" w:color="auto" w:fill="auto"/>
            <w:vAlign w:val="center"/>
          </w:tcPr>
          <w:p w:rsidR="00613CC4" w:rsidRDefault="00613CC4">
            <w:pPr>
              <w:spacing w:beforeLines="20" w:before="48" w:afterLines="20" w:after="48"/>
              <w:jc w:val="center"/>
              <w:rPr>
                <w:noProof/>
                <w:sz w:val="16"/>
                <w:szCs w:val="16"/>
              </w:rPr>
            </w:pPr>
          </w:p>
        </w:tc>
        <w:tc>
          <w:tcPr>
            <w:tcW w:w="115" w:type="pct"/>
            <w:shd w:val="clear" w:color="auto" w:fill="auto"/>
            <w:vAlign w:val="center"/>
          </w:tcPr>
          <w:p w:rsidR="00613CC4" w:rsidRDefault="00613CC4">
            <w:pPr>
              <w:spacing w:beforeLines="20" w:before="48" w:afterLines="20" w:after="48"/>
              <w:jc w:val="center"/>
              <w:rPr>
                <w:noProof/>
                <w:sz w:val="16"/>
                <w:szCs w:val="16"/>
              </w:rPr>
            </w:pPr>
          </w:p>
        </w:tc>
        <w:tc>
          <w:tcPr>
            <w:tcW w:w="115" w:type="pct"/>
            <w:shd w:val="clear" w:color="auto" w:fill="auto"/>
            <w:vAlign w:val="center"/>
          </w:tcPr>
          <w:p w:rsidR="00613CC4" w:rsidRDefault="00613CC4">
            <w:pPr>
              <w:spacing w:beforeLines="20" w:before="48" w:afterLines="20" w:after="48"/>
              <w:jc w:val="center"/>
              <w:rPr>
                <w:noProof/>
                <w:sz w:val="16"/>
                <w:szCs w:val="16"/>
              </w:rPr>
            </w:pPr>
          </w:p>
        </w:tc>
      </w:tr>
      <w:tr w:rsidR="00613CC4">
        <w:trPr>
          <w:gridBefore w:val="1"/>
          <w:wBefore w:w="6" w:type="pct"/>
          <w:trHeight w:val="289"/>
          <w:jc w:val="center"/>
        </w:trPr>
        <w:tc>
          <w:tcPr>
            <w:tcW w:w="1897" w:type="pct"/>
            <w:gridSpan w:val="2"/>
            <w:shd w:val="clear" w:color="auto" w:fill="auto"/>
            <w:vAlign w:val="center"/>
          </w:tcPr>
          <w:p w:rsidR="00613CC4" w:rsidRDefault="00950A85">
            <w:pPr>
              <w:pStyle w:val="Text1"/>
              <w:spacing w:beforeLines="20" w:before="48" w:afterLines="20" w:after="48"/>
              <w:ind w:left="136"/>
              <w:jc w:val="left"/>
              <w:rPr>
                <w:noProof/>
                <w:sz w:val="16"/>
                <w:szCs w:val="16"/>
              </w:rPr>
            </w:pPr>
            <w:r>
              <w:rPr>
                <w:noProof/>
                <w:sz w:val="16"/>
              </w:rPr>
              <w:t>10 01 05 02 (KA, UNE, V — direkte forskning)</w:t>
            </w:r>
          </w:p>
        </w:tc>
        <w:tc>
          <w:tcPr>
            <w:tcW w:w="318" w:type="pct"/>
            <w:shd w:val="clear" w:color="auto" w:fill="auto"/>
            <w:vAlign w:val="center"/>
          </w:tcPr>
          <w:p w:rsidR="00613CC4" w:rsidRDefault="00613CC4">
            <w:pPr>
              <w:spacing w:beforeLines="20" w:before="48" w:afterLines="20" w:after="48"/>
              <w:jc w:val="center"/>
              <w:rPr>
                <w:noProof/>
                <w:sz w:val="16"/>
                <w:szCs w:val="16"/>
              </w:rPr>
            </w:pPr>
          </w:p>
        </w:tc>
        <w:tc>
          <w:tcPr>
            <w:tcW w:w="318" w:type="pct"/>
            <w:shd w:val="clear" w:color="auto" w:fill="auto"/>
            <w:vAlign w:val="center"/>
          </w:tcPr>
          <w:p w:rsidR="00613CC4" w:rsidRDefault="00613CC4">
            <w:pPr>
              <w:spacing w:beforeLines="20" w:before="48" w:afterLines="20" w:after="48"/>
              <w:jc w:val="center"/>
              <w:rPr>
                <w:noProof/>
                <w:sz w:val="16"/>
                <w:szCs w:val="16"/>
              </w:rPr>
            </w:pPr>
          </w:p>
        </w:tc>
        <w:tc>
          <w:tcPr>
            <w:tcW w:w="1891" w:type="pct"/>
            <w:shd w:val="clear" w:color="auto" w:fill="auto"/>
            <w:vAlign w:val="center"/>
          </w:tcPr>
          <w:p w:rsidR="00613CC4" w:rsidRDefault="00613CC4">
            <w:pPr>
              <w:spacing w:beforeLines="20" w:before="48" w:afterLines="20" w:after="48"/>
              <w:jc w:val="center"/>
              <w:rPr>
                <w:noProof/>
                <w:sz w:val="16"/>
                <w:szCs w:val="16"/>
              </w:rPr>
            </w:pPr>
          </w:p>
        </w:tc>
        <w:tc>
          <w:tcPr>
            <w:tcW w:w="226" w:type="pct"/>
            <w:shd w:val="clear" w:color="auto" w:fill="auto"/>
            <w:vAlign w:val="center"/>
          </w:tcPr>
          <w:p w:rsidR="00613CC4" w:rsidRDefault="00613CC4">
            <w:pPr>
              <w:spacing w:beforeLines="20" w:before="48" w:afterLines="20" w:after="48"/>
              <w:jc w:val="center"/>
              <w:rPr>
                <w:noProof/>
                <w:sz w:val="16"/>
                <w:szCs w:val="16"/>
              </w:rPr>
            </w:pPr>
          </w:p>
        </w:tc>
        <w:tc>
          <w:tcPr>
            <w:tcW w:w="115" w:type="pct"/>
            <w:shd w:val="clear" w:color="auto" w:fill="auto"/>
            <w:vAlign w:val="center"/>
          </w:tcPr>
          <w:p w:rsidR="00613CC4" w:rsidRDefault="00613CC4">
            <w:pPr>
              <w:spacing w:beforeLines="20" w:before="48" w:afterLines="20" w:after="48"/>
              <w:jc w:val="center"/>
              <w:rPr>
                <w:noProof/>
                <w:sz w:val="16"/>
                <w:szCs w:val="16"/>
              </w:rPr>
            </w:pPr>
          </w:p>
        </w:tc>
        <w:tc>
          <w:tcPr>
            <w:tcW w:w="115" w:type="pct"/>
            <w:shd w:val="clear" w:color="auto" w:fill="auto"/>
            <w:vAlign w:val="center"/>
          </w:tcPr>
          <w:p w:rsidR="00613CC4" w:rsidRDefault="00613CC4">
            <w:pPr>
              <w:spacing w:beforeLines="20" w:before="48" w:afterLines="20" w:after="48"/>
              <w:jc w:val="center"/>
              <w:rPr>
                <w:noProof/>
                <w:sz w:val="16"/>
                <w:szCs w:val="16"/>
              </w:rPr>
            </w:pPr>
          </w:p>
        </w:tc>
        <w:tc>
          <w:tcPr>
            <w:tcW w:w="115" w:type="pct"/>
            <w:shd w:val="clear" w:color="auto" w:fill="auto"/>
            <w:vAlign w:val="center"/>
          </w:tcPr>
          <w:p w:rsidR="00613CC4" w:rsidRDefault="00613CC4">
            <w:pPr>
              <w:spacing w:beforeLines="20" w:before="48" w:afterLines="20" w:after="48"/>
              <w:jc w:val="center"/>
              <w:rPr>
                <w:noProof/>
                <w:sz w:val="16"/>
                <w:szCs w:val="16"/>
              </w:rPr>
            </w:pPr>
          </w:p>
        </w:tc>
      </w:tr>
      <w:tr w:rsidR="00613CC4">
        <w:trPr>
          <w:gridBefore w:val="1"/>
          <w:wBefore w:w="6" w:type="pct"/>
          <w:trHeight w:val="289"/>
          <w:jc w:val="center"/>
        </w:trPr>
        <w:tc>
          <w:tcPr>
            <w:tcW w:w="1897" w:type="pct"/>
            <w:gridSpan w:val="2"/>
            <w:tcBorders>
              <w:bottom w:val="double" w:sz="4" w:space="0" w:color="auto"/>
            </w:tcBorders>
            <w:shd w:val="clear" w:color="auto" w:fill="auto"/>
            <w:vAlign w:val="center"/>
          </w:tcPr>
          <w:p w:rsidR="00613CC4" w:rsidRDefault="00950A85">
            <w:pPr>
              <w:pStyle w:val="Text1"/>
              <w:spacing w:beforeLines="20" w:before="48" w:afterLines="20" w:after="48"/>
              <w:ind w:left="134"/>
              <w:jc w:val="left"/>
              <w:rPr>
                <w:noProof/>
                <w:sz w:val="16"/>
                <w:szCs w:val="16"/>
              </w:rPr>
            </w:pPr>
            <w:r>
              <w:rPr>
                <w:noProof/>
                <w:sz w:val="16"/>
              </w:rPr>
              <w:t>Andre budgetposter (skal angives)</w:t>
            </w:r>
          </w:p>
        </w:tc>
        <w:tc>
          <w:tcPr>
            <w:tcW w:w="318" w:type="pct"/>
            <w:tcBorders>
              <w:bottom w:val="double" w:sz="4" w:space="0" w:color="auto"/>
            </w:tcBorders>
            <w:shd w:val="clear" w:color="auto" w:fill="auto"/>
            <w:vAlign w:val="center"/>
          </w:tcPr>
          <w:p w:rsidR="00613CC4" w:rsidRDefault="00613CC4">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rsidR="00613CC4" w:rsidRDefault="00613CC4">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rsidR="00613CC4" w:rsidRDefault="00613CC4">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rsidR="00613CC4" w:rsidRDefault="00613CC4">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613CC4" w:rsidRDefault="00613CC4">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613CC4" w:rsidRDefault="00613CC4">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613CC4" w:rsidRDefault="00613CC4">
            <w:pPr>
              <w:spacing w:beforeLines="20" w:before="48" w:afterLines="20" w:after="48"/>
              <w:jc w:val="center"/>
              <w:rPr>
                <w:noProof/>
                <w:sz w:val="16"/>
                <w:szCs w:val="16"/>
              </w:rPr>
            </w:pPr>
          </w:p>
        </w:tc>
      </w:tr>
      <w:tr w:rsidR="00613CC4">
        <w:trPr>
          <w:gridBefore w:val="1"/>
          <w:wBefore w:w="6" w:type="pct"/>
          <w:trHeight w:val="289"/>
          <w:jc w:val="center"/>
        </w:trPr>
        <w:tc>
          <w:tcPr>
            <w:tcW w:w="1897" w:type="pct"/>
            <w:gridSpan w:val="2"/>
            <w:tcBorders>
              <w:top w:val="double" w:sz="4" w:space="0" w:color="auto"/>
            </w:tcBorders>
            <w:shd w:val="clear" w:color="auto" w:fill="auto"/>
            <w:vAlign w:val="center"/>
          </w:tcPr>
          <w:p w:rsidR="00613CC4" w:rsidRDefault="00950A85">
            <w:pPr>
              <w:pStyle w:val="Text1"/>
              <w:spacing w:beforeLines="20" w:before="48" w:afterLines="20" w:after="48"/>
              <w:ind w:left="136"/>
              <w:jc w:val="left"/>
              <w:rPr>
                <w:noProof/>
                <w:sz w:val="16"/>
                <w:szCs w:val="16"/>
              </w:rPr>
            </w:pPr>
            <w:r>
              <w:rPr>
                <w:b/>
                <w:noProof/>
                <w:sz w:val="16"/>
              </w:rPr>
              <w:t>I ALT</w:t>
            </w:r>
          </w:p>
        </w:tc>
        <w:tc>
          <w:tcPr>
            <w:tcW w:w="318" w:type="pct"/>
            <w:tcBorders>
              <w:top w:val="double" w:sz="4" w:space="0" w:color="auto"/>
            </w:tcBorders>
            <w:shd w:val="clear" w:color="auto" w:fill="auto"/>
            <w:vAlign w:val="center"/>
          </w:tcPr>
          <w:p w:rsidR="00613CC4" w:rsidRDefault="00613CC4">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rsidR="00613CC4" w:rsidRDefault="00613CC4">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rsidR="00613CC4" w:rsidRDefault="00613CC4">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rsidR="00613CC4" w:rsidRDefault="00613CC4">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613CC4" w:rsidRDefault="00613CC4">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613CC4" w:rsidRDefault="00613CC4">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613CC4" w:rsidRDefault="00613CC4">
            <w:pPr>
              <w:spacing w:beforeLines="20" w:before="48" w:afterLines="20" w:after="48"/>
              <w:jc w:val="center"/>
              <w:rPr>
                <w:b/>
                <w:noProof/>
                <w:sz w:val="16"/>
                <w:szCs w:val="16"/>
              </w:rPr>
            </w:pPr>
          </w:p>
        </w:tc>
      </w:tr>
    </w:tbl>
    <w:p w:rsidR="00613CC4" w:rsidRDefault="00950A85">
      <w:pPr>
        <w:pStyle w:val="Text1"/>
        <w:spacing w:before="60" w:after="60"/>
        <w:ind w:left="851"/>
        <w:rPr>
          <w:noProof/>
          <w:sz w:val="18"/>
          <w:szCs w:val="18"/>
        </w:rPr>
      </w:pPr>
      <w:r>
        <w:rPr>
          <w:b/>
          <w:noProof/>
          <w:sz w:val="18"/>
        </w:rPr>
        <w:t>XX</w:t>
      </w:r>
      <w:r>
        <w:rPr>
          <w:noProof/>
        </w:rPr>
        <w:t xml:space="preserve"> </w:t>
      </w:r>
      <w:r>
        <w:rPr>
          <w:noProof/>
          <w:sz w:val="18"/>
        </w:rPr>
        <w:t>angiver det berørte politikområde eller budgetafsnit.</w:t>
      </w:r>
    </w:p>
    <w:p w:rsidR="00613CC4" w:rsidRDefault="00950A85">
      <w:pPr>
        <w:pStyle w:val="Text1"/>
        <w:rPr>
          <w:noProof/>
          <w:sz w:val="18"/>
          <w:szCs w:val="18"/>
        </w:rPr>
      </w:pPr>
      <w:r>
        <w:rPr>
          <w:noProof/>
          <w:sz w:val="18"/>
        </w:rPr>
        <w:t>Personalebehovet vil blive dækket ved hjælp af det personale, som generaldirektoratet allerede har afsat til aktionen, og/eller interne rokader</w:t>
      </w:r>
      <w:r>
        <w:rPr>
          <w:noProof/>
          <w:sz w:val="18"/>
        </w:rPr>
        <w:t xml:space="preserve"> i generaldirektoratet, eventuelt suppleret med yderligere bevillinger, som tildeles det ansvarlige generaldirektorat i forbindelse med den årlige tildelingsprocedure under hensyntagen til de budgetmæssige begrænsninger.</w:t>
      </w:r>
    </w:p>
    <w:p w:rsidR="00613CC4" w:rsidRDefault="00950A85">
      <w:pPr>
        <w:rPr>
          <w:noProof/>
          <w:sz w:val="20"/>
        </w:rPr>
      </w:pPr>
      <w:r>
        <w:rPr>
          <w:noProof/>
          <w:sz w:val="20"/>
        </w:rPr>
        <w:t>Opgavebeskrivelse: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613CC4">
        <w:tc>
          <w:tcPr>
            <w:tcW w:w="3240" w:type="dxa"/>
          </w:tcPr>
          <w:p w:rsidR="00613CC4" w:rsidRDefault="00950A85">
            <w:pPr>
              <w:rPr>
                <w:noProof/>
                <w:sz w:val="20"/>
              </w:rPr>
            </w:pPr>
            <w:r>
              <w:rPr>
                <w:noProof/>
                <w:sz w:val="20"/>
              </w:rPr>
              <w:t xml:space="preserve">Tjenestemænd og </w:t>
            </w:r>
            <w:r>
              <w:rPr>
                <w:noProof/>
                <w:sz w:val="20"/>
              </w:rPr>
              <w:t>midlertidigt ansatte</w:t>
            </w:r>
          </w:p>
        </w:tc>
        <w:tc>
          <w:tcPr>
            <w:tcW w:w="7200" w:type="dxa"/>
          </w:tcPr>
          <w:p w:rsidR="00613CC4" w:rsidRDefault="00613CC4">
            <w:pPr>
              <w:rPr>
                <w:noProof/>
                <w:sz w:val="20"/>
              </w:rPr>
            </w:pPr>
          </w:p>
        </w:tc>
      </w:tr>
      <w:tr w:rsidR="00613CC4">
        <w:tc>
          <w:tcPr>
            <w:tcW w:w="3240" w:type="dxa"/>
          </w:tcPr>
          <w:p w:rsidR="00613CC4" w:rsidRDefault="00950A85">
            <w:pPr>
              <w:spacing w:before="60" w:after="60"/>
              <w:rPr>
                <w:noProof/>
                <w:sz w:val="20"/>
              </w:rPr>
            </w:pPr>
            <w:r>
              <w:rPr>
                <w:noProof/>
                <w:sz w:val="20"/>
              </w:rPr>
              <w:t>Eksternt personale</w:t>
            </w:r>
          </w:p>
        </w:tc>
        <w:tc>
          <w:tcPr>
            <w:tcW w:w="7200" w:type="dxa"/>
          </w:tcPr>
          <w:p w:rsidR="00613CC4" w:rsidRDefault="00613CC4">
            <w:pPr>
              <w:rPr>
                <w:noProof/>
                <w:sz w:val="20"/>
              </w:rPr>
            </w:pPr>
          </w:p>
        </w:tc>
      </w:tr>
    </w:tbl>
    <w:p w:rsidR="00613CC4" w:rsidRDefault="00613CC4">
      <w:pPr>
        <w:rPr>
          <w:noProof/>
        </w:rPr>
        <w:sectPr w:rsidR="00613CC4">
          <w:pgSz w:w="11907" w:h="16840"/>
          <w:pgMar w:top="1134" w:right="1418" w:bottom="1134" w:left="1418" w:header="709" w:footer="709" w:gutter="0"/>
          <w:cols w:space="708"/>
          <w:docGrid w:linePitch="360"/>
        </w:sectPr>
      </w:pPr>
    </w:p>
    <w:p w:rsidR="00613CC4" w:rsidRDefault="00950A85">
      <w:pPr>
        <w:pStyle w:val="ManualHeading3"/>
        <w:rPr>
          <w:bCs/>
          <w:noProof/>
          <w:szCs w:val="24"/>
        </w:rPr>
      </w:pPr>
      <w:r>
        <w:t>3.2.4.</w:t>
      </w:r>
      <w:r>
        <w:tab/>
      </w:r>
      <w:r>
        <w:rPr>
          <w:noProof/>
        </w:rPr>
        <w:t xml:space="preserve">Forenelighed med indeværende flerårige finansielle ramme </w:t>
      </w:r>
    </w:p>
    <w:p w:rsidR="00613CC4" w:rsidRDefault="00950A85">
      <w:pPr>
        <w:pStyle w:val="ListDash1"/>
        <w:rPr>
          <w:noProof/>
        </w:rPr>
      </w:pPr>
      <w:r>
        <w:rPr>
          <w:noProof/>
        </w:rPr>
        <w:sym w:font="Wingdings" w:char="F0A8"/>
      </w:r>
      <w:r>
        <w:rPr>
          <w:noProof/>
        </w:rPr>
        <w:tab/>
        <w:t>Forslaget/initiativet er foreneligt med indeværende flerårige finansielle ramme</w:t>
      </w:r>
    </w:p>
    <w:p w:rsidR="00613CC4" w:rsidRDefault="00950A85">
      <w:pPr>
        <w:pStyle w:val="ListDash1"/>
        <w:rPr>
          <w:noProof/>
        </w:rPr>
      </w:pPr>
      <w:r>
        <w:rPr>
          <w:noProof/>
        </w:rPr>
        <w:sym w:font="Wingdings" w:char="F0A8"/>
      </w:r>
      <w:r>
        <w:rPr>
          <w:noProof/>
        </w:rPr>
        <w:tab/>
        <w:t>Forslaget/initiativet kræver omlægning af</w:t>
      </w:r>
      <w:r>
        <w:rPr>
          <w:noProof/>
        </w:rPr>
        <w:t xml:space="preserve"> det relevante udgiftsområde i den flerårige finansielle ramme</w:t>
      </w:r>
    </w:p>
    <w:p w:rsidR="00613CC4" w:rsidRDefault="00950A85">
      <w:pPr>
        <w:pStyle w:val="Text1"/>
        <w:pBdr>
          <w:top w:val="single" w:sz="4" w:space="1" w:color="auto"/>
          <w:left w:val="single" w:sz="4" w:space="4" w:color="auto"/>
          <w:bottom w:val="single" w:sz="4" w:space="1" w:color="auto"/>
          <w:right w:val="single" w:sz="4" w:space="4" w:color="auto"/>
        </w:pBdr>
        <w:rPr>
          <w:noProof/>
          <w:sz w:val="20"/>
        </w:rPr>
      </w:pPr>
      <w:r>
        <w:rPr>
          <w:noProof/>
          <w:sz w:val="20"/>
        </w:rPr>
        <w:t>Der redegøres for omlægningen med angivelse af de berørte budgetposter og beløbenes størrelse</w:t>
      </w:r>
    </w:p>
    <w:p w:rsidR="00613CC4" w:rsidRDefault="00613CC4">
      <w:pPr>
        <w:pStyle w:val="Text1"/>
        <w:pBdr>
          <w:top w:val="single" w:sz="4" w:space="1" w:color="auto"/>
          <w:left w:val="single" w:sz="4" w:space="4" w:color="auto"/>
          <w:bottom w:val="single" w:sz="4" w:space="1" w:color="auto"/>
          <w:right w:val="single" w:sz="4" w:space="4" w:color="auto"/>
        </w:pBdr>
        <w:rPr>
          <w:noProof/>
        </w:rPr>
      </w:pPr>
    </w:p>
    <w:p w:rsidR="00613CC4" w:rsidRDefault="00950A85">
      <w:pPr>
        <w:pStyle w:val="ListDash1"/>
        <w:rPr>
          <w:noProof/>
        </w:rPr>
      </w:pPr>
      <w:r>
        <w:rPr>
          <w:noProof/>
        </w:rPr>
        <w:sym w:font="Wingdings" w:char="F0A8"/>
      </w:r>
      <w:r>
        <w:rPr>
          <w:noProof/>
        </w:rPr>
        <w:tab/>
        <w:t>Forslaget/initiativet kræver, at fleksibilitetsinstrumentet anvendes, eller at den flerårige fin</w:t>
      </w:r>
      <w:r>
        <w:rPr>
          <w:noProof/>
        </w:rPr>
        <w:t>ansielle ramme revideres.</w:t>
      </w:r>
    </w:p>
    <w:p w:rsidR="00613CC4" w:rsidRDefault="00950A85">
      <w:pPr>
        <w:pStyle w:val="Text1"/>
        <w:pBdr>
          <w:top w:val="single" w:sz="4" w:space="1" w:color="auto"/>
          <w:left w:val="single" w:sz="4" w:space="4" w:color="auto"/>
          <w:bottom w:val="single" w:sz="4" w:space="1" w:color="auto"/>
          <w:right w:val="single" w:sz="4" w:space="4" w:color="auto"/>
        </w:pBdr>
        <w:rPr>
          <w:noProof/>
          <w:sz w:val="20"/>
        </w:rPr>
      </w:pPr>
      <w:r>
        <w:rPr>
          <w:noProof/>
          <w:sz w:val="20"/>
        </w:rPr>
        <w:t>Der redegøres for behovet med angivelse af de berørte udgiftsområder og budgetposter og beløbenes størrelse</w:t>
      </w:r>
    </w:p>
    <w:p w:rsidR="00613CC4" w:rsidRDefault="00613CC4">
      <w:pPr>
        <w:pStyle w:val="Text1"/>
        <w:pBdr>
          <w:top w:val="single" w:sz="4" w:space="1" w:color="auto"/>
          <w:left w:val="single" w:sz="4" w:space="4" w:color="auto"/>
          <w:bottom w:val="single" w:sz="4" w:space="1" w:color="auto"/>
          <w:right w:val="single" w:sz="4" w:space="4" w:color="auto"/>
        </w:pBdr>
        <w:rPr>
          <w:noProof/>
        </w:rPr>
      </w:pPr>
    </w:p>
    <w:p w:rsidR="00613CC4" w:rsidRDefault="00950A85">
      <w:pPr>
        <w:pStyle w:val="ManualHeading3"/>
        <w:rPr>
          <w:bCs/>
          <w:noProof/>
          <w:szCs w:val="24"/>
        </w:rPr>
      </w:pPr>
      <w:r>
        <w:t>3.2.5.</w:t>
      </w:r>
      <w:r>
        <w:tab/>
      </w:r>
      <w:r>
        <w:rPr>
          <w:noProof/>
        </w:rPr>
        <w:t xml:space="preserve">Tredjemands bidrag til finansieringen </w:t>
      </w:r>
    </w:p>
    <w:p w:rsidR="00613CC4" w:rsidRDefault="00950A85">
      <w:pPr>
        <w:pStyle w:val="ListDash1"/>
        <w:rPr>
          <w:noProof/>
        </w:rPr>
      </w:pPr>
      <w:r>
        <w:rPr>
          <w:noProof/>
        </w:rPr>
        <w:t xml:space="preserve">Forslaget/initiativet indeholder ikke bestemmelser om samfinansiering med tredjemand. </w:t>
      </w:r>
    </w:p>
    <w:p w:rsidR="00613CC4" w:rsidRDefault="00950A85">
      <w:pPr>
        <w:pStyle w:val="ListDash1"/>
        <w:rPr>
          <w:noProof/>
        </w:rPr>
      </w:pPr>
      <w:r>
        <w:rPr>
          <w:noProof/>
        </w:rPr>
        <w:t>Forslaget/initiativet indeholder bestemmelser om samfinansiering, jf. følgende overslag:</w:t>
      </w:r>
    </w:p>
    <w:p w:rsidR="00613CC4" w:rsidRDefault="00950A85">
      <w:pPr>
        <w:jc w:val="right"/>
        <w:rPr>
          <w:noProof/>
          <w:sz w:val="20"/>
        </w:rPr>
      </w:pPr>
      <w:r>
        <w:rPr>
          <w:noProof/>
          <w:sz w:val="20"/>
        </w:rPr>
        <w:t>Bevillinger i mio. EUR (tre decimaler)</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613CC4">
        <w:trPr>
          <w:cantSplit/>
        </w:trPr>
        <w:tc>
          <w:tcPr>
            <w:tcW w:w="2340" w:type="dxa"/>
          </w:tcPr>
          <w:p w:rsidR="00613CC4" w:rsidRDefault="00613CC4">
            <w:pPr>
              <w:spacing w:before="60" w:after="60"/>
              <w:rPr>
                <w:noProof/>
                <w:sz w:val="20"/>
              </w:rPr>
            </w:pPr>
          </w:p>
        </w:tc>
        <w:tc>
          <w:tcPr>
            <w:tcW w:w="964" w:type="dxa"/>
            <w:vAlign w:val="center"/>
          </w:tcPr>
          <w:p w:rsidR="00613CC4" w:rsidRDefault="00950A85">
            <w:pPr>
              <w:jc w:val="center"/>
              <w:rPr>
                <w:noProof/>
                <w:sz w:val="20"/>
              </w:rPr>
            </w:pPr>
            <w:r>
              <w:rPr>
                <w:noProof/>
                <w:sz w:val="20"/>
              </w:rPr>
              <w:t>År</w:t>
            </w:r>
            <w:r>
              <w:rPr>
                <w:noProof/>
                <w:sz w:val="22"/>
              </w:rPr>
              <w:br/>
            </w:r>
            <w:r>
              <w:rPr>
                <w:b/>
                <w:noProof/>
                <w:sz w:val="20"/>
              </w:rPr>
              <w:t>N</w:t>
            </w:r>
          </w:p>
        </w:tc>
        <w:tc>
          <w:tcPr>
            <w:tcW w:w="964" w:type="dxa"/>
            <w:vAlign w:val="center"/>
          </w:tcPr>
          <w:p w:rsidR="00613CC4" w:rsidRDefault="00950A85">
            <w:pPr>
              <w:jc w:val="center"/>
              <w:rPr>
                <w:noProof/>
                <w:sz w:val="20"/>
              </w:rPr>
            </w:pPr>
            <w:r>
              <w:rPr>
                <w:noProof/>
                <w:sz w:val="20"/>
              </w:rPr>
              <w:t>År</w:t>
            </w:r>
            <w:r>
              <w:rPr>
                <w:noProof/>
                <w:sz w:val="22"/>
              </w:rPr>
              <w:br/>
            </w:r>
            <w:r>
              <w:rPr>
                <w:b/>
                <w:noProof/>
                <w:sz w:val="20"/>
              </w:rPr>
              <w:t>N+1</w:t>
            </w:r>
          </w:p>
        </w:tc>
        <w:tc>
          <w:tcPr>
            <w:tcW w:w="964" w:type="dxa"/>
            <w:vAlign w:val="center"/>
          </w:tcPr>
          <w:p w:rsidR="00613CC4" w:rsidRDefault="00950A85">
            <w:pPr>
              <w:jc w:val="center"/>
              <w:rPr>
                <w:noProof/>
                <w:sz w:val="20"/>
              </w:rPr>
            </w:pPr>
            <w:r>
              <w:rPr>
                <w:noProof/>
                <w:sz w:val="20"/>
              </w:rPr>
              <w:t>År</w:t>
            </w:r>
            <w:r>
              <w:rPr>
                <w:noProof/>
                <w:sz w:val="22"/>
              </w:rPr>
              <w:br/>
            </w:r>
            <w:r>
              <w:rPr>
                <w:b/>
                <w:noProof/>
                <w:sz w:val="20"/>
              </w:rPr>
              <w:t>N+2</w:t>
            </w:r>
          </w:p>
        </w:tc>
        <w:tc>
          <w:tcPr>
            <w:tcW w:w="964" w:type="dxa"/>
            <w:vAlign w:val="center"/>
          </w:tcPr>
          <w:p w:rsidR="00613CC4" w:rsidRDefault="00950A85">
            <w:pPr>
              <w:jc w:val="center"/>
              <w:rPr>
                <w:noProof/>
                <w:sz w:val="20"/>
              </w:rPr>
            </w:pPr>
            <w:r>
              <w:rPr>
                <w:noProof/>
                <w:sz w:val="20"/>
              </w:rPr>
              <w:t>År</w:t>
            </w:r>
            <w:r>
              <w:rPr>
                <w:noProof/>
                <w:sz w:val="22"/>
              </w:rPr>
              <w:br/>
            </w:r>
            <w:r>
              <w:rPr>
                <w:b/>
                <w:noProof/>
                <w:sz w:val="20"/>
              </w:rPr>
              <w:t>N+3</w:t>
            </w:r>
          </w:p>
        </w:tc>
        <w:tc>
          <w:tcPr>
            <w:tcW w:w="2892" w:type="dxa"/>
            <w:gridSpan w:val="3"/>
            <w:vAlign w:val="center"/>
          </w:tcPr>
          <w:p w:rsidR="00613CC4" w:rsidRDefault="00950A85">
            <w:pPr>
              <w:jc w:val="center"/>
              <w:rPr>
                <w:b/>
                <w:noProof/>
                <w:sz w:val="20"/>
              </w:rPr>
            </w:pPr>
            <w:r>
              <w:rPr>
                <w:noProof/>
                <w:sz w:val="20"/>
              </w:rPr>
              <w:t xml:space="preserve">Der indsættes </w:t>
            </w:r>
            <w:r>
              <w:rPr>
                <w:noProof/>
                <w:sz w:val="20"/>
              </w:rPr>
              <w:t>flere år, hvis virkningerne varer længere (jf. punkt 1.6)</w:t>
            </w:r>
          </w:p>
        </w:tc>
        <w:tc>
          <w:tcPr>
            <w:tcW w:w="1158" w:type="dxa"/>
            <w:vAlign w:val="center"/>
          </w:tcPr>
          <w:p w:rsidR="00613CC4" w:rsidRDefault="00950A85">
            <w:pPr>
              <w:spacing w:before="60" w:after="60"/>
              <w:jc w:val="center"/>
              <w:rPr>
                <w:noProof/>
                <w:sz w:val="20"/>
              </w:rPr>
            </w:pPr>
            <w:r>
              <w:rPr>
                <w:noProof/>
                <w:sz w:val="20"/>
              </w:rPr>
              <w:t>I alt</w:t>
            </w:r>
          </w:p>
        </w:tc>
      </w:tr>
      <w:tr w:rsidR="00613CC4">
        <w:trPr>
          <w:cantSplit/>
        </w:trPr>
        <w:tc>
          <w:tcPr>
            <w:tcW w:w="2340" w:type="dxa"/>
          </w:tcPr>
          <w:p w:rsidR="00613CC4" w:rsidRDefault="00950A85">
            <w:pPr>
              <w:rPr>
                <w:noProof/>
              </w:rPr>
            </w:pPr>
            <w:r>
              <w:rPr>
                <w:noProof/>
                <w:sz w:val="20"/>
              </w:rPr>
              <w:t>Angiv organ, som deltager i samfinansieringen</w:t>
            </w:r>
            <w:r>
              <w:rPr>
                <w:i/>
                <w:noProof/>
                <w:sz w:val="20"/>
              </w:rPr>
              <w:t xml:space="preserve"> </w:t>
            </w:r>
          </w:p>
        </w:tc>
        <w:tc>
          <w:tcPr>
            <w:tcW w:w="964" w:type="dxa"/>
            <w:vAlign w:val="center"/>
          </w:tcPr>
          <w:p w:rsidR="00613CC4" w:rsidRDefault="00613CC4">
            <w:pPr>
              <w:spacing w:before="60" w:after="60"/>
              <w:jc w:val="center"/>
              <w:rPr>
                <w:noProof/>
                <w:sz w:val="20"/>
              </w:rPr>
            </w:pPr>
          </w:p>
        </w:tc>
        <w:tc>
          <w:tcPr>
            <w:tcW w:w="964" w:type="dxa"/>
            <w:vAlign w:val="center"/>
          </w:tcPr>
          <w:p w:rsidR="00613CC4" w:rsidRDefault="00613CC4">
            <w:pPr>
              <w:spacing w:before="60" w:after="60"/>
              <w:jc w:val="center"/>
              <w:rPr>
                <w:noProof/>
                <w:sz w:val="20"/>
              </w:rPr>
            </w:pPr>
          </w:p>
        </w:tc>
        <w:tc>
          <w:tcPr>
            <w:tcW w:w="964" w:type="dxa"/>
            <w:vAlign w:val="center"/>
          </w:tcPr>
          <w:p w:rsidR="00613CC4" w:rsidRDefault="00613CC4">
            <w:pPr>
              <w:spacing w:before="60" w:after="60"/>
              <w:jc w:val="center"/>
              <w:rPr>
                <w:noProof/>
                <w:sz w:val="20"/>
              </w:rPr>
            </w:pPr>
          </w:p>
        </w:tc>
        <w:tc>
          <w:tcPr>
            <w:tcW w:w="964" w:type="dxa"/>
            <w:vAlign w:val="center"/>
          </w:tcPr>
          <w:p w:rsidR="00613CC4" w:rsidRDefault="00613CC4">
            <w:pPr>
              <w:spacing w:before="60" w:after="60"/>
              <w:jc w:val="center"/>
              <w:rPr>
                <w:noProof/>
                <w:sz w:val="20"/>
              </w:rPr>
            </w:pPr>
          </w:p>
        </w:tc>
        <w:tc>
          <w:tcPr>
            <w:tcW w:w="964" w:type="dxa"/>
            <w:vAlign w:val="center"/>
          </w:tcPr>
          <w:p w:rsidR="00613CC4" w:rsidRDefault="00613CC4">
            <w:pPr>
              <w:spacing w:before="60" w:after="60"/>
              <w:jc w:val="center"/>
              <w:rPr>
                <w:noProof/>
                <w:sz w:val="20"/>
              </w:rPr>
            </w:pPr>
          </w:p>
        </w:tc>
        <w:tc>
          <w:tcPr>
            <w:tcW w:w="964" w:type="dxa"/>
            <w:vAlign w:val="center"/>
          </w:tcPr>
          <w:p w:rsidR="00613CC4" w:rsidRDefault="00613CC4">
            <w:pPr>
              <w:spacing w:before="60" w:after="60"/>
              <w:jc w:val="center"/>
              <w:rPr>
                <w:noProof/>
                <w:sz w:val="20"/>
              </w:rPr>
            </w:pPr>
          </w:p>
        </w:tc>
        <w:tc>
          <w:tcPr>
            <w:tcW w:w="964" w:type="dxa"/>
            <w:vAlign w:val="center"/>
          </w:tcPr>
          <w:p w:rsidR="00613CC4" w:rsidRDefault="00613CC4">
            <w:pPr>
              <w:spacing w:before="60" w:after="60"/>
              <w:jc w:val="center"/>
              <w:rPr>
                <w:noProof/>
                <w:sz w:val="20"/>
              </w:rPr>
            </w:pPr>
          </w:p>
        </w:tc>
        <w:tc>
          <w:tcPr>
            <w:tcW w:w="1158" w:type="dxa"/>
            <w:vAlign w:val="center"/>
          </w:tcPr>
          <w:p w:rsidR="00613CC4" w:rsidRDefault="00613CC4">
            <w:pPr>
              <w:spacing w:before="60" w:after="60"/>
              <w:jc w:val="center"/>
              <w:rPr>
                <w:noProof/>
                <w:sz w:val="20"/>
              </w:rPr>
            </w:pPr>
          </w:p>
        </w:tc>
      </w:tr>
      <w:tr w:rsidR="00613CC4">
        <w:trPr>
          <w:cantSplit/>
        </w:trPr>
        <w:tc>
          <w:tcPr>
            <w:tcW w:w="2340" w:type="dxa"/>
          </w:tcPr>
          <w:p w:rsidR="00613CC4" w:rsidRDefault="00950A85">
            <w:pPr>
              <w:spacing w:before="60" w:after="60"/>
              <w:jc w:val="left"/>
              <w:rPr>
                <w:noProof/>
                <w:sz w:val="20"/>
              </w:rPr>
            </w:pPr>
            <w:r>
              <w:rPr>
                <w:noProof/>
                <w:sz w:val="20"/>
              </w:rPr>
              <w:t xml:space="preserve">Samfinansierede bevillinger I ALT </w:t>
            </w:r>
          </w:p>
        </w:tc>
        <w:tc>
          <w:tcPr>
            <w:tcW w:w="964" w:type="dxa"/>
            <w:vAlign w:val="center"/>
          </w:tcPr>
          <w:p w:rsidR="00613CC4" w:rsidRDefault="00613CC4">
            <w:pPr>
              <w:spacing w:before="60" w:after="60"/>
              <w:jc w:val="center"/>
              <w:rPr>
                <w:noProof/>
                <w:sz w:val="20"/>
              </w:rPr>
            </w:pPr>
          </w:p>
        </w:tc>
        <w:tc>
          <w:tcPr>
            <w:tcW w:w="964" w:type="dxa"/>
            <w:vAlign w:val="center"/>
          </w:tcPr>
          <w:p w:rsidR="00613CC4" w:rsidRDefault="00613CC4">
            <w:pPr>
              <w:spacing w:before="60" w:after="60"/>
              <w:jc w:val="center"/>
              <w:rPr>
                <w:noProof/>
                <w:sz w:val="20"/>
              </w:rPr>
            </w:pPr>
          </w:p>
        </w:tc>
        <w:tc>
          <w:tcPr>
            <w:tcW w:w="964" w:type="dxa"/>
            <w:vAlign w:val="center"/>
          </w:tcPr>
          <w:p w:rsidR="00613CC4" w:rsidRDefault="00613CC4">
            <w:pPr>
              <w:spacing w:before="60" w:after="60"/>
              <w:jc w:val="center"/>
              <w:rPr>
                <w:noProof/>
                <w:sz w:val="20"/>
              </w:rPr>
            </w:pPr>
          </w:p>
        </w:tc>
        <w:tc>
          <w:tcPr>
            <w:tcW w:w="964" w:type="dxa"/>
            <w:vAlign w:val="center"/>
          </w:tcPr>
          <w:p w:rsidR="00613CC4" w:rsidRDefault="00613CC4">
            <w:pPr>
              <w:spacing w:before="60" w:after="60"/>
              <w:jc w:val="center"/>
              <w:rPr>
                <w:noProof/>
                <w:sz w:val="20"/>
              </w:rPr>
            </w:pPr>
          </w:p>
        </w:tc>
        <w:tc>
          <w:tcPr>
            <w:tcW w:w="964" w:type="dxa"/>
            <w:vAlign w:val="center"/>
          </w:tcPr>
          <w:p w:rsidR="00613CC4" w:rsidRDefault="00613CC4">
            <w:pPr>
              <w:spacing w:before="60" w:after="60"/>
              <w:jc w:val="center"/>
              <w:rPr>
                <w:noProof/>
                <w:sz w:val="20"/>
              </w:rPr>
            </w:pPr>
          </w:p>
        </w:tc>
        <w:tc>
          <w:tcPr>
            <w:tcW w:w="964" w:type="dxa"/>
            <w:vAlign w:val="center"/>
          </w:tcPr>
          <w:p w:rsidR="00613CC4" w:rsidRDefault="00613CC4">
            <w:pPr>
              <w:spacing w:before="60" w:after="60"/>
              <w:jc w:val="center"/>
              <w:rPr>
                <w:noProof/>
                <w:sz w:val="20"/>
              </w:rPr>
            </w:pPr>
          </w:p>
        </w:tc>
        <w:tc>
          <w:tcPr>
            <w:tcW w:w="964" w:type="dxa"/>
            <w:vAlign w:val="center"/>
          </w:tcPr>
          <w:p w:rsidR="00613CC4" w:rsidRDefault="00613CC4">
            <w:pPr>
              <w:spacing w:before="60" w:after="60"/>
              <w:jc w:val="center"/>
              <w:rPr>
                <w:noProof/>
                <w:sz w:val="20"/>
              </w:rPr>
            </w:pPr>
          </w:p>
        </w:tc>
        <w:tc>
          <w:tcPr>
            <w:tcW w:w="1158" w:type="dxa"/>
            <w:vAlign w:val="center"/>
          </w:tcPr>
          <w:p w:rsidR="00613CC4" w:rsidRDefault="00613CC4">
            <w:pPr>
              <w:spacing w:before="60" w:after="60"/>
              <w:jc w:val="center"/>
              <w:rPr>
                <w:noProof/>
                <w:sz w:val="20"/>
              </w:rPr>
            </w:pPr>
          </w:p>
        </w:tc>
      </w:tr>
    </w:tbl>
    <w:p w:rsidR="00613CC4" w:rsidRDefault="00950A85">
      <w:pPr>
        <w:rPr>
          <w:noProof/>
        </w:rPr>
      </w:pPr>
      <w:r>
        <w:rPr>
          <w:noProof/>
        </w:rPr>
        <w:br/>
      </w:r>
    </w:p>
    <w:p w:rsidR="00613CC4" w:rsidRDefault="00950A85">
      <w:pPr>
        <w:pStyle w:val="ManualHeading2"/>
        <w:rPr>
          <w:bCs/>
          <w:noProof/>
          <w:szCs w:val="24"/>
        </w:rPr>
      </w:pPr>
      <w:r>
        <w:rPr>
          <w:noProof/>
        </w:rPr>
        <w:br w:type="page"/>
      </w:r>
      <w:r>
        <w:t>3.3.</w:t>
      </w:r>
      <w:r>
        <w:tab/>
      </w:r>
      <w:r>
        <w:rPr>
          <w:noProof/>
        </w:rPr>
        <w:t xml:space="preserve">Anslåede virkninger for indtægterne </w:t>
      </w:r>
    </w:p>
    <w:p w:rsidR="00613CC4" w:rsidRDefault="00950A85">
      <w:pPr>
        <w:pStyle w:val="ListDash1"/>
        <w:rPr>
          <w:noProof/>
        </w:rPr>
      </w:pPr>
      <w:r>
        <w:rPr>
          <w:noProof/>
        </w:rPr>
        <w:t>x</w:t>
      </w:r>
      <w:r>
        <w:rPr>
          <w:noProof/>
        </w:rPr>
        <w:tab/>
        <w:t xml:space="preserve">Forslaget/initiativet har ingen finansielle </w:t>
      </w:r>
      <w:r>
        <w:rPr>
          <w:noProof/>
        </w:rPr>
        <w:t>virkninger for indtægterne</w:t>
      </w:r>
    </w:p>
    <w:p w:rsidR="00613CC4" w:rsidRDefault="00950A85">
      <w:pPr>
        <w:pStyle w:val="ListDash1"/>
        <w:rPr>
          <w:noProof/>
        </w:rPr>
      </w:pPr>
      <w:r>
        <w:rPr>
          <w:noProof/>
        </w:rPr>
        <w:sym w:font="Wingdings" w:char="F0A8"/>
      </w:r>
      <w:r>
        <w:rPr>
          <w:noProof/>
        </w:rPr>
        <w:tab/>
        <w:t>Forslaget/initiativet har følgende finansielle virkninger:</w:t>
      </w:r>
    </w:p>
    <w:p w:rsidR="00613CC4" w:rsidRDefault="00950A85">
      <w:pPr>
        <w:pStyle w:val="ListNumberLevel3"/>
        <w:rPr>
          <w:noProof/>
        </w:rPr>
      </w:pPr>
      <w:r>
        <w:rPr>
          <w:noProof/>
        </w:rPr>
        <w:sym w:font="Wingdings" w:char="F0A8"/>
      </w:r>
      <w:r>
        <w:rPr>
          <w:noProof/>
        </w:rPr>
        <w:tab/>
        <w:t xml:space="preserve">for egne indtægter </w:t>
      </w:r>
    </w:p>
    <w:p w:rsidR="00613CC4" w:rsidRDefault="00950A85">
      <w:pPr>
        <w:pStyle w:val="ListNumberLevel3"/>
        <w:rPr>
          <w:noProof/>
        </w:rPr>
      </w:pPr>
      <w:r>
        <w:rPr>
          <w:noProof/>
        </w:rPr>
        <w:sym w:font="Wingdings" w:char="F0A8"/>
      </w:r>
      <w:r>
        <w:rPr>
          <w:noProof/>
        </w:rPr>
        <w:tab/>
        <w:t xml:space="preserve">for diverse indtægter </w:t>
      </w:r>
    </w:p>
    <w:p w:rsidR="00613CC4" w:rsidRDefault="00950A85">
      <w:pPr>
        <w:jc w:val="right"/>
        <w:rPr>
          <w:i/>
          <w:noProof/>
          <w:sz w:val="20"/>
        </w:rPr>
      </w:pPr>
      <w:r>
        <w:rPr>
          <w:noProof/>
        </w:rPr>
        <w:t>i mio. EUR (tre decimaler)</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613CC4">
        <w:trPr>
          <w:trHeight w:val="388"/>
        </w:trPr>
        <w:tc>
          <w:tcPr>
            <w:tcW w:w="2144" w:type="dxa"/>
            <w:vMerge w:val="restart"/>
            <w:vAlign w:val="center"/>
          </w:tcPr>
          <w:p w:rsidR="00613CC4" w:rsidRDefault="00950A85">
            <w:pPr>
              <w:spacing w:before="40" w:after="40"/>
              <w:rPr>
                <w:noProof/>
                <w:sz w:val="18"/>
              </w:rPr>
            </w:pPr>
            <w:r>
              <w:rPr>
                <w:noProof/>
                <w:sz w:val="18"/>
              </w:rPr>
              <w:t>Indtægtspost på budgettet:</w:t>
            </w:r>
          </w:p>
        </w:tc>
        <w:tc>
          <w:tcPr>
            <w:tcW w:w="1276" w:type="dxa"/>
            <w:vMerge w:val="restart"/>
            <w:vAlign w:val="center"/>
          </w:tcPr>
          <w:p w:rsidR="00613CC4" w:rsidRDefault="00950A85">
            <w:pPr>
              <w:jc w:val="center"/>
              <w:rPr>
                <w:noProof/>
                <w:sz w:val="18"/>
              </w:rPr>
            </w:pPr>
            <w:r>
              <w:rPr>
                <w:noProof/>
                <w:sz w:val="18"/>
              </w:rPr>
              <w:t>Bevillinger til rådighed i indeværende regnskabsår</w:t>
            </w:r>
          </w:p>
        </w:tc>
        <w:tc>
          <w:tcPr>
            <w:tcW w:w="7200" w:type="dxa"/>
            <w:gridSpan w:val="7"/>
            <w:vAlign w:val="center"/>
          </w:tcPr>
          <w:p w:rsidR="00613CC4" w:rsidRDefault="00950A85">
            <w:pPr>
              <w:jc w:val="center"/>
              <w:rPr>
                <w:noProof/>
                <w:sz w:val="18"/>
              </w:rPr>
            </w:pPr>
            <w:r>
              <w:rPr>
                <w:noProof/>
                <w:sz w:val="18"/>
              </w:rPr>
              <w:t>Forslagets/initiativets virkninger</w:t>
            </w:r>
            <w:r>
              <w:rPr>
                <w:rStyle w:val="FootnoteReference"/>
                <w:noProof/>
                <w:sz w:val="18"/>
              </w:rPr>
              <w:footnoteReference w:id="52"/>
            </w:r>
          </w:p>
        </w:tc>
      </w:tr>
      <w:tr w:rsidR="00613CC4">
        <w:trPr>
          <w:trHeight w:val="388"/>
        </w:trPr>
        <w:tc>
          <w:tcPr>
            <w:tcW w:w="2144" w:type="dxa"/>
            <w:vMerge/>
          </w:tcPr>
          <w:p w:rsidR="00613CC4" w:rsidRDefault="00613CC4">
            <w:pPr>
              <w:spacing w:before="40" w:after="40"/>
              <w:rPr>
                <w:noProof/>
                <w:sz w:val="18"/>
              </w:rPr>
            </w:pPr>
          </w:p>
        </w:tc>
        <w:tc>
          <w:tcPr>
            <w:tcW w:w="1276" w:type="dxa"/>
            <w:vMerge/>
          </w:tcPr>
          <w:p w:rsidR="00613CC4" w:rsidRDefault="00613CC4">
            <w:pPr>
              <w:spacing w:beforeLines="40" w:before="96" w:afterLines="40" w:after="96"/>
              <w:rPr>
                <w:i/>
                <w:noProof/>
                <w:sz w:val="18"/>
              </w:rPr>
            </w:pPr>
          </w:p>
        </w:tc>
        <w:tc>
          <w:tcPr>
            <w:tcW w:w="1080" w:type="dxa"/>
            <w:vAlign w:val="center"/>
          </w:tcPr>
          <w:p w:rsidR="00613CC4" w:rsidRDefault="00950A85">
            <w:pPr>
              <w:jc w:val="center"/>
              <w:rPr>
                <w:noProof/>
                <w:sz w:val="18"/>
              </w:rPr>
            </w:pPr>
            <w:r>
              <w:rPr>
                <w:noProof/>
                <w:sz w:val="18"/>
              </w:rPr>
              <w:t>År</w:t>
            </w:r>
            <w:r>
              <w:rPr>
                <w:noProof/>
                <w:sz w:val="22"/>
              </w:rPr>
              <w:br/>
            </w:r>
            <w:r>
              <w:rPr>
                <w:b/>
                <w:noProof/>
                <w:sz w:val="18"/>
              </w:rPr>
              <w:t>N</w:t>
            </w:r>
          </w:p>
        </w:tc>
        <w:tc>
          <w:tcPr>
            <w:tcW w:w="900" w:type="dxa"/>
            <w:vAlign w:val="center"/>
          </w:tcPr>
          <w:p w:rsidR="00613CC4" w:rsidRDefault="00950A85">
            <w:pPr>
              <w:jc w:val="center"/>
              <w:rPr>
                <w:noProof/>
                <w:sz w:val="18"/>
              </w:rPr>
            </w:pPr>
            <w:r>
              <w:rPr>
                <w:noProof/>
                <w:sz w:val="18"/>
              </w:rPr>
              <w:t>År</w:t>
            </w:r>
            <w:r>
              <w:rPr>
                <w:noProof/>
                <w:sz w:val="22"/>
              </w:rPr>
              <w:br/>
            </w:r>
            <w:r>
              <w:rPr>
                <w:b/>
                <w:noProof/>
                <w:sz w:val="18"/>
              </w:rPr>
              <w:t>N+1</w:t>
            </w:r>
          </w:p>
        </w:tc>
        <w:tc>
          <w:tcPr>
            <w:tcW w:w="900" w:type="dxa"/>
            <w:vAlign w:val="center"/>
          </w:tcPr>
          <w:p w:rsidR="00613CC4" w:rsidRDefault="00950A85">
            <w:pPr>
              <w:jc w:val="center"/>
              <w:rPr>
                <w:noProof/>
                <w:sz w:val="18"/>
              </w:rPr>
            </w:pPr>
            <w:r>
              <w:rPr>
                <w:noProof/>
                <w:sz w:val="18"/>
              </w:rPr>
              <w:t>År</w:t>
            </w:r>
            <w:r>
              <w:rPr>
                <w:noProof/>
                <w:sz w:val="22"/>
              </w:rPr>
              <w:br/>
            </w:r>
            <w:r>
              <w:rPr>
                <w:b/>
                <w:noProof/>
                <w:sz w:val="18"/>
              </w:rPr>
              <w:t>N+2</w:t>
            </w:r>
          </w:p>
        </w:tc>
        <w:tc>
          <w:tcPr>
            <w:tcW w:w="1080" w:type="dxa"/>
            <w:vAlign w:val="center"/>
          </w:tcPr>
          <w:p w:rsidR="00613CC4" w:rsidRDefault="00950A85">
            <w:pPr>
              <w:jc w:val="center"/>
              <w:rPr>
                <w:noProof/>
                <w:sz w:val="18"/>
              </w:rPr>
            </w:pPr>
            <w:r>
              <w:rPr>
                <w:noProof/>
                <w:sz w:val="18"/>
              </w:rPr>
              <w:t>År</w:t>
            </w:r>
            <w:r>
              <w:rPr>
                <w:noProof/>
                <w:sz w:val="22"/>
              </w:rPr>
              <w:br/>
            </w:r>
            <w:r>
              <w:rPr>
                <w:b/>
                <w:noProof/>
                <w:sz w:val="18"/>
              </w:rPr>
              <w:t>N+3</w:t>
            </w:r>
          </w:p>
        </w:tc>
        <w:tc>
          <w:tcPr>
            <w:tcW w:w="3240" w:type="dxa"/>
            <w:gridSpan w:val="3"/>
            <w:vAlign w:val="center"/>
          </w:tcPr>
          <w:p w:rsidR="00613CC4" w:rsidRDefault="00950A85">
            <w:pPr>
              <w:jc w:val="center"/>
              <w:rPr>
                <w:b/>
                <w:noProof/>
                <w:sz w:val="18"/>
              </w:rPr>
            </w:pPr>
            <w:r>
              <w:rPr>
                <w:noProof/>
                <w:sz w:val="18"/>
              </w:rPr>
              <w:t>Der indsættes flere år, hvis virkningerne varer længere (jf. punkt 1.6)</w:t>
            </w:r>
          </w:p>
        </w:tc>
      </w:tr>
      <w:tr w:rsidR="00613CC4">
        <w:trPr>
          <w:trHeight w:val="388"/>
        </w:trPr>
        <w:tc>
          <w:tcPr>
            <w:tcW w:w="2144" w:type="dxa"/>
            <w:vAlign w:val="center"/>
          </w:tcPr>
          <w:p w:rsidR="00613CC4" w:rsidRDefault="00950A85">
            <w:pPr>
              <w:spacing w:before="40" w:after="40"/>
              <w:rPr>
                <w:noProof/>
                <w:sz w:val="18"/>
              </w:rPr>
            </w:pPr>
            <w:r>
              <w:rPr>
                <w:noProof/>
                <w:sz w:val="18"/>
              </w:rPr>
              <w:t>Artikel ………….</w:t>
            </w:r>
          </w:p>
        </w:tc>
        <w:tc>
          <w:tcPr>
            <w:tcW w:w="1276" w:type="dxa"/>
          </w:tcPr>
          <w:p w:rsidR="00613CC4" w:rsidRDefault="00613CC4">
            <w:pPr>
              <w:spacing w:beforeLines="40" w:before="96" w:afterLines="40" w:after="96"/>
              <w:jc w:val="center"/>
              <w:rPr>
                <w:i/>
                <w:noProof/>
                <w:sz w:val="18"/>
              </w:rPr>
            </w:pPr>
          </w:p>
        </w:tc>
        <w:tc>
          <w:tcPr>
            <w:tcW w:w="1080" w:type="dxa"/>
          </w:tcPr>
          <w:p w:rsidR="00613CC4" w:rsidRDefault="00613CC4">
            <w:pPr>
              <w:spacing w:beforeLines="40" w:before="96" w:afterLines="40" w:after="96"/>
              <w:jc w:val="center"/>
              <w:rPr>
                <w:noProof/>
                <w:sz w:val="18"/>
              </w:rPr>
            </w:pPr>
          </w:p>
        </w:tc>
        <w:tc>
          <w:tcPr>
            <w:tcW w:w="900" w:type="dxa"/>
          </w:tcPr>
          <w:p w:rsidR="00613CC4" w:rsidRDefault="00613CC4">
            <w:pPr>
              <w:spacing w:beforeLines="40" w:before="96" w:afterLines="40" w:after="96"/>
              <w:jc w:val="center"/>
              <w:rPr>
                <w:noProof/>
                <w:sz w:val="18"/>
              </w:rPr>
            </w:pPr>
          </w:p>
        </w:tc>
        <w:tc>
          <w:tcPr>
            <w:tcW w:w="900" w:type="dxa"/>
          </w:tcPr>
          <w:p w:rsidR="00613CC4" w:rsidRDefault="00613CC4">
            <w:pPr>
              <w:spacing w:beforeLines="40" w:before="96" w:afterLines="40" w:after="96"/>
              <w:jc w:val="center"/>
              <w:rPr>
                <w:noProof/>
                <w:sz w:val="18"/>
              </w:rPr>
            </w:pPr>
          </w:p>
        </w:tc>
        <w:tc>
          <w:tcPr>
            <w:tcW w:w="1080" w:type="dxa"/>
          </w:tcPr>
          <w:p w:rsidR="00613CC4" w:rsidRDefault="00613CC4">
            <w:pPr>
              <w:spacing w:beforeLines="40" w:before="96" w:afterLines="40" w:after="96"/>
              <w:jc w:val="center"/>
              <w:rPr>
                <w:noProof/>
                <w:sz w:val="18"/>
              </w:rPr>
            </w:pPr>
          </w:p>
        </w:tc>
        <w:tc>
          <w:tcPr>
            <w:tcW w:w="1080" w:type="dxa"/>
          </w:tcPr>
          <w:p w:rsidR="00613CC4" w:rsidRDefault="00613CC4">
            <w:pPr>
              <w:spacing w:beforeLines="40" w:before="96" w:afterLines="40" w:after="96"/>
              <w:jc w:val="center"/>
              <w:rPr>
                <w:noProof/>
                <w:sz w:val="18"/>
              </w:rPr>
            </w:pPr>
          </w:p>
        </w:tc>
        <w:tc>
          <w:tcPr>
            <w:tcW w:w="1080" w:type="dxa"/>
          </w:tcPr>
          <w:p w:rsidR="00613CC4" w:rsidRDefault="00613CC4">
            <w:pPr>
              <w:spacing w:beforeLines="40" w:before="96" w:afterLines="40" w:after="96"/>
              <w:jc w:val="center"/>
              <w:rPr>
                <w:noProof/>
                <w:sz w:val="18"/>
              </w:rPr>
            </w:pPr>
          </w:p>
        </w:tc>
        <w:tc>
          <w:tcPr>
            <w:tcW w:w="1080" w:type="dxa"/>
          </w:tcPr>
          <w:p w:rsidR="00613CC4" w:rsidRDefault="00613CC4">
            <w:pPr>
              <w:spacing w:beforeLines="40" w:before="96" w:afterLines="40" w:after="96"/>
              <w:jc w:val="center"/>
              <w:rPr>
                <w:noProof/>
                <w:sz w:val="18"/>
              </w:rPr>
            </w:pPr>
          </w:p>
        </w:tc>
      </w:tr>
    </w:tbl>
    <w:p w:rsidR="00613CC4" w:rsidRDefault="00950A85">
      <w:pPr>
        <w:pStyle w:val="Text1"/>
        <w:rPr>
          <w:noProof/>
          <w:sz w:val="20"/>
        </w:rPr>
      </w:pPr>
      <w:r>
        <w:rPr>
          <w:noProof/>
          <w:sz w:val="20"/>
        </w:rPr>
        <w:t xml:space="preserve">For diverse indtægter, der er formålsbestemte, angives det, hvilke af budgettets udgiftsposter </w:t>
      </w:r>
      <w:r>
        <w:rPr>
          <w:noProof/>
          <w:sz w:val="20"/>
        </w:rPr>
        <w:t>der påvirkes.</w:t>
      </w:r>
    </w:p>
    <w:p w:rsidR="00613CC4" w:rsidRDefault="00613CC4">
      <w:pPr>
        <w:pStyle w:val="Text1"/>
        <w:pBdr>
          <w:top w:val="single" w:sz="4" w:space="1" w:color="auto"/>
          <w:left w:val="single" w:sz="4" w:space="4" w:color="auto"/>
          <w:bottom w:val="single" w:sz="4" w:space="1" w:color="auto"/>
          <w:right w:val="single" w:sz="4" w:space="4" w:color="auto"/>
        </w:pBdr>
        <w:rPr>
          <w:noProof/>
        </w:rPr>
      </w:pPr>
    </w:p>
    <w:p w:rsidR="00613CC4" w:rsidRDefault="00950A85">
      <w:pPr>
        <w:rPr>
          <w:noProof/>
        </w:rPr>
      </w:pPr>
      <w:r>
        <w:rPr>
          <w:noProof/>
          <w:sz w:val="20"/>
        </w:rPr>
        <w:t>Det oplyses, hvilken metode der er benyttet til at beregne virkningerne for indtægterne.</w:t>
      </w:r>
    </w:p>
    <w:p w:rsidR="00613CC4" w:rsidRDefault="00613CC4">
      <w:pPr>
        <w:rPr>
          <w:noProof/>
        </w:rPr>
      </w:pPr>
    </w:p>
    <w:sectPr w:rsidR="00613CC4">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CC4" w:rsidRDefault="00950A85">
      <w:pPr>
        <w:spacing w:before="0" w:after="0"/>
      </w:pPr>
      <w:r>
        <w:separator/>
      </w:r>
    </w:p>
  </w:endnote>
  <w:endnote w:type="continuationSeparator" w:id="0">
    <w:p w:rsidR="00613CC4" w:rsidRDefault="00950A8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CC4" w:rsidRDefault="00950A85">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proofErr w:type="spellStart"/>
    <w:r>
      <w:rPr>
        <w:rFonts w:ascii="Arial" w:hAnsi="Arial" w:cs="Arial"/>
        <w:b/>
        <w:sz w:val="48"/>
      </w:rPr>
      <w:t>DA</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CC4" w:rsidRDefault="00950A85">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36</w:t>
    </w:r>
    <w:r>
      <w:fldChar w:fldCharType="end"/>
    </w:r>
    <w: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CC4" w:rsidRDefault="00613C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CC4" w:rsidRDefault="00950A85">
    <w:pPr>
      <w:pStyle w:val="FooterLandscape"/>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38</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CC4" w:rsidRDefault="00613CC4">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CC4" w:rsidRDefault="00950A85">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45</w:t>
    </w:r>
    <w:r>
      <w:fldChar w:fldCharType="end"/>
    </w:r>
    <w:r>
      <w:tab/>
    </w:r>
    <w:r>
      <w:tab/>
    </w:r>
    <w:r>
      <w:rPr>
        <w:rFonts w:ascii="Arial" w:hAnsi="Arial" w:cs="Arial"/>
        <w:b/>
        <w:sz w:val="48"/>
      </w:rPr>
      <w:t>DA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CC4" w:rsidRDefault="00613C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CC4" w:rsidRDefault="00950A85">
      <w:pPr>
        <w:spacing w:before="0" w:after="0"/>
      </w:pPr>
      <w:r>
        <w:separator/>
      </w:r>
    </w:p>
  </w:footnote>
  <w:footnote w:type="continuationSeparator" w:id="0">
    <w:p w:rsidR="00613CC4" w:rsidRDefault="00950A85">
      <w:pPr>
        <w:spacing w:before="0" w:after="0"/>
      </w:pPr>
      <w:r>
        <w:continuationSeparator/>
      </w:r>
    </w:p>
  </w:footnote>
  <w:footnote w:id="1">
    <w:p w:rsidR="00613CC4" w:rsidRDefault="00950A85">
      <w:pPr>
        <w:pStyle w:val="FootnoteText"/>
        <w:rPr>
          <w:lang w:val="pt-PT"/>
        </w:rPr>
      </w:pPr>
      <w:r>
        <w:rPr>
          <w:rStyle w:val="FootnoteReference"/>
        </w:rPr>
        <w:footnoteRef/>
      </w:r>
      <w:r w:rsidRPr="00950A85">
        <w:rPr>
          <w:lang w:val="pt-PT"/>
        </w:rPr>
        <w:tab/>
        <w:t>COM(2016) 385 final.</w:t>
      </w:r>
    </w:p>
  </w:footnote>
  <w:footnote w:id="2">
    <w:p w:rsidR="00613CC4" w:rsidRDefault="00950A85">
      <w:pPr>
        <w:pStyle w:val="FootnoteText"/>
        <w:rPr>
          <w:lang w:val="pt-PT"/>
        </w:rPr>
      </w:pPr>
      <w:r>
        <w:rPr>
          <w:rStyle w:val="FootnoteReference"/>
        </w:rPr>
        <w:footnoteRef/>
      </w:r>
      <w:r w:rsidRPr="00950A85">
        <w:rPr>
          <w:lang w:val="pt-PT"/>
        </w:rPr>
        <w:tab/>
      </w:r>
      <w:r w:rsidRPr="00950A85">
        <w:rPr>
          <w:lang w:val="pt-PT"/>
        </w:rPr>
        <w:t>EUT L 64 af 2.3.2004, s. 1.</w:t>
      </w:r>
    </w:p>
  </w:footnote>
  <w:footnote w:id="3">
    <w:p w:rsidR="00613CC4" w:rsidRDefault="00950A85">
      <w:pPr>
        <w:pStyle w:val="FootnoteText"/>
      </w:pPr>
      <w:r>
        <w:rPr>
          <w:rStyle w:val="FootnoteReference"/>
        </w:rPr>
        <w:footnoteRef/>
      </w:r>
      <w:r>
        <w:tab/>
        <w:t>EUT L 141 af 27.5.2011, s. 13.</w:t>
      </w:r>
    </w:p>
  </w:footnote>
  <w:footnote w:id="4">
    <w:p w:rsidR="00613CC4" w:rsidRDefault="00950A85">
      <w:pPr>
        <w:pStyle w:val="FootnoteText"/>
      </w:pPr>
      <w:r>
        <w:rPr>
          <w:rStyle w:val="FootnoteReference"/>
        </w:rPr>
        <w:footnoteRef/>
      </w:r>
      <w:r>
        <w:tab/>
        <w:t xml:space="preserve">17 medlemsstater samt Schweiz og Norge udsendte </w:t>
      </w:r>
      <w:proofErr w:type="spellStart"/>
      <w:r>
        <w:t>ILO'er</w:t>
      </w:r>
      <w:proofErr w:type="spellEnd"/>
      <w:r>
        <w:t xml:space="preserve"> i ja</w:t>
      </w:r>
      <w:r>
        <w:t>nuar 2018.</w:t>
      </w:r>
    </w:p>
  </w:footnote>
  <w:footnote w:id="5">
    <w:p w:rsidR="00613CC4" w:rsidRDefault="00950A85">
      <w:pPr>
        <w:pStyle w:val="FootnoteText"/>
      </w:pPr>
      <w:r>
        <w:rPr>
          <w:rStyle w:val="FootnoteReference"/>
        </w:rPr>
        <w:footnoteRef/>
      </w:r>
      <w:r>
        <w:tab/>
        <w:t>Rådets beslutning af 16. marts 2005 om oprettelse af et sikkert, webbaseret informations- og koordineringsnet for medlemsstaternes indvandringsmyndigheder (2005/267/EF), ophævet ved forordning (EU) 2016/1624 om den europæiske grænse- og kystva</w:t>
      </w:r>
      <w:r>
        <w:t>gt.</w:t>
      </w:r>
    </w:p>
  </w:footnote>
  <w:footnote w:id="6">
    <w:p w:rsidR="00613CC4" w:rsidRDefault="00950A85">
      <w:pPr>
        <w:pStyle w:val="FootnoteText"/>
      </w:pPr>
      <w:r>
        <w:rPr>
          <w:rStyle w:val="FootnoteReference"/>
        </w:rPr>
        <w:footnoteRef/>
      </w:r>
      <w:r>
        <w:tab/>
      </w:r>
      <w:r>
        <w:rPr>
          <w:color w:val="000000"/>
        </w:rPr>
        <w:t>Rapportens format er fastsat i Kommissionens beslutning 2005/687/EF.</w:t>
      </w:r>
    </w:p>
  </w:footnote>
  <w:footnote w:id="7">
    <w:p w:rsidR="00613CC4" w:rsidRDefault="00950A85">
      <w:pPr>
        <w:pStyle w:val="FootnoteText"/>
      </w:pPr>
      <w:r>
        <w:rPr>
          <w:rStyle w:val="FootnoteReference"/>
        </w:rPr>
        <w:footnoteRef/>
      </w:r>
      <w:r>
        <w:tab/>
        <w:t>http://www.consilium.europa.eu/en/press/press-releases/2015/04/23/special-euco-statement/.</w:t>
      </w:r>
    </w:p>
  </w:footnote>
  <w:footnote w:id="8">
    <w:p w:rsidR="00613CC4" w:rsidRDefault="00950A85">
      <w:pPr>
        <w:pStyle w:val="FootnoteText"/>
      </w:pPr>
      <w:r>
        <w:rPr>
          <w:rStyle w:val="FootnoteReference"/>
        </w:rPr>
        <w:footnoteRef/>
      </w:r>
      <w:r>
        <w:tab/>
        <w:t>COM(2015) 240.</w:t>
      </w:r>
    </w:p>
  </w:footnote>
  <w:footnote w:id="9">
    <w:p w:rsidR="00613CC4" w:rsidRDefault="00950A85">
      <w:pPr>
        <w:pStyle w:val="FootnoteText"/>
      </w:pPr>
      <w:r>
        <w:rPr>
          <w:rStyle w:val="FootnoteReference"/>
        </w:rPr>
        <w:footnoteRef/>
      </w:r>
      <w:r>
        <w:tab/>
        <w:t>COM(2015) 285.</w:t>
      </w:r>
    </w:p>
  </w:footnote>
  <w:footnote w:id="10">
    <w:p w:rsidR="00613CC4" w:rsidRDefault="00950A85">
      <w:pPr>
        <w:pStyle w:val="FootnoteText"/>
      </w:pPr>
      <w:r>
        <w:rPr>
          <w:rStyle w:val="FootnoteReference"/>
        </w:rPr>
        <w:footnoteRef/>
      </w:r>
      <w:r>
        <w:tab/>
        <w:t xml:space="preserve">Etiopien, Jordan, Libanon, Mali, Marokko, Niger, </w:t>
      </w:r>
      <w:r>
        <w:t>Nigeria, Pakistan, Senegal, Serbien, Sudan, Tunesien og Tyrkiet.</w:t>
      </w:r>
    </w:p>
  </w:footnote>
  <w:footnote w:id="11">
    <w:p w:rsidR="00613CC4" w:rsidRDefault="00950A85">
      <w:pPr>
        <w:pStyle w:val="FootnoteText"/>
      </w:pPr>
      <w:r>
        <w:rPr>
          <w:rStyle w:val="FootnoteReference"/>
        </w:rPr>
        <w:footnoteRef/>
      </w:r>
      <w:r>
        <w:tab/>
        <w:t>COM(2017) 558.</w:t>
      </w:r>
    </w:p>
  </w:footnote>
  <w:footnote w:id="12">
    <w:p w:rsidR="00613CC4" w:rsidRDefault="00950A85">
      <w:pPr>
        <w:pStyle w:val="FootnoteText"/>
      </w:pPr>
      <w:r>
        <w:rPr>
          <w:rStyle w:val="FootnoteReference"/>
        </w:rPr>
        <w:footnoteRef/>
      </w:r>
      <w:r>
        <w:tab/>
        <w:t>COM(2017) 728 final.</w:t>
      </w:r>
    </w:p>
  </w:footnote>
  <w:footnote w:id="13">
    <w:p w:rsidR="00613CC4" w:rsidRDefault="00950A85">
      <w:pPr>
        <w:pStyle w:val="FootnoteText"/>
      </w:pPr>
      <w:r>
        <w:rPr>
          <w:rStyle w:val="FootnoteReference"/>
        </w:rPr>
        <w:footnoteRef/>
      </w:r>
      <w:r>
        <w:tab/>
        <w:t>COM(2016) 377.</w:t>
      </w:r>
    </w:p>
  </w:footnote>
  <w:footnote w:id="14">
    <w:p w:rsidR="00613CC4" w:rsidRDefault="00950A85">
      <w:pPr>
        <w:pStyle w:val="FootnoteText"/>
      </w:pPr>
      <w:r>
        <w:rPr>
          <w:rStyle w:val="FootnoteReference"/>
        </w:rPr>
        <w:footnoteRef/>
      </w:r>
      <w:r>
        <w:tab/>
        <w:t>I panelet deltog Frankrig, Tyskland, Spanien, Nederlandene og Det Forenede Kongerige. Belgien, som ikke kunne deltage i panelet, ble</w:t>
      </w:r>
      <w:r>
        <w:t xml:space="preserve">v konsulteret efterfølgende. </w:t>
      </w:r>
    </w:p>
  </w:footnote>
  <w:footnote w:id="15">
    <w:p w:rsidR="00613CC4" w:rsidRDefault="00950A85">
      <w:pPr>
        <w:pStyle w:val="FootnoteText"/>
        <w:rPr>
          <w:highlight w:val="lightGray"/>
        </w:rPr>
      </w:pPr>
      <w:r>
        <w:rPr>
          <w:rStyle w:val="FootnoteReference"/>
          <w:highlight w:val="lightGray"/>
        </w:rPr>
        <w:footnoteRef/>
      </w:r>
      <w:r>
        <w:rPr>
          <w:highlight w:val="lightGray"/>
        </w:rPr>
        <w:tab/>
        <w:t>Rådets forordning (EF) nr. 377/2004 af 19. februar 2004 om oprettelse af et netværk af indvandringsforbindelsesofficerer (EUT L 64 af 2.3.2004, s. 1).</w:t>
      </w:r>
    </w:p>
  </w:footnote>
  <w:footnote w:id="16">
    <w:p w:rsidR="00613CC4" w:rsidRDefault="00950A85">
      <w:pPr>
        <w:pStyle w:val="FootnoteText"/>
        <w:rPr>
          <w:highlight w:val="lightGray"/>
        </w:rPr>
      </w:pPr>
      <w:r>
        <w:rPr>
          <w:rStyle w:val="FootnoteReference"/>
          <w:highlight w:val="lightGray"/>
        </w:rPr>
        <w:footnoteRef/>
      </w:r>
      <w:r>
        <w:rPr>
          <w:highlight w:val="lightGray"/>
        </w:rPr>
        <w:tab/>
        <w:t>Se bilag I.</w:t>
      </w:r>
    </w:p>
  </w:footnote>
  <w:footnote w:id="17">
    <w:p w:rsidR="00613CC4" w:rsidRDefault="00950A85">
      <w:pPr>
        <w:pStyle w:val="FootnoteText"/>
      </w:pPr>
      <w:r>
        <w:rPr>
          <w:rStyle w:val="FootnoteReference"/>
        </w:rPr>
        <w:footnoteRef/>
      </w:r>
      <w:r>
        <w:tab/>
      </w:r>
      <w:r>
        <w:rPr>
          <w:rStyle w:val="CRMinorChangeDeleted"/>
        </w:rPr>
        <w:t>EUT L 67 af 22.11.2003, s. 27.</w:t>
      </w:r>
    </w:p>
  </w:footnote>
  <w:footnote w:id="18">
    <w:p w:rsidR="00613CC4" w:rsidRDefault="00950A85">
      <w:pPr>
        <w:pStyle w:val="FootnoteText"/>
        <w:rPr>
          <w:highlight w:val="lightGray"/>
        </w:rPr>
      </w:pPr>
      <w:r>
        <w:rPr>
          <w:rStyle w:val="FootnoteReference"/>
          <w:highlight w:val="lightGray"/>
        </w:rPr>
        <w:footnoteRef/>
      </w:r>
      <w:r>
        <w:rPr>
          <w:highlight w:val="lightGray"/>
        </w:rPr>
        <w:tab/>
        <w:t>Europa-Parlamentets og R</w:t>
      </w:r>
      <w:r>
        <w:rPr>
          <w:highlight w:val="lightGray"/>
        </w:rPr>
        <w:t>ådets forordning (EU) 2016/1624 af 14. september 2016 om den europæiske grænse- og kystvagt og om ændring af Europa-Parlamentets og Rådets forordning (EU) 2016/399 og om ophævelse af Europa-Parlamentets og Rådets forordning (EF) nr. 836/2007, Rådets forord</w:t>
      </w:r>
      <w:r>
        <w:rPr>
          <w:highlight w:val="lightGray"/>
        </w:rPr>
        <w:t>ning (EF) nr. 2007/2004 og Rådets beslutning 2005/267/EF (EUT L 251 af 16.9.2016, s. 1).</w:t>
      </w:r>
    </w:p>
  </w:footnote>
  <w:footnote w:id="19">
    <w:p w:rsidR="00613CC4" w:rsidRDefault="00950A85">
      <w:pPr>
        <w:pStyle w:val="FootnoteText"/>
        <w:rPr>
          <w:highlight w:val="lightGray"/>
        </w:rPr>
      </w:pPr>
      <w:r>
        <w:rPr>
          <w:rStyle w:val="FootnoteReference"/>
          <w:highlight w:val="lightGray"/>
        </w:rPr>
        <w:footnoteRef/>
      </w:r>
      <w:r>
        <w:rPr>
          <w:highlight w:val="lightGray"/>
        </w:rPr>
        <w:tab/>
        <w:t>Europa-Parlamentets og Rådets forordning (EU) nr. 1052/2016 af 22. oktober 2013 om oprettelse af det europæiske grænseovervågningssystem (Eurosur) (EUT L 295 af 6.11</w:t>
      </w:r>
      <w:r>
        <w:rPr>
          <w:highlight w:val="lightGray"/>
        </w:rPr>
        <w:t>.2013, s. 11).</w:t>
      </w:r>
    </w:p>
  </w:footnote>
  <w:footnote w:id="20">
    <w:p w:rsidR="00613CC4" w:rsidRDefault="00950A85">
      <w:pPr>
        <w:pStyle w:val="FootnoteText"/>
        <w:rPr>
          <w:highlight w:val="lightGray"/>
        </w:rPr>
      </w:pPr>
      <w:r>
        <w:rPr>
          <w:rStyle w:val="FootnoteReference"/>
          <w:highlight w:val="lightGray"/>
        </w:rPr>
        <w:footnoteRef/>
      </w:r>
      <w:r>
        <w:rPr>
          <w:highlight w:val="lightGray"/>
        </w:rPr>
        <w:tab/>
        <w:t xml:space="preserve">Europa-Parlamentets og Rådets forordning (EU) nr. 515/2014 af 16. april 2014 om oprettelse af et instrument for finansiel støtte til forvaltning af de ydre grænser og den fælles visumpolitik som en del af Fonden for Intern Sikkerhed og om </w:t>
      </w:r>
      <w:r>
        <w:rPr>
          <w:highlight w:val="lightGray"/>
        </w:rPr>
        <w:t>ophævelse af beslutning nr. 574/2007/EF (EUT L 150 af 20.5.2014, s. 143).</w:t>
      </w:r>
    </w:p>
  </w:footnote>
  <w:footnote w:id="21">
    <w:p w:rsidR="00613CC4" w:rsidRDefault="00950A85">
      <w:pPr>
        <w:pStyle w:val="FootnoteText"/>
        <w:rPr>
          <w:highlight w:val="lightGray"/>
        </w:rPr>
      </w:pPr>
      <w:r>
        <w:rPr>
          <w:rStyle w:val="FootnoteReference"/>
          <w:highlight w:val="lightGray"/>
        </w:rPr>
        <w:footnoteRef/>
      </w:r>
      <w:r>
        <w:rPr>
          <w:highlight w:val="lightGray"/>
        </w:rPr>
        <w:tab/>
        <w:t>Europa-Parlamentets og Rådets forordning (EU) nr. 2016/679 af 27. april 2016 om beskyttelse af fysiske personer i forbindelse med behandling af personoplysninger og om fri udveksli</w:t>
      </w:r>
      <w:r>
        <w:rPr>
          <w:highlight w:val="lightGray"/>
        </w:rPr>
        <w:t>ng af sådanne oplysninger og om ophævelse af direktiv 95/46/EF (generel forordning om databeskyttelse) (EUT L 119 af 4.5.2016, s. 1).</w:t>
      </w:r>
    </w:p>
  </w:footnote>
  <w:footnote w:id="22">
    <w:p w:rsidR="00613CC4" w:rsidRDefault="00950A85">
      <w:pPr>
        <w:pStyle w:val="FootnoteText"/>
        <w:rPr>
          <w:highlight w:val="lightGray"/>
        </w:rPr>
      </w:pPr>
      <w:r>
        <w:rPr>
          <w:rStyle w:val="FootnoteReference"/>
          <w:highlight w:val="lightGray"/>
        </w:rPr>
        <w:footnoteRef/>
      </w:r>
      <w:r>
        <w:rPr>
          <w:highlight w:val="lightGray"/>
        </w:rPr>
        <w:tab/>
        <w:t xml:space="preserve">Europa-Parlamentets og Rådets direktiv (EU) 2016/680 af 27. april 2016 om beskyttelse af fysiske personer i forbindelse </w:t>
      </w:r>
      <w:r>
        <w:rPr>
          <w:highlight w:val="lightGray"/>
        </w:rPr>
        <w:t xml:space="preserve">med kompetente myndigheders behandling af personoplysninger med henblik på at </w:t>
      </w:r>
      <w:proofErr w:type="gramStart"/>
      <w:r>
        <w:rPr>
          <w:highlight w:val="lightGray"/>
        </w:rPr>
        <w:t>forebygge</w:t>
      </w:r>
      <w:proofErr w:type="gramEnd"/>
      <w:r>
        <w:rPr>
          <w:highlight w:val="lightGray"/>
        </w:rPr>
        <w:t>, efterforske, afsløre eller retsforfølge strafbare handlinger eller fuldbyrde strafferetlige sanktioner og om fri udveksling af sådanne oplysninger og om ophævelse af R</w:t>
      </w:r>
      <w:r>
        <w:rPr>
          <w:highlight w:val="lightGray"/>
        </w:rPr>
        <w:t>ådets rammeafgørelse 2008/977/RIA (EUT L 119 af 4.5.2016, s. 89).</w:t>
      </w:r>
    </w:p>
  </w:footnote>
  <w:footnote w:id="23">
    <w:p w:rsidR="00613CC4" w:rsidRDefault="00950A85">
      <w:pPr>
        <w:pStyle w:val="FootnoteText"/>
        <w:rPr>
          <w:highlight w:val="lightGray"/>
        </w:rPr>
      </w:pPr>
      <w:r>
        <w:rPr>
          <w:rStyle w:val="FootnoteReference"/>
          <w:highlight w:val="lightGray"/>
        </w:rPr>
        <w:footnoteRef/>
      </w:r>
      <w:r>
        <w:rPr>
          <w:highlight w:val="lightGray"/>
        </w:rPr>
        <w:tab/>
        <w:t>Europa-Parlamentets og Rådets forordning (EF) nr. 45/2001 af 18. december 2000 om beskyttelse af fysiske personer i forbindelse med behandling af personoplysninger i fællesskabsinstitution</w:t>
      </w:r>
      <w:r>
        <w:rPr>
          <w:highlight w:val="lightGray"/>
        </w:rPr>
        <w:t>erne og -organerne og om fri udveksling af sådanne oplysninger (EFT L 8 af 12.1.2001, s. 1).</w:t>
      </w:r>
    </w:p>
  </w:footnote>
  <w:footnote w:id="24">
    <w:p w:rsidR="00613CC4" w:rsidRDefault="00950A85">
      <w:pPr>
        <w:pStyle w:val="FootnoteText"/>
        <w:rPr>
          <w:highlight w:val="lightGray"/>
        </w:rPr>
      </w:pPr>
      <w:r>
        <w:rPr>
          <w:rStyle w:val="FootnoteReference"/>
          <w:highlight w:val="lightGray"/>
        </w:rPr>
        <w:footnoteRef/>
      </w:r>
      <w:r>
        <w:rPr>
          <w:highlight w:val="lightGray"/>
        </w:rPr>
        <w:tab/>
        <w:t xml:space="preserve">Europa-Parlamentets og Rådets direktiv 2008/115/EF af 16. december 2008 om fælles standarder og procedurer i medlemsstaterne for </w:t>
      </w:r>
      <w:proofErr w:type="spellStart"/>
      <w:r>
        <w:rPr>
          <w:highlight w:val="lightGray"/>
        </w:rPr>
        <w:t>tilbagesendelse</w:t>
      </w:r>
      <w:proofErr w:type="spellEnd"/>
      <w:r>
        <w:rPr>
          <w:highlight w:val="lightGray"/>
        </w:rPr>
        <w:t xml:space="preserve"> af tredjelandsst</w:t>
      </w:r>
      <w:r>
        <w:rPr>
          <w:highlight w:val="lightGray"/>
        </w:rPr>
        <w:t>atsborgere med ulovligt ophold (EUT L 348 af 24.12.2008, s. 98).</w:t>
      </w:r>
    </w:p>
  </w:footnote>
  <w:footnote w:id="25">
    <w:p w:rsidR="00613CC4" w:rsidRDefault="00950A85">
      <w:pPr>
        <w:pStyle w:val="FootnoteText"/>
      </w:pPr>
      <w:r>
        <w:rPr>
          <w:rStyle w:val="FootnoteReference"/>
          <w:lang w:val="en-US"/>
        </w:rPr>
        <w:footnoteRef/>
      </w:r>
      <w:r>
        <w:tab/>
        <w:t>EFT L 176 af 10.7.1999, s. 36.</w:t>
      </w:r>
    </w:p>
  </w:footnote>
  <w:footnote w:id="26">
    <w:p w:rsidR="00613CC4" w:rsidRDefault="00950A85">
      <w:pPr>
        <w:pStyle w:val="FootnoteText"/>
      </w:pPr>
      <w:r>
        <w:rPr>
          <w:rStyle w:val="FootnoteReference"/>
          <w:lang w:val="en-US"/>
        </w:rPr>
        <w:footnoteRef/>
      </w:r>
      <w:r>
        <w:tab/>
      </w:r>
      <w:r>
        <w:rPr>
          <w:rStyle w:val="CRMinorChangeAdded"/>
        </w:rPr>
        <w:t>Rådets afgørelse 1999/437/EF af 17. maj 1999 om visse gennemførelsesbestemmelser til den aftale, som Rådet for Den Europæiske Union har indgået med Republik</w:t>
      </w:r>
      <w:r>
        <w:rPr>
          <w:rStyle w:val="CRMinorChangeAdded"/>
        </w:rPr>
        <w:t>ken Island og Kongeriget Norge om disse to staters associering i gennemførelsen, anvendelsen og den videre udvikling af Schengen-reglerne (</w:t>
      </w:r>
      <w:r>
        <w:t>EFT L 176 af 10.7.1999, s. 31</w:t>
      </w:r>
      <w:r>
        <w:rPr>
          <w:rStyle w:val="CRMinorChangeAdded"/>
        </w:rPr>
        <w:t>)</w:t>
      </w:r>
      <w:r>
        <w:t>.</w:t>
      </w:r>
    </w:p>
  </w:footnote>
  <w:footnote w:id="27">
    <w:p w:rsidR="00613CC4" w:rsidRDefault="00950A85">
      <w:pPr>
        <w:pStyle w:val="FootnoteText"/>
      </w:pPr>
      <w:r>
        <w:rPr>
          <w:rStyle w:val="FootnoteReference"/>
        </w:rPr>
        <w:footnoteRef/>
      </w:r>
      <w:r>
        <w:tab/>
        <w:t>EUT L 53 af 27.2.2008, s. 52.</w:t>
      </w:r>
    </w:p>
  </w:footnote>
  <w:footnote w:id="28">
    <w:p w:rsidR="00613CC4" w:rsidRDefault="00950A85">
      <w:pPr>
        <w:pStyle w:val="FootnoteText"/>
      </w:pPr>
      <w:r>
        <w:rPr>
          <w:rStyle w:val="FootnoteReference"/>
        </w:rPr>
        <w:footnoteRef/>
      </w:r>
      <w:r>
        <w:tab/>
        <w:t xml:space="preserve">Rådets afgørelse 2008/146/EF af 28. januar 2008 om </w:t>
      </w:r>
      <w:r>
        <w:t>indgåelse, på Det Europæiske Fællesskabs vegne, af aftalen mellem Den Europæiske Union, Det Europæiske Fællesskab og Det Schweiziske Forbund om Det Schweiziske Forbunds associering i gennemførelsen, anvendelsen og udviklingen af Schengen-reglerne (EUT L 53</w:t>
      </w:r>
      <w:r>
        <w:t xml:space="preserve"> af 27.2.2008, s. 1).</w:t>
      </w:r>
    </w:p>
  </w:footnote>
  <w:footnote w:id="29">
    <w:p w:rsidR="00613CC4" w:rsidRDefault="00950A85">
      <w:pPr>
        <w:pStyle w:val="FootnoteText"/>
      </w:pPr>
      <w:r>
        <w:rPr>
          <w:rStyle w:val="FootnoteReference"/>
        </w:rPr>
        <w:footnoteRef/>
      </w:r>
      <w:r>
        <w:tab/>
        <w:t>EUT L 160 af 18.6.2011, s. 21.</w:t>
      </w:r>
    </w:p>
  </w:footnote>
  <w:footnote w:id="30">
    <w:p w:rsidR="00613CC4" w:rsidRDefault="00950A85">
      <w:pPr>
        <w:pStyle w:val="FootnoteText"/>
      </w:pPr>
      <w:r>
        <w:rPr>
          <w:rStyle w:val="FootnoteReference"/>
        </w:rPr>
        <w:footnoteRef/>
      </w:r>
      <w:r>
        <w:tab/>
      </w:r>
      <w:r>
        <w:rPr>
          <w:rStyle w:val="CRMinorChangeAdded"/>
        </w:rPr>
        <w:t>Rådets afgørelse 2011/350/EU af 7. marts 2011 om indgåelse, på Den Europæiske Unions vegne, af protokollen mellem Den Europæiske Union, Det Europæiske Fællesskab, Det Schweiziske Forbund og Fyrstendø</w:t>
      </w:r>
      <w:r>
        <w:rPr>
          <w:rStyle w:val="CRMinorChangeAdded"/>
        </w:rPr>
        <w:t>mmet Liechtenstein om Fyrstendømmet Liechtensteins tiltrædelse af aftalen mellem Den Europæiske Union, Det Europæiske Fællesskab og Det Schweiziske Forbund om Det Schweiziske Forbunds associering i gennemførelsen, anvendelsen og udviklingen af Schengen-reg</w:t>
      </w:r>
      <w:r>
        <w:rPr>
          <w:rStyle w:val="CRMinorChangeAdded"/>
        </w:rPr>
        <w:t>lerne, navnlig for så vidt angår afskaffelsen af kontrollen ved de indre grænser og personbevægelser (EUT L 160 af 18.6.2011, s. 19).</w:t>
      </w:r>
    </w:p>
  </w:footnote>
  <w:footnote w:id="31">
    <w:p w:rsidR="00613CC4" w:rsidRDefault="00950A85">
      <w:pPr>
        <w:pStyle w:val="FootnoteText"/>
      </w:pPr>
      <w:r>
        <w:rPr>
          <w:rStyle w:val="FootnoteReference"/>
          <w:lang w:val="en-US"/>
        </w:rPr>
        <w:footnoteRef/>
      </w:r>
      <w:r>
        <w:tab/>
      </w:r>
      <w:r>
        <w:rPr>
          <w:rStyle w:val="CRMinorChangeAdded"/>
        </w:rPr>
        <w:t>Rådets afgørelse 2000/365/EF af 29. maj 2000 om anmodningen fra Det Forenede Kongerige Storbritannien og Nordirland om a</w:t>
      </w:r>
      <w:r>
        <w:rPr>
          <w:rStyle w:val="CRMinorChangeAdded"/>
        </w:rPr>
        <w:t xml:space="preserve">t </w:t>
      </w:r>
      <w:proofErr w:type="gramStart"/>
      <w:r>
        <w:rPr>
          <w:rStyle w:val="CRMinorChangeAdded"/>
        </w:rPr>
        <w:t>deltage</w:t>
      </w:r>
      <w:proofErr w:type="gramEnd"/>
      <w:r>
        <w:rPr>
          <w:rStyle w:val="CRMinorChangeAdded"/>
        </w:rPr>
        <w:t xml:space="preserve"> i visse bestemmelser i Schengen-reglerne (</w:t>
      </w:r>
      <w:r>
        <w:t>EFT L 131 af 1.6.2000, s. 43</w:t>
      </w:r>
      <w:r>
        <w:rPr>
          <w:rStyle w:val="CRMinorChangeAdded"/>
        </w:rPr>
        <w:t>)</w:t>
      </w:r>
      <w:r>
        <w:t>.</w:t>
      </w:r>
    </w:p>
  </w:footnote>
  <w:footnote w:id="32">
    <w:p w:rsidR="00613CC4" w:rsidRDefault="00950A85">
      <w:pPr>
        <w:pStyle w:val="FootnoteText"/>
      </w:pPr>
      <w:r>
        <w:rPr>
          <w:rStyle w:val="FootnoteReference"/>
          <w:lang w:val="en-US"/>
        </w:rPr>
        <w:footnoteRef/>
      </w:r>
      <w:r>
        <w:tab/>
      </w:r>
      <w:r>
        <w:rPr>
          <w:rStyle w:val="CRMinorChangeAdded"/>
        </w:rPr>
        <w:t xml:space="preserve">Rådets afgørelse 2002/192/EF af 28. februar 2002 om anmodningen fra Irland om at </w:t>
      </w:r>
      <w:proofErr w:type="gramStart"/>
      <w:r>
        <w:rPr>
          <w:rStyle w:val="CRMinorChangeAdded"/>
        </w:rPr>
        <w:t>deltage</w:t>
      </w:r>
      <w:proofErr w:type="gramEnd"/>
      <w:r>
        <w:rPr>
          <w:rStyle w:val="CRMinorChangeAdded"/>
        </w:rPr>
        <w:t xml:space="preserve"> i visse bestemmelser i Schengen-reglerne (</w:t>
      </w:r>
      <w:r>
        <w:t>EFT L 64 af 7.3.2002, s. 20</w:t>
      </w:r>
      <w:r>
        <w:rPr>
          <w:rStyle w:val="CRMinorChangeAdded"/>
        </w:rPr>
        <w:t>)</w:t>
      </w:r>
      <w:r>
        <w:t>.</w:t>
      </w:r>
    </w:p>
  </w:footnote>
  <w:footnote w:id="33">
    <w:p w:rsidR="00613CC4" w:rsidRDefault="00950A85">
      <w:pPr>
        <w:pStyle w:val="FootnoteText"/>
      </w:pPr>
      <w:r>
        <w:rPr>
          <w:rStyle w:val="FootnoteReference"/>
          <w:highlight w:val="lightGray"/>
          <w:lang w:val="en-US"/>
        </w:rPr>
        <w:footnoteRef/>
      </w:r>
      <w:r>
        <w:rPr>
          <w:highlight w:val="lightGray"/>
        </w:rPr>
        <w:tab/>
      </w:r>
      <w:r>
        <w:rPr>
          <w:rStyle w:val="CRRefonteDeleted"/>
          <w:highlight w:val="lightGray"/>
        </w:rPr>
        <w:t>EUT L 83</w:t>
      </w:r>
      <w:r>
        <w:rPr>
          <w:rStyle w:val="CRRefonteDeleted"/>
          <w:highlight w:val="lightGray"/>
        </w:rPr>
        <w:t xml:space="preserve"> af 1.4.2005, s. 48.</w:t>
      </w:r>
    </w:p>
  </w:footnote>
  <w:footnote w:id="34">
    <w:p w:rsidR="00613CC4" w:rsidRDefault="00950A85">
      <w:pPr>
        <w:pStyle w:val="FootnoteText"/>
      </w:pPr>
      <w:r>
        <w:rPr>
          <w:rStyle w:val="FootnoteReference"/>
          <w:highlight w:val="lightGray"/>
          <w:lang w:val="en-US"/>
        </w:rPr>
        <w:footnoteRef/>
      </w:r>
      <w:r>
        <w:rPr>
          <w:highlight w:val="lightGray"/>
        </w:rPr>
        <w:tab/>
      </w:r>
      <w:r>
        <w:rPr>
          <w:rStyle w:val="CRRefonteDeleted"/>
          <w:highlight w:val="lightGray"/>
        </w:rPr>
        <w:t>EUT L 349 af 25.11.2004, s. 1.</w:t>
      </w:r>
    </w:p>
  </w:footnote>
  <w:footnote w:id="35">
    <w:p w:rsidR="00613CC4" w:rsidRDefault="00950A85">
      <w:pPr>
        <w:pStyle w:val="FootnoteText"/>
      </w:pPr>
      <w:r>
        <w:rPr>
          <w:rStyle w:val="FootnoteReference"/>
          <w:highlight w:val="lightGray"/>
          <w:lang w:val="en-US"/>
        </w:rPr>
        <w:footnoteRef/>
      </w:r>
      <w:r>
        <w:rPr>
          <w:highlight w:val="lightGray"/>
        </w:rPr>
        <w:tab/>
      </w:r>
      <w:r>
        <w:rPr>
          <w:rStyle w:val="CRRefonteDeleted"/>
          <w:highlight w:val="lightGray"/>
        </w:rPr>
        <w:t>EUT L 264 af 8.10.2005, s. 8.</w:t>
      </w:r>
    </w:p>
  </w:footnote>
  <w:footnote w:id="36">
    <w:p w:rsidR="00613CC4" w:rsidRDefault="00950A85">
      <w:pPr>
        <w:pStyle w:val="FootnoteText"/>
        <w:rPr>
          <w:szCs w:val="24"/>
        </w:rPr>
      </w:pPr>
      <w:r>
        <w:rPr>
          <w:rStyle w:val="FootnoteReference"/>
        </w:rPr>
        <w:footnoteRef/>
      </w:r>
      <w:r>
        <w:tab/>
        <w:t xml:space="preserve">ABM: Activity </w:t>
      </w:r>
      <w:proofErr w:type="spellStart"/>
      <w:r>
        <w:t>Based</w:t>
      </w:r>
      <w:proofErr w:type="spellEnd"/>
      <w:r>
        <w:t xml:space="preserve"> Management (aktivitetsbaseret ledelse), ABB: aktivitetsbaseret budgetlægning.</w:t>
      </w:r>
    </w:p>
  </w:footnote>
  <w:footnote w:id="37">
    <w:p w:rsidR="00613CC4" w:rsidRDefault="00950A85">
      <w:pPr>
        <w:pStyle w:val="FootnoteText"/>
        <w:rPr>
          <w:szCs w:val="24"/>
        </w:rPr>
      </w:pPr>
      <w:r>
        <w:rPr>
          <w:rStyle w:val="FootnoteReference"/>
        </w:rPr>
        <w:footnoteRef/>
      </w:r>
      <w:r>
        <w:tab/>
        <w:t>Jf. finansforordningens artikel 54, stk. 2, litra a) hhv. b).</w:t>
      </w:r>
    </w:p>
  </w:footnote>
  <w:footnote w:id="38">
    <w:p w:rsidR="00613CC4" w:rsidRDefault="00950A85">
      <w:pPr>
        <w:pStyle w:val="FootnoteText"/>
        <w:rPr>
          <w:szCs w:val="24"/>
        </w:rPr>
      </w:pPr>
      <w:r>
        <w:rPr>
          <w:rStyle w:val="FootnoteReference"/>
        </w:rPr>
        <w:footnoteRef/>
      </w:r>
      <w:r>
        <w:tab/>
      </w:r>
      <w:r>
        <w:t xml:space="preserve">Forklaringer vedrørende forvaltningsmetoder og henvisninger til finansforordningen findes på </w:t>
      </w:r>
      <w:proofErr w:type="spellStart"/>
      <w:r>
        <w:t>BudgWeb</w:t>
      </w:r>
      <w:proofErr w:type="spellEnd"/>
      <w:r>
        <w:t xml:space="preserve">-hjemmesiden: </w:t>
      </w:r>
      <w:hyperlink r:id="rId1">
        <w:r>
          <w:rPr>
            <w:rStyle w:val="Hyperlink"/>
            <w:sz w:val="18"/>
          </w:rPr>
          <w:t>http://www.cc.cec/budg/man/budgmanag/budgmanag_en.html</w:t>
        </w:r>
      </w:hyperlink>
    </w:p>
  </w:footnote>
  <w:footnote w:id="39">
    <w:p w:rsidR="00613CC4" w:rsidRDefault="00950A85">
      <w:pPr>
        <w:pStyle w:val="FootnoteText"/>
        <w:rPr>
          <w:szCs w:val="24"/>
        </w:rPr>
      </w:pPr>
      <w:r>
        <w:rPr>
          <w:rStyle w:val="FootnoteReference"/>
        </w:rPr>
        <w:footnoteRef/>
      </w:r>
      <w:r>
        <w:tab/>
        <w:t>OB = opdelt</w:t>
      </w:r>
      <w:r>
        <w:t>e bevillinger/IOB = ikke-opdelte bevillinger.</w:t>
      </w:r>
    </w:p>
  </w:footnote>
  <w:footnote w:id="40">
    <w:p w:rsidR="00613CC4" w:rsidRDefault="00950A85">
      <w:pPr>
        <w:pStyle w:val="FootnoteText"/>
        <w:rPr>
          <w:szCs w:val="24"/>
        </w:rPr>
      </w:pPr>
      <w:r>
        <w:rPr>
          <w:rStyle w:val="FootnoteReference"/>
        </w:rPr>
        <w:footnoteRef/>
      </w:r>
      <w:r>
        <w:tab/>
        <w:t xml:space="preserve">EFTA: Den Europæiske Frihandelssammenslutning. </w:t>
      </w:r>
    </w:p>
  </w:footnote>
  <w:footnote w:id="41">
    <w:p w:rsidR="00613CC4" w:rsidRDefault="00950A85">
      <w:pPr>
        <w:pStyle w:val="FootnoteText"/>
        <w:rPr>
          <w:szCs w:val="24"/>
        </w:rPr>
      </w:pPr>
      <w:r>
        <w:rPr>
          <w:rStyle w:val="FootnoteReference"/>
        </w:rPr>
        <w:footnoteRef/>
      </w:r>
      <w:r>
        <w:tab/>
        <w:t>Kandidatlande og, efter omstændighederne, potentielle kandidatlande på Vestbalkan.</w:t>
      </w:r>
    </w:p>
  </w:footnote>
  <w:footnote w:id="42">
    <w:p w:rsidR="00613CC4" w:rsidRDefault="00950A85">
      <w:pPr>
        <w:pStyle w:val="FootnoteText"/>
        <w:rPr>
          <w:szCs w:val="24"/>
        </w:rPr>
      </w:pPr>
      <w:r>
        <w:rPr>
          <w:rStyle w:val="FootnoteReference"/>
        </w:rPr>
        <w:footnoteRef/>
      </w:r>
      <w:r>
        <w:tab/>
        <w:t>År n er det år, hvor gennemførelsen af forslaget/initiativet påbegyndes.</w:t>
      </w:r>
    </w:p>
  </w:footnote>
  <w:footnote w:id="43">
    <w:p w:rsidR="00613CC4" w:rsidRDefault="00950A85">
      <w:pPr>
        <w:pStyle w:val="FootnoteText"/>
        <w:rPr>
          <w:szCs w:val="24"/>
        </w:rPr>
      </w:pPr>
      <w:r>
        <w:rPr>
          <w:rStyle w:val="FootnoteReference"/>
        </w:rPr>
        <w:footnoteRef/>
      </w:r>
      <w:r>
        <w:tab/>
        <w:t>Teknisk og/eller administrativ bistand og udgifter til støtte for gennemførelsen af EU's programmer og/eller aktioner (tidligere BA-poster), indirekte forskning, direkte forskning.</w:t>
      </w:r>
    </w:p>
  </w:footnote>
  <w:footnote w:id="44">
    <w:p w:rsidR="00613CC4" w:rsidRDefault="00950A85">
      <w:pPr>
        <w:pStyle w:val="FootnoteText"/>
        <w:rPr>
          <w:szCs w:val="24"/>
        </w:rPr>
      </w:pPr>
      <w:r>
        <w:rPr>
          <w:rStyle w:val="FootnoteReference"/>
        </w:rPr>
        <w:footnoteRef/>
      </w:r>
      <w:r>
        <w:tab/>
        <w:t>År n er det år, hvor gennemførelsen af forslaget/initiativet påbegyndes</w:t>
      </w:r>
      <w:r>
        <w:t>.</w:t>
      </w:r>
    </w:p>
  </w:footnote>
  <w:footnote w:id="45">
    <w:p w:rsidR="00613CC4" w:rsidRDefault="00950A85">
      <w:pPr>
        <w:pStyle w:val="FootnoteText"/>
        <w:rPr>
          <w:szCs w:val="24"/>
        </w:rPr>
      </w:pPr>
      <w:r>
        <w:rPr>
          <w:rStyle w:val="FootnoteReference"/>
        </w:rPr>
        <w:footnoteRef/>
      </w:r>
      <w:r>
        <w:tab/>
        <w:t>År n er det år, hvor gennemførelsen af forslaget/initiativet påbegyndes.</w:t>
      </w:r>
    </w:p>
  </w:footnote>
  <w:footnote w:id="46">
    <w:p w:rsidR="00613CC4" w:rsidRDefault="00950A85">
      <w:pPr>
        <w:pStyle w:val="FootnoteText"/>
        <w:rPr>
          <w:szCs w:val="24"/>
        </w:rPr>
      </w:pPr>
      <w:r>
        <w:rPr>
          <w:rStyle w:val="FootnoteReference"/>
        </w:rPr>
        <w:footnoteRef/>
      </w:r>
      <w:r>
        <w:tab/>
        <w:t>Resultater er de produkter og tjenesteydelser, der skal leveres (f.eks. antal finansierede studenterudvekslinger, antal km bygget vej osv.).</w:t>
      </w:r>
    </w:p>
  </w:footnote>
  <w:footnote w:id="47">
    <w:p w:rsidR="00613CC4" w:rsidRDefault="00950A85">
      <w:pPr>
        <w:pStyle w:val="FootnoteText"/>
        <w:rPr>
          <w:szCs w:val="24"/>
        </w:rPr>
      </w:pPr>
      <w:r>
        <w:rPr>
          <w:rStyle w:val="FootnoteReference"/>
        </w:rPr>
        <w:footnoteRef/>
      </w:r>
      <w:r>
        <w:tab/>
        <w:t>Som beskrevet i punkt 1.4.2. "Spec</w:t>
      </w:r>
      <w:r>
        <w:t xml:space="preserve">ifikke mål ...". </w:t>
      </w:r>
    </w:p>
  </w:footnote>
  <w:footnote w:id="48">
    <w:p w:rsidR="00613CC4" w:rsidRDefault="00950A85">
      <w:pPr>
        <w:pStyle w:val="FootnoteText"/>
        <w:rPr>
          <w:szCs w:val="24"/>
        </w:rPr>
      </w:pPr>
      <w:r>
        <w:rPr>
          <w:rStyle w:val="FootnoteReference"/>
        </w:rPr>
        <w:footnoteRef/>
      </w:r>
      <w:r>
        <w:tab/>
        <w:t>År n er det år, hvor gennemførelsen af forslaget/initiativet påbegyndes.</w:t>
      </w:r>
    </w:p>
  </w:footnote>
  <w:footnote w:id="49">
    <w:p w:rsidR="00613CC4" w:rsidRDefault="00950A85">
      <w:pPr>
        <w:pStyle w:val="FootnoteText"/>
        <w:rPr>
          <w:szCs w:val="24"/>
        </w:rPr>
      </w:pPr>
      <w:r>
        <w:rPr>
          <w:rStyle w:val="FootnoteReference"/>
        </w:rPr>
        <w:footnoteRef/>
      </w:r>
      <w:r>
        <w:tab/>
        <w:t xml:space="preserve">Teknisk og/eller administrativ støtte og udgifter til støtte for gennemførelsen af EU's programmer og/eller aktioner (tidligere BA-poster), indirekte forskning, </w:t>
      </w:r>
      <w:r>
        <w:t>direkte forskning.</w:t>
      </w:r>
    </w:p>
  </w:footnote>
  <w:footnote w:id="50">
    <w:p w:rsidR="00613CC4" w:rsidRDefault="00950A85">
      <w:pPr>
        <w:pStyle w:val="FootnoteText"/>
        <w:rPr>
          <w:szCs w:val="24"/>
        </w:rPr>
      </w:pPr>
      <w:r>
        <w:rPr>
          <w:rStyle w:val="FootnoteReference"/>
        </w:rPr>
        <w:footnoteRef/>
      </w:r>
      <w:r>
        <w:tab/>
        <w:t xml:space="preserve">KA: kontraktansatte, LA: lokalt ansatte, UNE: udstationerede nationale eksperter, V: vikarer, JMD: junioreksperter ved delegationerne. </w:t>
      </w:r>
    </w:p>
  </w:footnote>
  <w:footnote w:id="51">
    <w:p w:rsidR="00613CC4" w:rsidRDefault="00950A85">
      <w:pPr>
        <w:pStyle w:val="FootnoteText"/>
        <w:rPr>
          <w:szCs w:val="24"/>
        </w:rPr>
      </w:pPr>
      <w:r>
        <w:rPr>
          <w:rStyle w:val="FootnoteReference"/>
        </w:rPr>
        <w:footnoteRef/>
      </w:r>
      <w:r>
        <w:tab/>
        <w:t>Delloft for eksternt personale under aktionsbevillingerne (tidligere BA-poster).</w:t>
      </w:r>
    </w:p>
  </w:footnote>
  <w:footnote w:id="52">
    <w:p w:rsidR="00613CC4" w:rsidRDefault="00950A85">
      <w:pPr>
        <w:pStyle w:val="FootnoteText"/>
        <w:rPr>
          <w:szCs w:val="24"/>
        </w:rPr>
      </w:pPr>
      <w:r>
        <w:rPr>
          <w:rStyle w:val="FootnoteReference"/>
        </w:rPr>
        <w:footnoteRef/>
      </w:r>
      <w:r>
        <w:tab/>
        <w:t>Med hensyn til</w:t>
      </w:r>
      <w:r>
        <w:t xml:space="preserve"> EU's traditionelle egne indtægter (told og sukkerafgifter) opgives beløbene netto, dvs. bruttobeløb, hvorfra der er trukket opkrævningsomkostninger på 25 %.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CC4" w:rsidRDefault="00613CC4">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CC4" w:rsidRDefault="00613CC4">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CC4" w:rsidRDefault="00613CC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CC4" w:rsidRDefault="00613C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8D6142A"/>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D7B026C0"/>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D3F6FA5A"/>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88B033A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AB462E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B48023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0608E15A"/>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23"/>
  </w:num>
  <w:num w:numId="9">
    <w:abstractNumId w:val="14"/>
    <w:lvlOverride w:ilvl="0">
      <w:startOverride w:val="1"/>
    </w:lvlOverride>
  </w:num>
  <w:num w:numId="10">
    <w:abstractNumId w:val="24"/>
    <w:lvlOverride w:ilvl="0">
      <w:startOverride w:val="1"/>
    </w:lvlOverride>
  </w:num>
  <w:num w:numId="11">
    <w:abstractNumId w:val="20"/>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6"/>
  </w:num>
  <w:num w:numId="15">
    <w:abstractNumId w:val="15"/>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2"/>
  </w:num>
  <w:num w:numId="27">
    <w:abstractNumId w:val="22"/>
  </w:num>
  <w:num w:numId="28">
    <w:abstractNumId w:val="11"/>
  </w:num>
  <w:num w:numId="29">
    <w:abstractNumId w:val="13"/>
  </w:num>
  <w:num w:numId="30">
    <w:abstractNumId w:val="9"/>
  </w:num>
  <w:num w:numId="31">
    <w:abstractNumId w:val="21"/>
  </w:num>
  <w:num w:numId="32">
    <w:abstractNumId w:val="8"/>
  </w:num>
  <w:num w:numId="33">
    <w:abstractNumId w:val="14"/>
  </w:num>
  <w:num w:numId="34">
    <w:abstractNumId w:val="18"/>
  </w:num>
  <w:num w:numId="35">
    <w:abstractNumId w:val="19"/>
  </w:num>
  <w:num w:numId="36">
    <w:abstractNumId w:val="10"/>
  </w:num>
  <w:num w:numId="37">
    <w:abstractNumId w:val="17"/>
  </w:num>
  <w:num w:numId="38">
    <w:abstractNumId w:val="24"/>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OTON Richard (HOME)">
    <w15:presenceInfo w15:providerId="None" w15:userId="HOOTON Richard (HO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hideSpellingErrors/>
  <w:hideGrammaticalErrors/>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0" w:val="493/2011 Art. 1.1(a)"/>
    <w:docVar w:name="CR_Ref1" w:val="493/2011 Art. 1.1(b)"/>
    <w:docVar w:name="CR_Ref2" w:val="493/2011 Art. 1.2(a)"/>
    <w:docVar w:name="CR_Ref3" w:val="493/2011 Art. 1.2(b)"/>
    <w:docVar w:name="CR_Ref4" w:val="493/2011 Art. 1.2(c)"/>
    <w:docVar w:name="CR_Ref5" w:val="493/2011 Art. 1.3"/>
    <w:docVar w:name="CR_Ref6" w:val="377/2004"/>
    <w:docVar w:name="CR_RefCount" w:val="7"/>
    <w:docVar w:name="CR_RefLast" w:val="4"/>
    <w:docVar w:name="DQCDateTime" w:val="2018-06-29 10:23:3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1"/>
    <w:docVar w:name="DQCResult_StructureCheck" w:val="0;0"/>
    <w:docVar w:name="DQCResult_SuperfluousWhitespace" w:val="0;34"/>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A21433F0-7A33-4FC0-AA63-BEB45EB09B79"/>
    <w:docVar w:name="LW_COVERPAGE_TYPE" w:val="1"/>
    <w:docVar w:name="LW_CROSSREFERENCE" w:val="{SWD(2018) 197 final}"/>
    <w:docVar w:name="LW_DocType" w:val="COM"/>
    <w:docVar w:name="LW_EMISSION" w:val="16.5.2018"/>
    <w:docVar w:name="LW_EMISSION_ISODATE" w:val="2018-05-16"/>
    <w:docVar w:name="LW_EMISSION_LOCATION" w:val="BRX"/>
    <w:docVar w:name="LW_EMISSION_PREFIX" w:val="Bruxelles, den "/>
    <w:docVar w:name="LW_EMISSION_SUFFIX" w:val=" "/>
    <w:docVar w:name="LW_FAITA" w:val="Done at Brussels,"/>
    <w:docVar w:name="LW_ID_DOCMODEL" w:val="SJ-023"/>
    <w:docVar w:name="LW_ID_DOCSIGNATURE" w:val="SJ-023"/>
    <w:docVar w:name="LW_ID_DOCSTRUCTURE" w:val="COM/PL/ORG"/>
    <w:docVar w:name="LW_ID_DOCTYPE" w:val="SJ-023"/>
    <w:docVar w:name="LW_ID_STATUT" w:val="SJ-023"/>
    <w:docVar w:name="LW_INST.SIGNE" w:val="For the European Parliament_x0009_For the Council"/>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PERS.SIGNE" w:val="The President_x0009_The President"/>
    <w:docVar w:name="LW_REF.II.NEW.CP" w:val="COD"/>
    <w:docVar w:name="LW_REF.II.NEW.CP_NUMBER" w:val="0153"/>
    <w:docVar w:name="LW_REF.II.NEW.CP_YEAR" w:val="2018"/>
    <w:docVar w:name="LW_REF.INST.NEW" w:val="COM"/>
    <w:docVar w:name="LW_REF.INST.NEW_ADOPTED" w:val="final"/>
    <w:docVar w:name="LW_REF.INST.NEW_TEXT" w:val="(2018) 30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orslag til"/>
    <w:docVar w:name="LW_SUPERTITRE" w:val="&lt;UNUSED&gt;"/>
    <w:docVar w:name="LW_TITRE.OBJ.CP" w:val="om oprettelse af et europæisk netværk af indvandringsforbindelsesofficerer (omarbejdning)"/>
    <w:docVar w:name="LW_TYPE.DOC.CP" w:val="EUROPA-PARLAMENTETS OG RÅDETS FORORDNING"/>
  </w:docVars>
  <w:rsids>
    <w:rsidRoot w:val="00613CC4"/>
    <w:rsid w:val="00613CC4"/>
    <w:rsid w:val="00950A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imes New Roman" w:hAnsi="Arial" w:cs="Arial"/>
      <w:sz w:val="22"/>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imes New Roman" w:hAnsi="Arial" w:cs="Arial"/>
      <w:i/>
      <w:iCs/>
      <w:sz w:val="22"/>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imes New Roman" w:hAnsi="Arial" w:cs="Arial"/>
      <w:sz w:val="20"/>
      <w:szCs w:val="20"/>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imes New Roman" w:hAnsi="Arial" w:cs="Arial"/>
      <w:i/>
      <w:iCs/>
      <w:sz w:val="20"/>
      <w:szCs w:val="20"/>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imes New Roman"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rPr>
      <w:rFonts w:ascii="Arial" w:eastAsia="Times New Roman" w:hAnsi="Arial" w:cs="Arial"/>
      <w:lang w:val="da-DK" w:eastAsia="en-GB"/>
    </w:rPr>
  </w:style>
  <w:style w:type="character" w:customStyle="1" w:styleId="Heading6Char">
    <w:name w:val="Heading 6 Char"/>
    <w:link w:val="Heading6"/>
    <w:uiPriority w:val="99"/>
    <w:rPr>
      <w:rFonts w:ascii="Arial" w:eastAsia="Times New Roman" w:hAnsi="Arial" w:cs="Arial"/>
      <w:i/>
      <w:iCs/>
      <w:lang w:val="da-DK" w:eastAsia="en-GB"/>
    </w:rPr>
  </w:style>
  <w:style w:type="character" w:customStyle="1" w:styleId="Heading7Char">
    <w:name w:val="Heading 7 Char"/>
    <w:link w:val="Heading7"/>
    <w:uiPriority w:val="99"/>
    <w:rPr>
      <w:rFonts w:ascii="Arial" w:eastAsia="Times New Roman" w:hAnsi="Arial" w:cs="Arial"/>
      <w:sz w:val="20"/>
      <w:szCs w:val="20"/>
      <w:lang w:val="da-DK" w:eastAsia="en-GB"/>
    </w:rPr>
  </w:style>
  <w:style w:type="character" w:customStyle="1" w:styleId="Heading8Char">
    <w:name w:val="Heading 8 Char"/>
    <w:link w:val="Heading8"/>
    <w:uiPriority w:val="99"/>
    <w:rPr>
      <w:rFonts w:ascii="Arial" w:eastAsia="Times New Roman" w:hAnsi="Arial" w:cs="Arial"/>
      <w:i/>
      <w:iCs/>
      <w:sz w:val="20"/>
      <w:szCs w:val="20"/>
      <w:lang w:val="da-DK" w:eastAsia="en-GB"/>
    </w:rPr>
  </w:style>
  <w:style w:type="character" w:customStyle="1" w:styleId="Heading9Char">
    <w:name w:val="Heading 9 Char"/>
    <w:link w:val="Heading9"/>
    <w:uiPriority w:val="99"/>
    <w:rPr>
      <w:rFonts w:ascii="Arial" w:eastAsia="Times New Roman" w:hAnsi="Arial" w:cs="Arial"/>
      <w:i/>
      <w:iCs/>
      <w:sz w:val="18"/>
      <w:szCs w:val="18"/>
      <w:lang w:val="da-DK" w:eastAsia="en-GB"/>
    </w:rPr>
  </w:style>
  <w:style w:type="paragraph" w:styleId="Caption">
    <w:name w:val="caption"/>
    <w:basedOn w:val="Normal"/>
    <w:next w:val="Normal"/>
    <w:uiPriority w:val="35"/>
    <w:qFormat/>
    <w:pPr>
      <w:autoSpaceDE w:val="0"/>
      <w:autoSpaceDN w:val="0"/>
    </w:pPr>
    <w:rPr>
      <w:rFonts w:eastAsia="Times New Roman"/>
      <w:b/>
      <w:bCs/>
      <w:szCs w:val="24"/>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pPr>
      <w:autoSpaceDE w:val="0"/>
      <w:autoSpaceDN w:val="0"/>
    </w:pPr>
    <w:rPr>
      <w:rFonts w:eastAsia="Times New Roman"/>
      <w:sz w:val="20"/>
      <w:szCs w:val="20"/>
    </w:rPr>
  </w:style>
  <w:style w:type="character" w:customStyle="1" w:styleId="CommentTextChar">
    <w:name w:val="Comment Text Char"/>
    <w:link w:val="CommentText"/>
    <w:uiPriority w:val="99"/>
    <w:rPr>
      <w:rFonts w:ascii="Times New Roman" w:eastAsia="Times New Roman" w:hAnsi="Times New Roman" w:cs="Times New Roman"/>
      <w:sz w:val="20"/>
      <w:szCs w:val="20"/>
      <w:lang w:val="da-DK" w:eastAsia="en-GB"/>
    </w:rPr>
  </w:style>
  <w:style w:type="paragraph" w:customStyle="1" w:styleId="Sous-titreobjet">
    <w:name w:val="Sous-titre objet"/>
    <w:basedOn w:val="Titreobjet"/>
    <w:uiPriority w:val="99"/>
    <w:pPr>
      <w:autoSpaceDE w:val="0"/>
      <w:autoSpaceDN w:val="0"/>
      <w:spacing w:before="0" w:after="0"/>
    </w:pPr>
    <w:rPr>
      <w:rFonts w:eastAsia="Times New Roman"/>
      <w:bCs/>
      <w:szCs w:val="24"/>
    </w:rPr>
  </w:style>
  <w:style w:type="paragraph" w:customStyle="1" w:styleId="FichedimpactPMEtitre">
    <w:name w:val="Fiche d'impact PME titre"/>
    <w:basedOn w:val="Normal"/>
    <w:next w:val="Normal"/>
    <w:uiPriority w:val="99"/>
    <w:pPr>
      <w:autoSpaceDE w:val="0"/>
      <w:autoSpaceDN w:val="0"/>
      <w:jc w:val="center"/>
    </w:pPr>
    <w:rPr>
      <w:rFonts w:eastAsia="Times New Roman"/>
      <w:b/>
      <w:bCs/>
      <w:szCs w:val="24"/>
    </w:rPr>
  </w:style>
  <w:style w:type="paragraph" w:customStyle="1" w:styleId="Fichefinanciretextetable">
    <w:name w:val="Fiche financière texte (table)"/>
    <w:basedOn w:val="Normal"/>
    <w:uiPriority w:val="99"/>
    <w:pPr>
      <w:autoSpaceDE w:val="0"/>
      <w:autoSpaceDN w:val="0"/>
      <w:spacing w:before="0" w:after="0"/>
      <w:jc w:val="left"/>
    </w:pPr>
    <w:rPr>
      <w:rFonts w:eastAsia="Times New Roman"/>
      <w:sz w:val="20"/>
      <w:szCs w:val="20"/>
    </w:rPr>
  </w:style>
  <w:style w:type="paragraph" w:customStyle="1" w:styleId="Fichefinanciretitreactetable">
    <w:name w:val="Fiche financière titre (acte table)"/>
    <w:basedOn w:val="Normal"/>
    <w:next w:val="Normal"/>
    <w:uiPriority w:val="99"/>
    <w:pPr>
      <w:autoSpaceDE w:val="0"/>
      <w:autoSpaceDN w:val="0"/>
      <w:jc w:val="center"/>
    </w:pPr>
    <w:rPr>
      <w:rFonts w:eastAsia="Times New Roman"/>
      <w:b/>
      <w:bCs/>
      <w:sz w:val="40"/>
      <w:szCs w:val="40"/>
    </w:rPr>
  </w:style>
  <w:style w:type="paragraph" w:customStyle="1" w:styleId="Fichefinanciretitretable">
    <w:name w:val="Fiche financière titre (table)"/>
    <w:basedOn w:val="Normal"/>
    <w:uiPriority w:val="99"/>
    <w:pPr>
      <w:autoSpaceDE w:val="0"/>
      <w:autoSpaceDN w:val="0"/>
      <w:jc w:val="center"/>
    </w:pPr>
    <w:rPr>
      <w:rFonts w:eastAsia="Times New Roman"/>
      <w:b/>
      <w:bCs/>
      <w:sz w:val="40"/>
      <w:szCs w:val="40"/>
    </w:rPr>
  </w:style>
  <w:style w:type="character" w:styleId="PageNumber">
    <w:name w:val="page number"/>
    <w:uiPriority w:val="99"/>
    <w:rPr>
      <w:rFonts w:cs="Times New Roman"/>
    </w:rPr>
  </w:style>
  <w:style w:type="paragraph" w:styleId="TOAHeading">
    <w:name w:val="toa heading"/>
    <w:basedOn w:val="Normal"/>
    <w:next w:val="Normal"/>
    <w:uiPriority w:val="99"/>
    <w:pPr>
      <w:autoSpaceDE w:val="0"/>
      <w:autoSpaceDN w:val="0"/>
    </w:pPr>
    <w:rPr>
      <w:rFonts w:ascii="Arial" w:eastAsia="Times New Roman" w:hAnsi="Arial" w:cs="Arial"/>
      <w:b/>
      <w:bCs/>
      <w:szCs w:val="24"/>
    </w:rPr>
  </w:style>
  <w:style w:type="character" w:customStyle="1" w:styleId="CRMarker">
    <w:name w:val="CR Marker"/>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rPr>
  </w:style>
  <w:style w:type="character" w:customStyle="1" w:styleId="CRRefNum">
    <w:name w:val="CR RefNum"/>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imes New Roman"/>
      <w:szCs w:val="24"/>
    </w:rPr>
  </w:style>
  <w:style w:type="character" w:customStyle="1" w:styleId="CRTextDeleted">
    <w:name w:val="CR TextDeleted"/>
    <w:uiPriority w:val="99"/>
    <w:rPr>
      <w:rFonts w:cs="Times New Roman"/>
    </w:rPr>
  </w:style>
  <w:style w:type="paragraph" w:customStyle="1" w:styleId="Titredumodificateur">
    <w:name w:val="Titre du modificateur"/>
    <w:basedOn w:val="Normal"/>
    <w:next w:val="Normal"/>
    <w:uiPriority w:val="99"/>
    <w:pPr>
      <w:autoSpaceDE w:val="0"/>
      <w:autoSpaceDN w:val="0"/>
      <w:spacing w:before="240" w:after="60"/>
      <w:jc w:val="left"/>
    </w:pPr>
    <w:rPr>
      <w:rFonts w:eastAsia="Times New Roman"/>
      <w:b/>
      <w:bCs/>
      <w:szCs w:val="24"/>
    </w:rPr>
  </w:style>
  <w:style w:type="paragraph" w:customStyle="1" w:styleId="Referencedumodificateur">
    <w:name w:val="Reference du modificateur"/>
    <w:basedOn w:val="Normal"/>
    <w:next w:val="Normal"/>
    <w:uiPriority w:val="99"/>
    <w:pPr>
      <w:autoSpaceDE w:val="0"/>
      <w:autoSpaceDN w:val="0"/>
      <w:spacing w:before="0"/>
      <w:jc w:val="left"/>
    </w:pPr>
    <w:rPr>
      <w:rFonts w:eastAsia="Times New Roman"/>
      <w:szCs w:val="24"/>
    </w:rPr>
  </w:style>
  <w:style w:type="character" w:customStyle="1" w:styleId="CRDeleted">
    <w:name w:val="CR Deleted"/>
    <w:rPr>
      <w:rFonts w:cs="Times New Roman"/>
      <w:dstrike/>
      <w:lang w:val="da-DK" w:eastAsia="x-none"/>
    </w:rPr>
  </w:style>
  <w:style w:type="character" w:customStyle="1" w:styleId="CRMinorChangeDeleted">
    <w:name w:val="CR Minor Change Deleted"/>
    <w:rPr>
      <w:rFonts w:cs="Times New Roman"/>
      <w:dstrike/>
      <w:u w:val="double"/>
      <w:lang w:val="da-DK" w:eastAsia="x-none"/>
    </w:rPr>
  </w:style>
  <w:style w:type="character" w:customStyle="1" w:styleId="CRMinorChangeAdded">
    <w:name w:val="CR Minor Change Added"/>
    <w:rPr>
      <w:rFonts w:cs="Times New Roman"/>
      <w:u w:val="double"/>
      <w:lang w:val="da-DK" w:eastAsia="x-none"/>
    </w:rPr>
  </w:style>
  <w:style w:type="character" w:customStyle="1" w:styleId="italic">
    <w:name w:val="italic"/>
    <w:rPr>
      <w:i/>
    </w:rPr>
  </w:style>
  <w:style w:type="character" w:customStyle="1" w:styleId="super">
    <w:name w:val="super"/>
    <w:rPr>
      <w:sz w:val="17"/>
      <w:vertAlign w:val="superscript"/>
    </w:rPr>
  </w:style>
  <w:style w:type="character" w:styleId="Hyperlink">
    <w:name w:val="Hyperlink"/>
    <w:unhideWhenUsed/>
    <w:rPr>
      <w:rFonts w:cs="Times New Roman"/>
      <w:color w:val="0000FF"/>
      <w:u w:val="single"/>
    </w:rPr>
  </w:style>
  <w:style w:type="character" w:styleId="Strong">
    <w:name w:val="Strong"/>
    <w:uiPriority w:val="22"/>
    <w:qFormat/>
    <w:rPr>
      <w:rFonts w:cs="Times New Roman"/>
      <w:b/>
    </w:rPr>
  </w:style>
  <w:style w:type="character" w:customStyle="1" w:styleId="CRRefonteDeleted">
    <w:name w:val="CR Refonte Deleted"/>
    <w:rPr>
      <w:rFonts w:cs="Times New Roman"/>
      <w:dstrike/>
      <w:lang w:val="da-DK" w:eastAsia="x-none"/>
    </w:rPr>
  </w:style>
  <w:style w:type="paragraph" w:styleId="BalloonText">
    <w:name w:val="Balloon Text"/>
    <w:basedOn w:val="Normal"/>
    <w:link w:val="BalloonTextChar"/>
    <w:uiPriority w:val="99"/>
    <w:semiHidden/>
    <w:unhideWhenUsed/>
    <w:pPr>
      <w:autoSpaceDE w:val="0"/>
      <w:autoSpaceDN w:val="0"/>
      <w:spacing w:before="0" w:after="0"/>
    </w:pPr>
    <w:rPr>
      <w:rFonts w:ascii="Segoe UI" w:eastAsia="Times New Roman" w:hAnsi="Segoe UI" w:cs="Segoe UI"/>
      <w:sz w:val="18"/>
      <w:szCs w:val="18"/>
    </w:rPr>
  </w:style>
  <w:style w:type="character" w:customStyle="1" w:styleId="BalloonTextChar">
    <w:name w:val="Balloon Text Char"/>
    <w:link w:val="BalloonText"/>
    <w:uiPriority w:val="99"/>
    <w:semiHidden/>
    <w:rPr>
      <w:rFonts w:ascii="Segoe UI" w:eastAsia="Times New Roman" w:hAnsi="Segoe UI" w:cs="Segoe UI"/>
      <w:sz w:val="18"/>
      <w:szCs w:val="18"/>
      <w:lang w:val="da-DK" w:eastAsia="en-GB"/>
    </w:rPr>
  </w:style>
  <w:style w:type="paragraph" w:customStyle="1" w:styleId="aPoint0">
    <w:name w:val="(a) Point 0"/>
    <w:basedOn w:val="Point0"/>
    <w:pPr>
      <w:autoSpaceDE w:val="0"/>
      <w:autoSpaceDN w:val="0"/>
      <w:ind w:left="851" w:hanging="851"/>
    </w:pPr>
    <w:rPr>
      <w:rFonts w:eastAsia="Times New Roman"/>
      <w:szCs w:val="24"/>
    </w:rPr>
  </w:style>
  <w:style w:type="paragraph" w:styleId="ListNumber">
    <w:name w:val="List Number"/>
    <w:basedOn w:val="Normal"/>
    <w:pPr>
      <w:numPr>
        <w:numId w:val="8"/>
      </w:numPr>
    </w:pPr>
    <w:rPr>
      <w:rFonts w:eastAsia="Times New Roman"/>
      <w:lang w:eastAsia="de-DE"/>
    </w:rPr>
  </w:style>
  <w:style w:type="paragraph" w:customStyle="1" w:styleId="ListNumberLevel2">
    <w:name w:val="List Number (Level 2)"/>
    <w:basedOn w:val="Normal"/>
    <w:pPr>
      <w:numPr>
        <w:ilvl w:val="1"/>
        <w:numId w:val="8"/>
      </w:numPr>
      <w:tabs>
        <w:tab w:val="clear" w:pos="1417"/>
        <w:tab w:val="num" w:pos="360"/>
      </w:tabs>
      <w:ind w:left="0" w:firstLine="0"/>
    </w:pPr>
    <w:rPr>
      <w:rFonts w:eastAsia="Times New Roman"/>
      <w:lang w:eastAsia="de-DE"/>
    </w:rPr>
  </w:style>
  <w:style w:type="paragraph" w:customStyle="1" w:styleId="ListNumberLevel3">
    <w:name w:val="List Number (Level 3)"/>
    <w:basedOn w:val="Normal"/>
    <w:pPr>
      <w:numPr>
        <w:ilvl w:val="2"/>
        <w:numId w:val="8"/>
      </w:numPr>
    </w:pPr>
    <w:rPr>
      <w:rFonts w:eastAsia="Times New Roman"/>
      <w:lang w:eastAsia="de-DE"/>
    </w:rPr>
  </w:style>
  <w:style w:type="paragraph" w:customStyle="1" w:styleId="ListNumberLevel4">
    <w:name w:val="List Number (Level 4)"/>
    <w:basedOn w:val="Normal"/>
    <w:pPr>
      <w:numPr>
        <w:ilvl w:val="3"/>
        <w:numId w:val="8"/>
      </w:numPr>
    </w:pPr>
    <w:rPr>
      <w:rFonts w:eastAsia="Times New Roman"/>
      <w:lang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cs="Times New Roman"/>
      <w:b/>
      <w:bCs/>
      <w:sz w:val="20"/>
      <w:szCs w:val="20"/>
      <w:lang w:val="da-DK" w:eastAsia="en-GB"/>
    </w:rPr>
  </w:style>
  <w:style w:type="paragraph" w:styleId="ListNumber2">
    <w:name w:val="List Number 2"/>
    <w:basedOn w:val="Normal"/>
    <w:uiPriority w:val="99"/>
    <w:semiHidden/>
    <w:unhideWhenUsed/>
    <w:pPr>
      <w:numPr>
        <w:numId w:val="5"/>
      </w:numPr>
      <w:contextualSpacing/>
    </w:pPr>
  </w:style>
  <w:style w:type="paragraph" w:styleId="ListNumber3">
    <w:name w:val="List Number 3"/>
    <w:basedOn w:val="Normal"/>
    <w:uiPriority w:val="99"/>
    <w:semiHidden/>
    <w:unhideWhenUsed/>
    <w:pPr>
      <w:numPr>
        <w:numId w:val="6"/>
      </w:numPr>
      <w:contextualSpacing/>
    </w:pPr>
  </w:style>
  <w:style w:type="paragraph" w:styleId="ListNumber4">
    <w:name w:val="List Number 4"/>
    <w:basedOn w:val="Normal"/>
    <w:uiPriority w:val="99"/>
    <w:semiHidden/>
    <w:unhideWhenUsed/>
    <w:pPr>
      <w:numPr>
        <w:numId w:val="7"/>
      </w:numPr>
      <w:contextualSpacing/>
    </w:pPr>
  </w:style>
  <w:style w:type="paragraph" w:styleId="ListBullet">
    <w:name w:val="List Bullet"/>
    <w:basedOn w:val="Normal"/>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TableofFigures">
    <w:name w:val="table of figures"/>
    <w:basedOn w:val="Normal"/>
    <w:next w:val="Normal"/>
    <w:uiPriority w:val="99"/>
    <w:semiHidden/>
    <w:unhideWhenUsed/>
  </w:style>
  <w:style w:type="paragraph" w:customStyle="1" w:styleId="ListBullet1">
    <w:name w:val="List Bullet 1"/>
    <w:basedOn w:val="Normal"/>
    <w:pPr>
      <w:numPr>
        <w:numId w:val="13"/>
      </w:numPr>
    </w:pPr>
    <w:rPr>
      <w:rFonts w:eastAsia="Times New Roman"/>
      <w:lang w:eastAsia="de-DE"/>
    </w:rPr>
  </w:style>
  <w:style w:type="paragraph" w:customStyle="1" w:styleId="ListDash1">
    <w:name w:val="List Dash 1"/>
    <w:basedOn w:val="Normal"/>
    <w:pPr>
      <w:numPr>
        <w:numId w:val="14"/>
      </w:numPr>
    </w:pPr>
    <w:rPr>
      <w:rFonts w:eastAsia="Times New Roman"/>
      <w:lang w:eastAsia="de-DE"/>
    </w:rPr>
  </w:style>
  <w:style w:type="paragraph" w:customStyle="1" w:styleId="ListDash2">
    <w:name w:val="List Dash 2"/>
    <w:basedOn w:val="Normal"/>
    <w:pPr>
      <w:numPr>
        <w:numId w:val="15"/>
      </w:numPr>
    </w:pPr>
    <w:rPr>
      <w:rFonts w:eastAsia="Times New Roman"/>
      <w:lang w:eastAsia="de-DE"/>
    </w:rPr>
  </w:style>
  <w:style w:type="paragraph" w:customStyle="1" w:styleId="norm">
    <w:name w:val="norm"/>
    <w:basedOn w:val="Normal"/>
    <w:pPr>
      <w:spacing w:before="100" w:beforeAutospacing="1" w:after="100" w:afterAutospacing="1"/>
      <w:jc w:val="left"/>
    </w:pPr>
    <w:rPr>
      <w:rFonts w:eastAsia="SimSun"/>
      <w:szCs w:val="24"/>
      <w:lang w:eastAsia="zh-CN"/>
    </w:rPr>
  </w:style>
  <w:style w:type="paragraph" w:customStyle="1" w:styleId="title-article-norm">
    <w:name w:val="title-article-norm"/>
    <w:basedOn w:val="Normal"/>
    <w:pPr>
      <w:spacing w:before="100" w:beforeAutospacing="1" w:after="100" w:afterAutospacing="1"/>
      <w:jc w:val="left"/>
    </w:pPr>
    <w:rPr>
      <w:rFonts w:eastAsia="SimSun"/>
      <w:szCs w:val="24"/>
      <w:lang w:eastAsia="zh-CN"/>
    </w:rPr>
  </w:style>
  <w:style w:type="paragraph" w:styleId="ListParagraph">
    <w:name w:val="List Paragraph"/>
    <w:basedOn w:val="Normal"/>
    <w:uiPriority w:val="34"/>
    <w:qFormat/>
    <w:pPr>
      <w:spacing w:before="0" w:after="0"/>
      <w:ind w:left="720"/>
      <w:contextualSpacing/>
      <w:jc w:val="left"/>
    </w:pPr>
    <w:rPr>
      <w:rFonts w:ascii="Calibri" w:eastAsia="SimSun" w:hAnsi="Calibri"/>
      <w:szCs w:val="24"/>
      <w:lang w:eastAsia="zh-CN"/>
    </w:rPr>
  </w:style>
  <w:style w:type="paragraph" w:styleId="Revision">
    <w:name w:val="Revision"/>
    <w:hidden/>
    <w:uiPriority w:val="99"/>
    <w:semiHidden/>
    <w:pPr>
      <w:spacing w:after="0" w:line="240" w:lineRule="auto"/>
    </w:pPr>
    <w:rPr>
      <w:rFonts w:ascii="Times New Roman" w:hAnsi="Times New Roman" w:cs="Times New Roman"/>
      <w:sz w:val="24"/>
      <w:lang w:eastAsia="en-US"/>
    </w:rPr>
  </w:style>
  <w:style w:type="paragraph" w:styleId="NormalWeb">
    <w:name w:val="Normal (Web)"/>
    <w:basedOn w:val="Normal"/>
    <w:uiPriority w:val="99"/>
    <w:unhideWhenUsed/>
    <w:pPr>
      <w:spacing w:before="100" w:beforeAutospacing="1" w:after="100" w:afterAutospacing="1"/>
      <w:jc w:val="left"/>
    </w:pPr>
    <w:rPr>
      <w:rFonts w:eastAsia="SimSun"/>
      <w:szCs w:val="24"/>
      <w:lang w:eastAsia="zh-CN"/>
    </w:rPr>
  </w:style>
  <w:style w:type="paragraph" w:styleId="DocumentMap">
    <w:name w:val="Document Map"/>
    <w:basedOn w:val="Normal"/>
    <w:link w:val="DocumentMapChar"/>
    <w:uiPriority w:val="99"/>
    <w:semiHidden/>
    <w:unhideWhenUsed/>
    <w:pPr>
      <w:spacing w:before="0" w:after="0"/>
    </w:pPr>
    <w:rPr>
      <w:szCs w:val="24"/>
      <w:lang w:eastAsia="en-US"/>
    </w:rPr>
  </w:style>
  <w:style w:type="character" w:customStyle="1" w:styleId="DocumentMapChar">
    <w:name w:val="Document Map Char"/>
    <w:basedOn w:val="DefaultParagraphFont"/>
    <w:link w:val="DocumentMap"/>
    <w:uiPriority w:val="99"/>
    <w:semiHidden/>
    <w:rPr>
      <w:rFonts w:ascii="Times New Roman" w:hAnsi="Times New Roman" w:cs="Times New Roman"/>
      <w:sz w:val="24"/>
      <w:szCs w:val="24"/>
      <w:lang w:eastAsia="en-US"/>
    </w:rPr>
  </w:style>
  <w:style w:type="character" w:styleId="FollowedHyperlink">
    <w:name w:val="FollowedHyperlink"/>
    <w:uiPriority w:val="99"/>
    <w:semiHidden/>
    <w:unhideWhenUsed/>
    <w:rPr>
      <w:color w:val="800080"/>
      <w:u w:val="single"/>
    </w:rPr>
  </w:style>
  <w:style w:type="paragraph" w:customStyle="1" w:styleId="Opoint1">
    <w:name w:val="Opoint 1"/>
    <w:basedOn w:val="norm"/>
    <w:pPr>
      <w:shd w:val="clear" w:color="auto" w:fill="FFFFFF"/>
      <w:spacing w:before="120" w:beforeAutospacing="0" w:after="0" w:afterAutospacing="0"/>
      <w:jc w:val="both"/>
    </w:pPr>
    <w:rPr>
      <w:rFonts w:eastAsia="Arial Unicode MS"/>
      <w:color w:val="000000"/>
      <w:sz w:val="22"/>
      <w:szCs w:val="22"/>
    </w:rPr>
  </w:style>
  <w:style w:type="character" w:customStyle="1" w:styleId="apple-converted-space">
    <w:name w:val="apple-converted-space"/>
  </w:style>
  <w:style w:type="character" w:customStyle="1" w:styleId="superscript">
    <w:name w:val="superscript"/>
  </w:style>
  <w:style w:type="paragraph" w:customStyle="1" w:styleId="CM4">
    <w:name w:val="CM4"/>
    <w:basedOn w:val="Normal"/>
    <w:next w:val="Normal"/>
    <w:uiPriority w:val="99"/>
    <w:pPr>
      <w:autoSpaceDE w:val="0"/>
      <w:autoSpaceDN w:val="0"/>
      <w:adjustRightInd w:val="0"/>
      <w:spacing w:before="0" w:after="0"/>
      <w:jc w:val="left"/>
    </w:pPr>
    <w:rPr>
      <w:rFonts w:eastAsia="SimSun"/>
      <w:szCs w:val="24"/>
      <w:lang w:eastAsia="zh-CN"/>
    </w:rPr>
  </w:style>
  <w:style w:type="paragraph" w:customStyle="1" w:styleId="Point">
    <w:name w:val="Point"/>
    <w:basedOn w:val="Normal"/>
    <w:rPr>
      <w:lang w:eastAsia="en-US"/>
    </w:rPr>
  </w:style>
  <w:style w:type="table" w:styleId="TableGrid">
    <w:name w:val="Table Grid"/>
    <w:aliases w:val="Document Table,CV1"/>
    <w:basedOn w:val="TableNormal"/>
    <w:uiPriority w:val="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rPr>
      <w:lang w:eastAsia="en-US"/>
    </w:rPr>
  </w:style>
  <w:style w:type="character" w:customStyle="1" w:styleId="HeaderChar">
    <w:name w:val="Header Char"/>
    <w:basedOn w:val="DefaultParagraphFont"/>
    <w:link w:val="Header"/>
    <w:uiPriority w:val="99"/>
    <w:rPr>
      <w:rFonts w:ascii="Times New Roman" w:hAnsi="Times New Roman" w:cs="Times New Roman"/>
      <w:sz w:val="24"/>
      <w:lang w:eastAsia="en-US"/>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rPr>
  </w:style>
  <w:style w:type="character" w:customStyle="1" w:styleId="FooterChar">
    <w:name w:val="Footer Char"/>
    <w:basedOn w:val="DefaultParagraphFont"/>
    <w:link w:val="Footer"/>
    <w:uiPriority w:val="99"/>
    <w:rPr>
      <w:rFonts w:ascii="Times New Roman" w:hAnsi="Times New Roman" w:cs="Times New Roman"/>
      <w:sz w:val="24"/>
      <w:lang w:eastAsia="en-US"/>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imes New Roman" w:hAnsi="Arial" w:cs="Arial"/>
      <w:sz w:val="22"/>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imes New Roman" w:hAnsi="Arial" w:cs="Arial"/>
      <w:i/>
      <w:iCs/>
      <w:sz w:val="22"/>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imes New Roman" w:hAnsi="Arial" w:cs="Arial"/>
      <w:sz w:val="20"/>
      <w:szCs w:val="20"/>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imes New Roman" w:hAnsi="Arial" w:cs="Arial"/>
      <w:i/>
      <w:iCs/>
      <w:sz w:val="20"/>
      <w:szCs w:val="20"/>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imes New Roman"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rPr>
      <w:rFonts w:ascii="Arial" w:eastAsia="Times New Roman" w:hAnsi="Arial" w:cs="Arial"/>
      <w:lang w:val="da-DK" w:eastAsia="en-GB"/>
    </w:rPr>
  </w:style>
  <w:style w:type="character" w:customStyle="1" w:styleId="Heading6Char">
    <w:name w:val="Heading 6 Char"/>
    <w:link w:val="Heading6"/>
    <w:uiPriority w:val="99"/>
    <w:rPr>
      <w:rFonts w:ascii="Arial" w:eastAsia="Times New Roman" w:hAnsi="Arial" w:cs="Arial"/>
      <w:i/>
      <w:iCs/>
      <w:lang w:val="da-DK" w:eastAsia="en-GB"/>
    </w:rPr>
  </w:style>
  <w:style w:type="character" w:customStyle="1" w:styleId="Heading7Char">
    <w:name w:val="Heading 7 Char"/>
    <w:link w:val="Heading7"/>
    <w:uiPriority w:val="99"/>
    <w:rPr>
      <w:rFonts w:ascii="Arial" w:eastAsia="Times New Roman" w:hAnsi="Arial" w:cs="Arial"/>
      <w:sz w:val="20"/>
      <w:szCs w:val="20"/>
      <w:lang w:val="da-DK" w:eastAsia="en-GB"/>
    </w:rPr>
  </w:style>
  <w:style w:type="character" w:customStyle="1" w:styleId="Heading8Char">
    <w:name w:val="Heading 8 Char"/>
    <w:link w:val="Heading8"/>
    <w:uiPriority w:val="99"/>
    <w:rPr>
      <w:rFonts w:ascii="Arial" w:eastAsia="Times New Roman" w:hAnsi="Arial" w:cs="Arial"/>
      <w:i/>
      <w:iCs/>
      <w:sz w:val="20"/>
      <w:szCs w:val="20"/>
      <w:lang w:val="da-DK" w:eastAsia="en-GB"/>
    </w:rPr>
  </w:style>
  <w:style w:type="character" w:customStyle="1" w:styleId="Heading9Char">
    <w:name w:val="Heading 9 Char"/>
    <w:link w:val="Heading9"/>
    <w:uiPriority w:val="99"/>
    <w:rPr>
      <w:rFonts w:ascii="Arial" w:eastAsia="Times New Roman" w:hAnsi="Arial" w:cs="Arial"/>
      <w:i/>
      <w:iCs/>
      <w:sz w:val="18"/>
      <w:szCs w:val="18"/>
      <w:lang w:val="da-DK" w:eastAsia="en-GB"/>
    </w:rPr>
  </w:style>
  <w:style w:type="paragraph" w:styleId="Caption">
    <w:name w:val="caption"/>
    <w:basedOn w:val="Normal"/>
    <w:next w:val="Normal"/>
    <w:uiPriority w:val="35"/>
    <w:qFormat/>
    <w:pPr>
      <w:autoSpaceDE w:val="0"/>
      <w:autoSpaceDN w:val="0"/>
    </w:pPr>
    <w:rPr>
      <w:rFonts w:eastAsia="Times New Roman"/>
      <w:b/>
      <w:bCs/>
      <w:szCs w:val="24"/>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pPr>
      <w:autoSpaceDE w:val="0"/>
      <w:autoSpaceDN w:val="0"/>
    </w:pPr>
    <w:rPr>
      <w:rFonts w:eastAsia="Times New Roman"/>
      <w:sz w:val="20"/>
      <w:szCs w:val="20"/>
    </w:rPr>
  </w:style>
  <w:style w:type="character" w:customStyle="1" w:styleId="CommentTextChar">
    <w:name w:val="Comment Text Char"/>
    <w:link w:val="CommentText"/>
    <w:uiPriority w:val="99"/>
    <w:rPr>
      <w:rFonts w:ascii="Times New Roman" w:eastAsia="Times New Roman" w:hAnsi="Times New Roman" w:cs="Times New Roman"/>
      <w:sz w:val="20"/>
      <w:szCs w:val="20"/>
      <w:lang w:val="da-DK" w:eastAsia="en-GB"/>
    </w:rPr>
  </w:style>
  <w:style w:type="paragraph" w:customStyle="1" w:styleId="Sous-titreobjet">
    <w:name w:val="Sous-titre objet"/>
    <w:basedOn w:val="Titreobjet"/>
    <w:uiPriority w:val="99"/>
    <w:pPr>
      <w:autoSpaceDE w:val="0"/>
      <w:autoSpaceDN w:val="0"/>
      <w:spacing w:before="0" w:after="0"/>
    </w:pPr>
    <w:rPr>
      <w:rFonts w:eastAsia="Times New Roman"/>
      <w:bCs/>
      <w:szCs w:val="24"/>
    </w:rPr>
  </w:style>
  <w:style w:type="paragraph" w:customStyle="1" w:styleId="FichedimpactPMEtitre">
    <w:name w:val="Fiche d'impact PME titre"/>
    <w:basedOn w:val="Normal"/>
    <w:next w:val="Normal"/>
    <w:uiPriority w:val="99"/>
    <w:pPr>
      <w:autoSpaceDE w:val="0"/>
      <w:autoSpaceDN w:val="0"/>
      <w:jc w:val="center"/>
    </w:pPr>
    <w:rPr>
      <w:rFonts w:eastAsia="Times New Roman"/>
      <w:b/>
      <w:bCs/>
      <w:szCs w:val="24"/>
    </w:rPr>
  </w:style>
  <w:style w:type="paragraph" w:customStyle="1" w:styleId="Fichefinanciretextetable">
    <w:name w:val="Fiche financière texte (table)"/>
    <w:basedOn w:val="Normal"/>
    <w:uiPriority w:val="99"/>
    <w:pPr>
      <w:autoSpaceDE w:val="0"/>
      <w:autoSpaceDN w:val="0"/>
      <w:spacing w:before="0" w:after="0"/>
      <w:jc w:val="left"/>
    </w:pPr>
    <w:rPr>
      <w:rFonts w:eastAsia="Times New Roman"/>
      <w:sz w:val="20"/>
      <w:szCs w:val="20"/>
    </w:rPr>
  </w:style>
  <w:style w:type="paragraph" w:customStyle="1" w:styleId="Fichefinanciretitreactetable">
    <w:name w:val="Fiche financière titre (acte table)"/>
    <w:basedOn w:val="Normal"/>
    <w:next w:val="Normal"/>
    <w:uiPriority w:val="99"/>
    <w:pPr>
      <w:autoSpaceDE w:val="0"/>
      <w:autoSpaceDN w:val="0"/>
      <w:jc w:val="center"/>
    </w:pPr>
    <w:rPr>
      <w:rFonts w:eastAsia="Times New Roman"/>
      <w:b/>
      <w:bCs/>
      <w:sz w:val="40"/>
      <w:szCs w:val="40"/>
    </w:rPr>
  </w:style>
  <w:style w:type="paragraph" w:customStyle="1" w:styleId="Fichefinanciretitretable">
    <w:name w:val="Fiche financière titre (table)"/>
    <w:basedOn w:val="Normal"/>
    <w:uiPriority w:val="99"/>
    <w:pPr>
      <w:autoSpaceDE w:val="0"/>
      <w:autoSpaceDN w:val="0"/>
      <w:jc w:val="center"/>
    </w:pPr>
    <w:rPr>
      <w:rFonts w:eastAsia="Times New Roman"/>
      <w:b/>
      <w:bCs/>
      <w:sz w:val="40"/>
      <w:szCs w:val="40"/>
    </w:rPr>
  </w:style>
  <w:style w:type="character" w:styleId="PageNumber">
    <w:name w:val="page number"/>
    <w:uiPriority w:val="99"/>
    <w:rPr>
      <w:rFonts w:cs="Times New Roman"/>
    </w:rPr>
  </w:style>
  <w:style w:type="paragraph" w:styleId="TOAHeading">
    <w:name w:val="toa heading"/>
    <w:basedOn w:val="Normal"/>
    <w:next w:val="Normal"/>
    <w:uiPriority w:val="99"/>
    <w:pPr>
      <w:autoSpaceDE w:val="0"/>
      <w:autoSpaceDN w:val="0"/>
    </w:pPr>
    <w:rPr>
      <w:rFonts w:ascii="Arial" w:eastAsia="Times New Roman" w:hAnsi="Arial" w:cs="Arial"/>
      <w:b/>
      <w:bCs/>
      <w:szCs w:val="24"/>
    </w:rPr>
  </w:style>
  <w:style w:type="character" w:customStyle="1" w:styleId="CRMarker">
    <w:name w:val="CR Marker"/>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rPr>
  </w:style>
  <w:style w:type="character" w:customStyle="1" w:styleId="CRRefNum">
    <w:name w:val="CR RefNum"/>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imes New Roman"/>
      <w:szCs w:val="24"/>
    </w:rPr>
  </w:style>
  <w:style w:type="character" w:customStyle="1" w:styleId="CRTextDeleted">
    <w:name w:val="CR TextDeleted"/>
    <w:uiPriority w:val="99"/>
    <w:rPr>
      <w:rFonts w:cs="Times New Roman"/>
    </w:rPr>
  </w:style>
  <w:style w:type="paragraph" w:customStyle="1" w:styleId="Titredumodificateur">
    <w:name w:val="Titre du modificateur"/>
    <w:basedOn w:val="Normal"/>
    <w:next w:val="Normal"/>
    <w:uiPriority w:val="99"/>
    <w:pPr>
      <w:autoSpaceDE w:val="0"/>
      <w:autoSpaceDN w:val="0"/>
      <w:spacing w:before="240" w:after="60"/>
      <w:jc w:val="left"/>
    </w:pPr>
    <w:rPr>
      <w:rFonts w:eastAsia="Times New Roman"/>
      <w:b/>
      <w:bCs/>
      <w:szCs w:val="24"/>
    </w:rPr>
  </w:style>
  <w:style w:type="paragraph" w:customStyle="1" w:styleId="Referencedumodificateur">
    <w:name w:val="Reference du modificateur"/>
    <w:basedOn w:val="Normal"/>
    <w:next w:val="Normal"/>
    <w:uiPriority w:val="99"/>
    <w:pPr>
      <w:autoSpaceDE w:val="0"/>
      <w:autoSpaceDN w:val="0"/>
      <w:spacing w:before="0"/>
      <w:jc w:val="left"/>
    </w:pPr>
    <w:rPr>
      <w:rFonts w:eastAsia="Times New Roman"/>
      <w:szCs w:val="24"/>
    </w:rPr>
  </w:style>
  <w:style w:type="character" w:customStyle="1" w:styleId="CRDeleted">
    <w:name w:val="CR Deleted"/>
    <w:rPr>
      <w:rFonts w:cs="Times New Roman"/>
      <w:dstrike/>
      <w:lang w:val="da-DK" w:eastAsia="x-none"/>
    </w:rPr>
  </w:style>
  <w:style w:type="character" w:customStyle="1" w:styleId="CRMinorChangeDeleted">
    <w:name w:val="CR Minor Change Deleted"/>
    <w:rPr>
      <w:rFonts w:cs="Times New Roman"/>
      <w:dstrike/>
      <w:u w:val="double"/>
      <w:lang w:val="da-DK" w:eastAsia="x-none"/>
    </w:rPr>
  </w:style>
  <w:style w:type="character" w:customStyle="1" w:styleId="CRMinorChangeAdded">
    <w:name w:val="CR Minor Change Added"/>
    <w:rPr>
      <w:rFonts w:cs="Times New Roman"/>
      <w:u w:val="double"/>
      <w:lang w:val="da-DK" w:eastAsia="x-none"/>
    </w:rPr>
  </w:style>
  <w:style w:type="character" w:customStyle="1" w:styleId="italic">
    <w:name w:val="italic"/>
    <w:rPr>
      <w:i/>
    </w:rPr>
  </w:style>
  <w:style w:type="character" w:customStyle="1" w:styleId="super">
    <w:name w:val="super"/>
    <w:rPr>
      <w:sz w:val="17"/>
      <w:vertAlign w:val="superscript"/>
    </w:rPr>
  </w:style>
  <w:style w:type="character" w:styleId="Hyperlink">
    <w:name w:val="Hyperlink"/>
    <w:unhideWhenUsed/>
    <w:rPr>
      <w:rFonts w:cs="Times New Roman"/>
      <w:color w:val="0000FF"/>
      <w:u w:val="single"/>
    </w:rPr>
  </w:style>
  <w:style w:type="character" w:styleId="Strong">
    <w:name w:val="Strong"/>
    <w:uiPriority w:val="22"/>
    <w:qFormat/>
    <w:rPr>
      <w:rFonts w:cs="Times New Roman"/>
      <w:b/>
    </w:rPr>
  </w:style>
  <w:style w:type="character" w:customStyle="1" w:styleId="CRRefonteDeleted">
    <w:name w:val="CR Refonte Deleted"/>
    <w:rPr>
      <w:rFonts w:cs="Times New Roman"/>
      <w:dstrike/>
      <w:lang w:val="da-DK" w:eastAsia="x-none"/>
    </w:rPr>
  </w:style>
  <w:style w:type="paragraph" w:styleId="BalloonText">
    <w:name w:val="Balloon Text"/>
    <w:basedOn w:val="Normal"/>
    <w:link w:val="BalloonTextChar"/>
    <w:uiPriority w:val="99"/>
    <w:semiHidden/>
    <w:unhideWhenUsed/>
    <w:pPr>
      <w:autoSpaceDE w:val="0"/>
      <w:autoSpaceDN w:val="0"/>
      <w:spacing w:before="0" w:after="0"/>
    </w:pPr>
    <w:rPr>
      <w:rFonts w:ascii="Segoe UI" w:eastAsia="Times New Roman" w:hAnsi="Segoe UI" w:cs="Segoe UI"/>
      <w:sz w:val="18"/>
      <w:szCs w:val="18"/>
    </w:rPr>
  </w:style>
  <w:style w:type="character" w:customStyle="1" w:styleId="BalloonTextChar">
    <w:name w:val="Balloon Text Char"/>
    <w:link w:val="BalloonText"/>
    <w:uiPriority w:val="99"/>
    <w:semiHidden/>
    <w:rPr>
      <w:rFonts w:ascii="Segoe UI" w:eastAsia="Times New Roman" w:hAnsi="Segoe UI" w:cs="Segoe UI"/>
      <w:sz w:val="18"/>
      <w:szCs w:val="18"/>
      <w:lang w:val="da-DK" w:eastAsia="en-GB"/>
    </w:rPr>
  </w:style>
  <w:style w:type="paragraph" w:customStyle="1" w:styleId="aPoint0">
    <w:name w:val="(a) Point 0"/>
    <w:basedOn w:val="Point0"/>
    <w:pPr>
      <w:autoSpaceDE w:val="0"/>
      <w:autoSpaceDN w:val="0"/>
      <w:ind w:left="851" w:hanging="851"/>
    </w:pPr>
    <w:rPr>
      <w:rFonts w:eastAsia="Times New Roman"/>
      <w:szCs w:val="24"/>
    </w:rPr>
  </w:style>
  <w:style w:type="paragraph" w:styleId="ListNumber">
    <w:name w:val="List Number"/>
    <w:basedOn w:val="Normal"/>
    <w:pPr>
      <w:numPr>
        <w:numId w:val="8"/>
      </w:numPr>
    </w:pPr>
    <w:rPr>
      <w:rFonts w:eastAsia="Times New Roman"/>
      <w:lang w:eastAsia="de-DE"/>
    </w:rPr>
  </w:style>
  <w:style w:type="paragraph" w:customStyle="1" w:styleId="ListNumberLevel2">
    <w:name w:val="List Number (Level 2)"/>
    <w:basedOn w:val="Normal"/>
    <w:pPr>
      <w:numPr>
        <w:ilvl w:val="1"/>
        <w:numId w:val="8"/>
      </w:numPr>
      <w:tabs>
        <w:tab w:val="clear" w:pos="1417"/>
        <w:tab w:val="num" w:pos="360"/>
      </w:tabs>
      <w:ind w:left="0" w:firstLine="0"/>
    </w:pPr>
    <w:rPr>
      <w:rFonts w:eastAsia="Times New Roman"/>
      <w:lang w:eastAsia="de-DE"/>
    </w:rPr>
  </w:style>
  <w:style w:type="paragraph" w:customStyle="1" w:styleId="ListNumberLevel3">
    <w:name w:val="List Number (Level 3)"/>
    <w:basedOn w:val="Normal"/>
    <w:pPr>
      <w:numPr>
        <w:ilvl w:val="2"/>
        <w:numId w:val="8"/>
      </w:numPr>
    </w:pPr>
    <w:rPr>
      <w:rFonts w:eastAsia="Times New Roman"/>
      <w:lang w:eastAsia="de-DE"/>
    </w:rPr>
  </w:style>
  <w:style w:type="paragraph" w:customStyle="1" w:styleId="ListNumberLevel4">
    <w:name w:val="List Number (Level 4)"/>
    <w:basedOn w:val="Normal"/>
    <w:pPr>
      <w:numPr>
        <w:ilvl w:val="3"/>
        <w:numId w:val="8"/>
      </w:numPr>
    </w:pPr>
    <w:rPr>
      <w:rFonts w:eastAsia="Times New Roman"/>
      <w:lang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cs="Times New Roman"/>
      <w:b/>
      <w:bCs/>
      <w:sz w:val="20"/>
      <w:szCs w:val="20"/>
      <w:lang w:val="da-DK" w:eastAsia="en-GB"/>
    </w:rPr>
  </w:style>
  <w:style w:type="paragraph" w:styleId="ListNumber2">
    <w:name w:val="List Number 2"/>
    <w:basedOn w:val="Normal"/>
    <w:uiPriority w:val="99"/>
    <w:semiHidden/>
    <w:unhideWhenUsed/>
    <w:pPr>
      <w:numPr>
        <w:numId w:val="5"/>
      </w:numPr>
      <w:contextualSpacing/>
    </w:pPr>
  </w:style>
  <w:style w:type="paragraph" w:styleId="ListNumber3">
    <w:name w:val="List Number 3"/>
    <w:basedOn w:val="Normal"/>
    <w:uiPriority w:val="99"/>
    <w:semiHidden/>
    <w:unhideWhenUsed/>
    <w:pPr>
      <w:numPr>
        <w:numId w:val="6"/>
      </w:numPr>
      <w:contextualSpacing/>
    </w:pPr>
  </w:style>
  <w:style w:type="paragraph" w:styleId="ListNumber4">
    <w:name w:val="List Number 4"/>
    <w:basedOn w:val="Normal"/>
    <w:uiPriority w:val="99"/>
    <w:semiHidden/>
    <w:unhideWhenUsed/>
    <w:pPr>
      <w:numPr>
        <w:numId w:val="7"/>
      </w:numPr>
      <w:contextualSpacing/>
    </w:pPr>
  </w:style>
  <w:style w:type="paragraph" w:styleId="ListBullet">
    <w:name w:val="List Bullet"/>
    <w:basedOn w:val="Normal"/>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TableofFigures">
    <w:name w:val="table of figures"/>
    <w:basedOn w:val="Normal"/>
    <w:next w:val="Normal"/>
    <w:uiPriority w:val="99"/>
    <w:semiHidden/>
    <w:unhideWhenUsed/>
  </w:style>
  <w:style w:type="paragraph" w:customStyle="1" w:styleId="ListBullet1">
    <w:name w:val="List Bullet 1"/>
    <w:basedOn w:val="Normal"/>
    <w:pPr>
      <w:numPr>
        <w:numId w:val="13"/>
      </w:numPr>
    </w:pPr>
    <w:rPr>
      <w:rFonts w:eastAsia="Times New Roman"/>
      <w:lang w:eastAsia="de-DE"/>
    </w:rPr>
  </w:style>
  <w:style w:type="paragraph" w:customStyle="1" w:styleId="ListDash1">
    <w:name w:val="List Dash 1"/>
    <w:basedOn w:val="Normal"/>
    <w:pPr>
      <w:numPr>
        <w:numId w:val="14"/>
      </w:numPr>
    </w:pPr>
    <w:rPr>
      <w:rFonts w:eastAsia="Times New Roman"/>
      <w:lang w:eastAsia="de-DE"/>
    </w:rPr>
  </w:style>
  <w:style w:type="paragraph" w:customStyle="1" w:styleId="ListDash2">
    <w:name w:val="List Dash 2"/>
    <w:basedOn w:val="Normal"/>
    <w:pPr>
      <w:numPr>
        <w:numId w:val="15"/>
      </w:numPr>
    </w:pPr>
    <w:rPr>
      <w:rFonts w:eastAsia="Times New Roman"/>
      <w:lang w:eastAsia="de-DE"/>
    </w:rPr>
  </w:style>
  <w:style w:type="paragraph" w:customStyle="1" w:styleId="norm">
    <w:name w:val="norm"/>
    <w:basedOn w:val="Normal"/>
    <w:pPr>
      <w:spacing w:before="100" w:beforeAutospacing="1" w:after="100" w:afterAutospacing="1"/>
      <w:jc w:val="left"/>
    </w:pPr>
    <w:rPr>
      <w:rFonts w:eastAsia="SimSun"/>
      <w:szCs w:val="24"/>
      <w:lang w:eastAsia="zh-CN"/>
    </w:rPr>
  </w:style>
  <w:style w:type="paragraph" w:customStyle="1" w:styleId="title-article-norm">
    <w:name w:val="title-article-norm"/>
    <w:basedOn w:val="Normal"/>
    <w:pPr>
      <w:spacing w:before="100" w:beforeAutospacing="1" w:after="100" w:afterAutospacing="1"/>
      <w:jc w:val="left"/>
    </w:pPr>
    <w:rPr>
      <w:rFonts w:eastAsia="SimSun"/>
      <w:szCs w:val="24"/>
      <w:lang w:eastAsia="zh-CN"/>
    </w:rPr>
  </w:style>
  <w:style w:type="paragraph" w:styleId="ListParagraph">
    <w:name w:val="List Paragraph"/>
    <w:basedOn w:val="Normal"/>
    <w:uiPriority w:val="34"/>
    <w:qFormat/>
    <w:pPr>
      <w:spacing w:before="0" w:after="0"/>
      <w:ind w:left="720"/>
      <w:contextualSpacing/>
      <w:jc w:val="left"/>
    </w:pPr>
    <w:rPr>
      <w:rFonts w:ascii="Calibri" w:eastAsia="SimSun" w:hAnsi="Calibri"/>
      <w:szCs w:val="24"/>
      <w:lang w:eastAsia="zh-CN"/>
    </w:rPr>
  </w:style>
  <w:style w:type="paragraph" w:styleId="Revision">
    <w:name w:val="Revision"/>
    <w:hidden/>
    <w:uiPriority w:val="99"/>
    <w:semiHidden/>
    <w:pPr>
      <w:spacing w:after="0" w:line="240" w:lineRule="auto"/>
    </w:pPr>
    <w:rPr>
      <w:rFonts w:ascii="Times New Roman" w:hAnsi="Times New Roman" w:cs="Times New Roman"/>
      <w:sz w:val="24"/>
      <w:lang w:eastAsia="en-US"/>
    </w:rPr>
  </w:style>
  <w:style w:type="paragraph" w:styleId="NormalWeb">
    <w:name w:val="Normal (Web)"/>
    <w:basedOn w:val="Normal"/>
    <w:uiPriority w:val="99"/>
    <w:unhideWhenUsed/>
    <w:pPr>
      <w:spacing w:before="100" w:beforeAutospacing="1" w:after="100" w:afterAutospacing="1"/>
      <w:jc w:val="left"/>
    </w:pPr>
    <w:rPr>
      <w:rFonts w:eastAsia="SimSun"/>
      <w:szCs w:val="24"/>
      <w:lang w:eastAsia="zh-CN"/>
    </w:rPr>
  </w:style>
  <w:style w:type="paragraph" w:styleId="DocumentMap">
    <w:name w:val="Document Map"/>
    <w:basedOn w:val="Normal"/>
    <w:link w:val="DocumentMapChar"/>
    <w:uiPriority w:val="99"/>
    <w:semiHidden/>
    <w:unhideWhenUsed/>
    <w:pPr>
      <w:spacing w:before="0" w:after="0"/>
    </w:pPr>
    <w:rPr>
      <w:szCs w:val="24"/>
      <w:lang w:eastAsia="en-US"/>
    </w:rPr>
  </w:style>
  <w:style w:type="character" w:customStyle="1" w:styleId="DocumentMapChar">
    <w:name w:val="Document Map Char"/>
    <w:basedOn w:val="DefaultParagraphFont"/>
    <w:link w:val="DocumentMap"/>
    <w:uiPriority w:val="99"/>
    <w:semiHidden/>
    <w:rPr>
      <w:rFonts w:ascii="Times New Roman" w:hAnsi="Times New Roman" w:cs="Times New Roman"/>
      <w:sz w:val="24"/>
      <w:szCs w:val="24"/>
      <w:lang w:eastAsia="en-US"/>
    </w:rPr>
  </w:style>
  <w:style w:type="character" w:styleId="FollowedHyperlink">
    <w:name w:val="FollowedHyperlink"/>
    <w:uiPriority w:val="99"/>
    <w:semiHidden/>
    <w:unhideWhenUsed/>
    <w:rPr>
      <w:color w:val="800080"/>
      <w:u w:val="single"/>
    </w:rPr>
  </w:style>
  <w:style w:type="paragraph" w:customStyle="1" w:styleId="Opoint1">
    <w:name w:val="Opoint 1"/>
    <w:basedOn w:val="norm"/>
    <w:pPr>
      <w:shd w:val="clear" w:color="auto" w:fill="FFFFFF"/>
      <w:spacing w:before="120" w:beforeAutospacing="0" w:after="0" w:afterAutospacing="0"/>
      <w:jc w:val="both"/>
    </w:pPr>
    <w:rPr>
      <w:rFonts w:eastAsia="Arial Unicode MS"/>
      <w:color w:val="000000"/>
      <w:sz w:val="22"/>
      <w:szCs w:val="22"/>
    </w:rPr>
  </w:style>
  <w:style w:type="character" w:customStyle="1" w:styleId="apple-converted-space">
    <w:name w:val="apple-converted-space"/>
  </w:style>
  <w:style w:type="character" w:customStyle="1" w:styleId="superscript">
    <w:name w:val="superscript"/>
  </w:style>
  <w:style w:type="paragraph" w:customStyle="1" w:styleId="CM4">
    <w:name w:val="CM4"/>
    <w:basedOn w:val="Normal"/>
    <w:next w:val="Normal"/>
    <w:uiPriority w:val="99"/>
    <w:pPr>
      <w:autoSpaceDE w:val="0"/>
      <w:autoSpaceDN w:val="0"/>
      <w:adjustRightInd w:val="0"/>
      <w:spacing w:before="0" w:after="0"/>
      <w:jc w:val="left"/>
    </w:pPr>
    <w:rPr>
      <w:rFonts w:eastAsia="SimSun"/>
      <w:szCs w:val="24"/>
      <w:lang w:eastAsia="zh-CN"/>
    </w:rPr>
  </w:style>
  <w:style w:type="paragraph" w:customStyle="1" w:styleId="Point">
    <w:name w:val="Point"/>
    <w:basedOn w:val="Normal"/>
    <w:rPr>
      <w:lang w:eastAsia="en-US"/>
    </w:rPr>
  </w:style>
  <w:style w:type="table" w:styleId="TableGrid">
    <w:name w:val="Table Grid"/>
    <w:aliases w:val="Document Table,CV1"/>
    <w:basedOn w:val="TableNormal"/>
    <w:uiPriority w:val="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rPr>
      <w:lang w:eastAsia="en-US"/>
    </w:rPr>
  </w:style>
  <w:style w:type="character" w:customStyle="1" w:styleId="HeaderChar">
    <w:name w:val="Header Char"/>
    <w:basedOn w:val="DefaultParagraphFont"/>
    <w:link w:val="Header"/>
    <w:uiPriority w:val="99"/>
    <w:rPr>
      <w:rFonts w:ascii="Times New Roman" w:hAnsi="Times New Roman" w:cs="Times New Roman"/>
      <w:sz w:val="24"/>
      <w:lang w:eastAsia="en-US"/>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rPr>
  </w:style>
  <w:style w:type="character" w:customStyle="1" w:styleId="FooterChar">
    <w:name w:val="Footer Char"/>
    <w:basedOn w:val="DefaultParagraphFont"/>
    <w:link w:val="Footer"/>
    <w:uiPriority w:val="99"/>
    <w:rPr>
      <w:rFonts w:ascii="Times New Roman" w:hAnsi="Times New Roman" w:cs="Times New Roman"/>
      <w:sz w:val="24"/>
      <w:lang w:eastAsia="en-US"/>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en.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 Id="rId30"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8FE7E8A-3842-44D3-9CD7-F7C091462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46</Pages>
  <Words>12481</Words>
  <Characters>84996</Characters>
  <Application>Microsoft Office Word</Application>
  <DocSecurity>0</DocSecurity>
  <Lines>4999</Lines>
  <Paragraphs>2436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Stefanie Heilemann</cp:lastModifiedBy>
  <cp:revision>20</cp:revision>
  <cp:lastPrinted>2018-06-27T09:06:00Z</cp:lastPrinted>
  <dcterms:created xsi:type="dcterms:W3CDTF">2018-06-27T13:42:00Z</dcterms:created>
  <dcterms:modified xsi:type="dcterms:W3CDTF">2018-06-29T11:45:00Z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LWCR Document">
    <vt:lpwstr>True</vt:lpwstr>
  </property>
  <property fmtid="{D5CDD505-2E9C-101B-9397-08002B2CF9AE}" pid="7" name="LWCR Version">
    <vt:lpwstr>1.3.3</vt:lpwstr>
  </property>
  <property fmtid="{D5CDD505-2E9C-101B-9397-08002B2CF9AE}" pid="8" name="LWCR IsRefonte">
    <vt:lpwstr>True</vt:lpwstr>
  </property>
  <property fmtid="{D5CDD505-2E9C-101B-9397-08002B2CF9AE}" pid="9" name="Level of sensitivity">
    <vt:lpwstr>Standard treatment</vt:lpwstr>
  </property>
  <property fmtid="{D5CDD505-2E9C-101B-9397-08002B2CF9AE}" pid="10" name="Part">
    <vt:lpwstr>1</vt:lpwstr>
  </property>
  <property fmtid="{D5CDD505-2E9C-101B-9397-08002B2CF9AE}" pid="11" name="Total parts">
    <vt:lpwstr>1</vt:lpwstr>
  </property>
  <property fmtid="{D5CDD505-2E9C-101B-9397-08002B2CF9AE}" pid="12" name="LWTemplateID">
    <vt:lpwstr>SJ-023</vt:lpwstr>
  </property>
  <property fmtid="{D5CDD505-2E9C-101B-9397-08002B2CF9AE}" pid="13" name="DQCStatus">
    <vt:lpwstr>Yellow (DQC version 03)</vt:lpwstr>
  </property>
</Properties>
</file>