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A691D5C-57B9-431A-9190-894AB9441C41"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rPr>
        <w:t>•</w:t>
      </w:r>
      <w:r>
        <w:rPr>
          <w:noProof/>
        </w:rPr>
        <w:tab/>
        <w:t>Motiv och syfte med förslaget</w:t>
      </w:r>
    </w:p>
    <w:p>
      <w:pPr>
        <w:pBdr>
          <w:top w:val="nil"/>
          <w:left w:val="nil"/>
          <w:bottom w:val="nil"/>
          <w:right w:val="nil"/>
          <w:between w:val="nil"/>
          <w:bar w:val="nil"/>
        </w:pBdr>
        <w:spacing w:before="0" w:after="240"/>
        <w:rPr>
          <w:noProof/>
        </w:rPr>
      </w:pPr>
      <w:r>
        <w:rPr>
          <w:noProof/>
        </w:rPr>
        <w:t>Syftet med förslaget är att anpassa beloppen för de medel som ställts till förfogande för målet Investering för tillväxt och sysselsättning och målet Europeiskt territoriellt samarbete och som avses i artiklarna 91.1 och 92.5 i förordning (EU) nr 1303/2013</w:t>
      </w:r>
      <w:r>
        <w:rPr>
          <w:rStyle w:val="FootnoteReference"/>
          <w:noProof/>
        </w:rPr>
        <w:footnoteReference w:id="1"/>
      </w:r>
      <w:r>
        <w:rPr>
          <w:noProof/>
        </w:rPr>
        <w:t xml:space="preserve"> och även att anpassa den årliga fördelningen av åtagandebemyndiganden som avspeglas i bilaga VI för att avspegla ändringar i budgetplaneringen för sysselsättningsinitiativet för unga. Mer specifikt bör åtagandebemyndigandena för 2018 för det särskilda anslaget för sysselsättningsinitiativet för unga, i enlighet med den budget som antagits för 2018, ökas med 116,7 miljoner EUR, så att det sammanlagda beloppet för 2018 blir 350 miljoner EUR. Åtagandebemyndigandena för 2020 justerades för att kompensera för tidigareläggandet till 2018.</w:t>
      </w:r>
    </w:p>
    <w:p>
      <w:pPr>
        <w:pBdr>
          <w:top w:val="nil"/>
          <w:left w:val="nil"/>
          <w:bottom w:val="nil"/>
          <w:right w:val="nil"/>
          <w:between w:val="nil"/>
          <w:bar w:val="nil"/>
        </w:pBdr>
        <w:spacing w:before="0" w:after="240"/>
        <w:rPr>
          <w:noProof/>
        </w:rPr>
      </w:pPr>
      <w:r>
        <w:rPr>
          <w:noProof/>
        </w:rPr>
        <w:t>Dessutom är det nödvändigt att korrigera vissa fel vad gäller de belopp och procentsatser för medlen för målet Investering för tillväxt och sysselsättning som anges i artikel 1.2 a i förordning (EU) 2017/2305 som ändrar artikel 92.1 i förordning (EU) nr 1303/2013.</w:t>
      </w:r>
    </w:p>
    <w:p>
      <w:pPr>
        <w:pStyle w:val="ManualHeading2"/>
        <w:rPr>
          <w:rFonts w:eastAsia="Arial Unicode MS"/>
          <w:noProof/>
          <w:color w:val="000000"/>
          <w:u w:color="000000"/>
          <w:bdr w:val="nil"/>
        </w:rPr>
      </w:pPr>
      <w:r>
        <w:rPr>
          <w:noProof/>
        </w:rPr>
        <w:t>•</w:t>
      </w:r>
      <w:r>
        <w:rPr>
          <w:noProof/>
        </w:rPr>
        <w:tab/>
        <w:t>Förenlighet med befintliga bestämmelser inom området</w:t>
      </w:r>
    </w:p>
    <w:p>
      <w:pPr>
        <w:pBdr>
          <w:top w:val="nil"/>
          <w:left w:val="nil"/>
          <w:bottom w:val="nil"/>
          <w:right w:val="nil"/>
          <w:between w:val="nil"/>
          <w:bar w:val="nil"/>
        </w:pBdr>
        <w:spacing w:before="0" w:after="240"/>
        <w:rPr>
          <w:noProof/>
        </w:rPr>
      </w:pPr>
      <w:r>
        <w:rPr>
          <w:noProof/>
        </w:rPr>
        <w:t xml:space="preserve">Förslaget är ett resultat av budgetbeslutet för 2018. </w:t>
      </w:r>
    </w:p>
    <w:p>
      <w:pPr>
        <w:pStyle w:val="ManualHeading2"/>
        <w:rPr>
          <w:rFonts w:eastAsia="Arial Unicode MS"/>
          <w:noProof/>
        </w:rPr>
      </w:pPr>
      <w:r>
        <w:rPr>
          <w:noProof/>
        </w:rPr>
        <w:t>•</w:t>
      </w:r>
      <w:r>
        <w:rPr>
          <w:noProof/>
        </w:rPr>
        <w:tab/>
        <w:t>Förenlighet med unionens politik inom andra områden</w:t>
      </w:r>
    </w:p>
    <w:p>
      <w:pPr>
        <w:pBdr>
          <w:top w:val="nil"/>
          <w:left w:val="nil"/>
          <w:bottom w:val="nil"/>
          <w:right w:val="nil"/>
          <w:between w:val="nil"/>
          <w:bar w:val="nil"/>
        </w:pBdr>
        <w:spacing w:before="0" w:after="240"/>
        <w:rPr>
          <w:rFonts w:eastAsia="Arial Unicode MS"/>
          <w:noProof/>
        </w:rPr>
      </w:pPr>
      <w:r>
        <w:rPr>
          <w:noProof/>
        </w:rPr>
        <w:t xml:space="preserve">Förslaget är förenligt med andra förslag och initiativ som antagits av Europeiska kommissionen. </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noProof/>
        </w:rPr>
      </w:pPr>
      <w:r>
        <w:rPr>
          <w:noProof/>
        </w:rPr>
        <w:t xml:space="preserve">Ändringen avspeglar tidigareläggandet av medel för det särskilda anslaget för sysselsättningsinitiativet för unga i EU:s budget för 2018. </w:t>
      </w:r>
    </w:p>
    <w:p>
      <w:pPr>
        <w:pStyle w:val="ManualHeading2"/>
        <w:rPr>
          <w:rFonts w:eastAsia="Arial Unicode MS"/>
          <w:noProof/>
          <w:u w:color="000000"/>
          <w:bdr w:val="nil"/>
        </w:rPr>
      </w:pPr>
      <w:r>
        <w:rPr>
          <w:noProof/>
        </w:rPr>
        <w:t>•</w:t>
      </w:r>
      <w:r>
        <w:rPr>
          <w:noProof/>
        </w:rPr>
        <w:tab/>
        <w:t xml:space="preserve">Subsidiaritetsprincipen (för icke-exklusiv befogenhet) </w:t>
      </w:r>
    </w:p>
    <w:p>
      <w:pPr>
        <w:pBdr>
          <w:top w:val="nil"/>
          <w:left w:val="nil"/>
          <w:bottom w:val="nil"/>
          <w:right w:val="nil"/>
          <w:between w:val="nil"/>
          <w:bar w:val="nil"/>
        </w:pBdr>
        <w:spacing w:before="0" w:after="240"/>
        <w:rPr>
          <w:noProof/>
        </w:rPr>
      </w:pPr>
      <w:r>
        <w:rPr>
          <w:noProof/>
        </w:rPr>
        <w:t xml:space="preserve">Förslaget är förenligt med subsidiaritetsprincipen. </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rFonts w:eastAsia="Arial Unicode MS"/>
          <w:noProof/>
        </w:rPr>
      </w:pPr>
      <w:r>
        <w:rPr>
          <w:noProof/>
        </w:rPr>
        <w:t>Förslaget är begränsat till de nödvändiga tekniska justeringarna.</w:t>
      </w:r>
    </w:p>
    <w:p>
      <w:pPr>
        <w:pStyle w:val="ManualHeading2"/>
        <w:rPr>
          <w:rFonts w:eastAsia="Arial Unicode MS"/>
          <w:noProof/>
          <w:u w:color="000000"/>
          <w:bdr w:val="nil"/>
        </w:rPr>
      </w:pPr>
      <w:r>
        <w:rPr>
          <w:noProof/>
        </w:rPr>
        <w:t>•</w:t>
      </w:r>
      <w:r>
        <w:rPr>
          <w:noProof/>
        </w:rPr>
        <w:tab/>
        <w:t>Val av instrument</w:t>
      </w:r>
    </w:p>
    <w:p>
      <w:pPr>
        <w:pBdr>
          <w:top w:val="nil"/>
          <w:left w:val="nil"/>
          <w:bottom w:val="nil"/>
          <w:right w:val="nil"/>
          <w:between w:val="nil"/>
          <w:bar w:val="nil"/>
        </w:pBdr>
        <w:spacing w:before="0" w:after="240"/>
        <w:rPr>
          <w:noProof/>
        </w:rPr>
      </w:pPr>
      <w:r>
        <w:rPr>
          <w:noProof/>
        </w:rPr>
        <w:t>Föreslaget instrument: ändring av den nuvarande förordningen.</w:t>
      </w:r>
    </w:p>
    <w:p>
      <w:pPr>
        <w:pBdr>
          <w:top w:val="nil"/>
          <w:left w:val="nil"/>
          <w:bottom w:val="nil"/>
          <w:right w:val="nil"/>
          <w:between w:val="nil"/>
          <w:bar w:val="nil"/>
        </w:pBdr>
        <w:spacing w:before="0" w:after="240"/>
        <w:rPr>
          <w:rFonts w:eastAsia="Arial Unicode MS"/>
          <w:noProof/>
        </w:rPr>
      </w:pPr>
      <w:r>
        <w:rPr>
          <w:noProof/>
        </w:rPr>
        <w:t>Kommissionen har undersökt det handlingsutrymme som regelverket medger och anser att det är nödvändigt att föreslå ändringar av förordning (EU) nr 1303/2013.</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Efterhandsutvärderingar/kontroller av ändamålsenligheten med befintlig lagstiftning</w:t>
      </w:r>
    </w:p>
    <w:p>
      <w:pPr>
        <w:pBdr>
          <w:top w:val="nil"/>
          <w:left w:val="nil"/>
          <w:bottom w:val="nil"/>
          <w:right w:val="nil"/>
          <w:between w:val="nil"/>
          <w:bar w:val="nil"/>
        </w:pBdr>
        <w:spacing w:before="0" w:after="240"/>
        <w:rPr>
          <w:rFonts w:eastAsia="Arial Unicode MS"/>
          <w:noProof/>
        </w:rPr>
      </w:pPr>
      <w:r>
        <w:rPr>
          <w:noProof/>
        </w:rPr>
        <w:t>Inga efterhandsutvärderingar/kontroller av ändamålsenligheten med befintlig lagstiftning har gjorts.</w:t>
      </w: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before="0" w:after="240"/>
        <w:rPr>
          <w:rFonts w:eastAsia="Arial Unicode MS"/>
          <w:noProof/>
        </w:rPr>
      </w:pPr>
      <w:r>
        <w:rPr>
          <w:noProof/>
        </w:rPr>
        <w:t>Det har inte skett något samråd med externa berörda parter.</w:t>
      </w:r>
    </w:p>
    <w:p>
      <w:pPr>
        <w:pStyle w:val="ManualHeading2"/>
        <w:rPr>
          <w:rFonts w:eastAsia="Arial Unicode MS"/>
          <w:noProof/>
          <w:u w:color="000000"/>
          <w:bdr w:val="nil"/>
        </w:rPr>
      </w:pPr>
      <w:r>
        <w:rPr>
          <w:noProof/>
        </w:rPr>
        <w:t>•</w:t>
      </w:r>
      <w:r>
        <w:rPr>
          <w:noProof/>
        </w:rPr>
        <w:tab/>
        <w:t>Insamling och användning av sakkunnigutlåtanden</w:t>
      </w:r>
    </w:p>
    <w:p>
      <w:pPr>
        <w:pBdr>
          <w:top w:val="nil"/>
          <w:left w:val="nil"/>
          <w:bottom w:val="nil"/>
          <w:right w:val="nil"/>
          <w:between w:val="nil"/>
          <w:bar w:val="nil"/>
        </w:pBdr>
        <w:spacing w:before="0" w:after="240"/>
        <w:rPr>
          <w:rFonts w:eastAsia="Arial Unicode MS"/>
          <w:noProof/>
        </w:rPr>
      </w:pPr>
      <w:r>
        <w:rPr>
          <w:noProof/>
        </w:rPr>
        <w:t>Någon extern experthjälp har inte behövts.</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Lagstiftningens ändamålsenlighet och förenkling</w:t>
      </w:r>
    </w:p>
    <w:p>
      <w:pPr>
        <w:pStyle w:val="Text1"/>
        <w:ind w:left="0"/>
        <w:rPr>
          <w:noProof/>
        </w:rPr>
      </w:pPr>
      <w:r>
        <w:rPr>
          <w:noProof/>
        </w:rPr>
        <w:t>Det här är inte ett initiativ inom ramen för programmet om lagstiftningens ändamålsenlighet och resultat (Refit-programmet).</w:t>
      </w:r>
    </w:p>
    <w:p>
      <w:pPr>
        <w:pStyle w:val="ManualHeading2"/>
        <w:rPr>
          <w:rFonts w:eastAsia="Arial Unicode MS"/>
          <w:noProof/>
          <w:u w:color="000000"/>
          <w:bdr w:val="nil"/>
        </w:rPr>
      </w:pPr>
      <w:r>
        <w:rPr>
          <w:noProof/>
        </w:rPr>
        <w:t>•</w:t>
      </w:r>
      <w:r>
        <w:rPr>
          <w:noProof/>
        </w:rPr>
        <w:tab/>
        <w:t>Grundläggande rättigheter</w:t>
      </w:r>
    </w:p>
    <w:p>
      <w:pPr>
        <w:pBdr>
          <w:top w:val="nil"/>
          <w:left w:val="nil"/>
          <w:bottom w:val="nil"/>
          <w:right w:val="nil"/>
          <w:between w:val="nil"/>
          <w:bar w:val="nil"/>
        </w:pBdr>
        <w:spacing w:before="0" w:after="240"/>
        <w:rPr>
          <w:rFonts w:eastAsia="Arial Unicode MS"/>
          <w:noProof/>
        </w:rPr>
      </w:pPr>
      <w:r>
        <w:rPr>
          <w:noProof/>
        </w:rPr>
        <w:t>Förslaget får inga konsekvenser för skyddet av de grundläggande rättigheterna.</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noProof/>
        </w:rPr>
      </w:pPr>
      <w:r>
        <w:rPr>
          <w:noProof/>
        </w:rPr>
        <w:t xml:space="preserve">Åtagandebemyndigandena påverkas av tidigareläggandet av det särskilda anslaget för sysselsättningsinitiativet för unga. Åtagandebemyndiganden för 2018 bör ökas med 116,7 miljoner EUR i löpande priser och beloppet för 2020 bör minskas med samma belopp. </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Genomförandeplaner samt åtgärder för övervakning, utvärdering och rapportering</w:t>
      </w:r>
    </w:p>
    <w:p>
      <w:pPr>
        <w:pBdr>
          <w:top w:val="nil"/>
          <w:left w:val="nil"/>
          <w:bottom w:val="nil"/>
          <w:right w:val="nil"/>
          <w:between w:val="nil"/>
          <w:bar w:val="nil"/>
        </w:pBdr>
        <w:spacing w:before="0" w:after="240"/>
        <w:rPr>
          <w:rFonts w:eastAsia="Arial Unicode MS"/>
          <w:noProof/>
        </w:rPr>
      </w:pPr>
      <w:r>
        <w:rPr>
          <w:noProof/>
        </w:rPr>
        <w:t>Ej tillämpligt.</w:t>
      </w:r>
    </w:p>
    <w:p>
      <w:pPr>
        <w:pStyle w:val="ManualHeading2"/>
        <w:rPr>
          <w:rFonts w:eastAsia="Arial Unicode MS"/>
          <w:noProof/>
          <w:u w:color="000000"/>
          <w:bdr w:val="nil"/>
        </w:rPr>
      </w:pPr>
      <w:r>
        <w:rPr>
          <w:noProof/>
        </w:rPr>
        <w:t>•</w:t>
      </w:r>
      <w:r>
        <w:rPr>
          <w:noProof/>
        </w:rPr>
        <w:tab/>
        <w:t>Förklarande dokument (för direktiv)</w:t>
      </w:r>
    </w:p>
    <w:p>
      <w:pPr>
        <w:pStyle w:val="Text1"/>
        <w:ind w:hanging="850"/>
        <w:rPr>
          <w:noProof/>
        </w:rPr>
      </w:pPr>
      <w:r>
        <w:rPr>
          <w:noProof/>
        </w:rPr>
        <w:t>Ej tillämpligt.</w:t>
      </w:r>
    </w:p>
    <w:p>
      <w:pPr>
        <w:pStyle w:val="ManualHeading2"/>
        <w:rPr>
          <w:rFonts w:eastAsia="Arial Unicode MS"/>
          <w:noProof/>
          <w:u w:color="000000"/>
          <w:bdr w:val="nil"/>
        </w:rPr>
      </w:pPr>
      <w:r>
        <w:rPr>
          <w:noProof/>
        </w:rPr>
        <w:t>•</w:t>
      </w:r>
      <w:r>
        <w:rPr>
          <w:noProof/>
        </w:rPr>
        <w:tab/>
        <w:t>Ingående redogörelse för de specifika bestämmelserna i förslaget</w:t>
      </w:r>
    </w:p>
    <w:p>
      <w:pPr>
        <w:pBdr>
          <w:top w:val="nil"/>
          <w:left w:val="nil"/>
          <w:bottom w:val="nil"/>
          <w:right w:val="nil"/>
          <w:between w:val="nil"/>
          <w:bar w:val="nil"/>
        </w:pBdr>
        <w:spacing w:before="0" w:after="240"/>
        <w:rPr>
          <w:noProof/>
        </w:rPr>
      </w:pPr>
      <w:r>
        <w:rPr>
          <w:noProof/>
        </w:rPr>
        <w:t xml:space="preserve">Syftet med förslaget är att anpassa beloppen för de medel som ställts till förfogande för målet Investering för tillväxt och sysselsättning och målet Europeiskt territoriellt samarbete och som avses i artiklarna 91.1 och 92.5 i förordning (EU) nr 1303/2013 och även att anpassa den årliga fördelningen av åtagandebemyndiganden som avspeglas i bilaga VI för att avspegla ändringar i budgetplaneringen för sysselsättningsinitiativet för unga. Mer specifikt bör åtagandebemyndigandena för 2018 för det särskilda anslaget för sysselsättningsinitiativet för unga, i enlighet med den budget som antagits för 2018, ökas med 116,7 miljoner EUR, så att det sammanlagda beloppet för 2018 blir 350 miljoner EUR. Åtagandebemyndigandena för 2020 justerades för att kompensera för tidigareläggandet till 2018. </w:t>
      </w:r>
    </w:p>
    <w:p>
      <w:pPr>
        <w:pBdr>
          <w:top w:val="nil"/>
          <w:left w:val="nil"/>
          <w:bottom w:val="nil"/>
          <w:right w:val="nil"/>
          <w:between w:val="nil"/>
          <w:bar w:val="nil"/>
        </w:pBdr>
        <w:spacing w:before="0" w:after="240"/>
        <w:rPr>
          <w:noProof/>
        </w:rPr>
      </w:pPr>
      <w:r>
        <w:rPr>
          <w:noProof/>
        </w:rPr>
        <w:t>Dessutom är det nödvändigt att korrigera vissa fel vad gäller de belopp och procentsatser för medlen för målet Investering för tillväxt och sysselsättning som anges i artikel 1.2 a i förordning (EU) 2017/2305 som ändrar artikel 92.1 i förordning (EU) nr 1303/2013.</w:t>
      </w:r>
    </w:p>
    <w:p>
      <w:pPr>
        <w:pBdr>
          <w:top w:val="nil"/>
          <w:left w:val="nil"/>
          <w:bottom w:val="nil"/>
          <w:right w:val="nil"/>
          <w:between w:val="nil"/>
          <w:bar w:val="nil"/>
        </w:pBdr>
        <w:spacing w:before="0" w:after="240"/>
        <w:rPr>
          <w:noProof/>
        </w:rPr>
      </w:pPr>
      <w:r>
        <w:rPr>
          <w:noProof/>
        </w:rPr>
        <w:t>Artikel 92.1 i förordning (EU) nr 1303/2013, i dess ändrade lydelse enligt förordning (EU) 2017/2305, har följande lydelse:</w:t>
      </w:r>
    </w:p>
    <w:p>
      <w:pPr>
        <w:pBdr>
          <w:top w:val="nil"/>
          <w:left w:val="nil"/>
          <w:bottom w:val="nil"/>
          <w:right w:val="nil"/>
          <w:between w:val="nil"/>
          <w:bar w:val="nil"/>
        </w:pBdr>
        <w:spacing w:before="0" w:after="240"/>
        <w:rPr>
          <w:noProof/>
        </w:rPr>
      </w:pPr>
      <w:r>
        <w:rPr>
          <w:noProof/>
        </w:rPr>
        <w:t xml:space="preserve">”1. Medlen för målet Investering för tillväxt och sysselsättning ska uppgå till 96,09 % av de samlade medlen (dvs. till 317 103 114 309 EUR) och de ska fördelas på följande sätt: </w:t>
      </w:r>
    </w:p>
    <w:p>
      <w:pPr>
        <w:pBdr>
          <w:top w:val="nil"/>
          <w:left w:val="nil"/>
          <w:bottom w:val="nil"/>
          <w:right w:val="nil"/>
          <w:between w:val="nil"/>
          <w:bar w:val="nil"/>
        </w:pBdr>
        <w:spacing w:before="0" w:after="240"/>
        <w:rPr>
          <w:noProof/>
        </w:rPr>
      </w:pPr>
      <w:r>
        <w:rPr>
          <w:noProof/>
        </w:rPr>
        <w:t xml:space="preserve">a) 48,64 % (dvs. 160 498 028 177 EUR) till mindre utvecklade regioner. </w:t>
      </w:r>
    </w:p>
    <w:p>
      <w:pPr>
        <w:pBdr>
          <w:top w:val="nil"/>
          <w:left w:val="nil"/>
          <w:bottom w:val="nil"/>
          <w:right w:val="nil"/>
          <w:between w:val="nil"/>
          <w:bar w:val="nil"/>
        </w:pBdr>
        <w:spacing w:before="0" w:after="240"/>
        <w:rPr>
          <w:noProof/>
        </w:rPr>
      </w:pPr>
      <w:r>
        <w:rPr>
          <w:noProof/>
        </w:rPr>
        <w:t xml:space="preserve">b) 10,19 % (dvs. 33 621 675 154 EUR) till övergångsregioner. </w:t>
      </w:r>
    </w:p>
    <w:p>
      <w:pPr>
        <w:pBdr>
          <w:top w:val="nil"/>
          <w:left w:val="nil"/>
          <w:bottom w:val="nil"/>
          <w:right w:val="nil"/>
          <w:between w:val="nil"/>
          <w:bar w:val="nil"/>
        </w:pBdr>
        <w:spacing w:before="0" w:after="240"/>
        <w:rPr>
          <w:noProof/>
        </w:rPr>
      </w:pPr>
      <w:r>
        <w:rPr>
          <w:noProof/>
        </w:rPr>
        <w:t xml:space="preserve">c) 15,43 % (dvs. 50 914 723 304 EUR) till mer utvecklade regioner. </w:t>
      </w:r>
    </w:p>
    <w:p>
      <w:pPr>
        <w:pBdr>
          <w:top w:val="nil"/>
          <w:left w:val="nil"/>
          <w:bottom w:val="nil"/>
          <w:right w:val="nil"/>
          <w:between w:val="nil"/>
          <w:bar w:val="nil"/>
        </w:pBdr>
        <w:spacing w:before="0" w:after="240"/>
        <w:rPr>
          <w:noProof/>
        </w:rPr>
      </w:pPr>
      <w:r>
        <w:rPr>
          <w:noProof/>
        </w:rPr>
        <w:t xml:space="preserve">d) 20,01 % (dvs. 66 029 882 135 EUR) till medlemsstater som får stöd från Sammanhållningsfonden. </w:t>
      </w:r>
    </w:p>
    <w:p>
      <w:pPr>
        <w:pBdr>
          <w:top w:val="nil"/>
          <w:left w:val="nil"/>
          <w:bottom w:val="nil"/>
          <w:right w:val="nil"/>
          <w:between w:val="nil"/>
          <w:bar w:val="nil"/>
        </w:pBdr>
        <w:spacing w:before="0" w:after="240"/>
        <w:rPr>
          <w:noProof/>
        </w:rPr>
      </w:pPr>
      <w:r>
        <w:rPr>
          <w:noProof/>
        </w:rPr>
        <w:t>e) 0,42 % (dvs. 1 378 882 914 EUR) som tilläggsfinansiering för de yttersta randområden som anges i artikel 349 i EUF-fördraget och för de Nuts 2-regioner som uppfyller kriterierna i artikel 2 i protokoll nr 6 till 1994 års anslutningsakt.”</w:t>
      </w:r>
    </w:p>
    <w:p>
      <w:pPr>
        <w:pBdr>
          <w:top w:val="nil"/>
          <w:left w:val="nil"/>
          <w:bottom w:val="nil"/>
          <w:right w:val="nil"/>
          <w:between w:val="nil"/>
          <w:bar w:val="nil"/>
        </w:pBdr>
        <w:spacing w:before="0" w:after="240"/>
        <w:rPr>
          <w:noProof/>
        </w:rPr>
      </w:pPr>
      <w:r>
        <w:rPr>
          <w:noProof/>
        </w:rPr>
        <w:t xml:space="preserve">Bestämmelsen har följande korrekta lydelse och bör därför rättas: </w:t>
      </w:r>
    </w:p>
    <w:p>
      <w:pPr>
        <w:pBdr>
          <w:top w:val="nil"/>
          <w:left w:val="nil"/>
          <w:bottom w:val="nil"/>
          <w:right w:val="nil"/>
          <w:between w:val="nil"/>
          <w:bar w:val="nil"/>
        </w:pBdr>
        <w:spacing w:before="0" w:after="240"/>
        <w:rPr>
          <w:noProof/>
        </w:rPr>
      </w:pPr>
      <w:r>
        <w:rPr>
          <w:noProof/>
        </w:rPr>
        <w:t>”1. Medlen för målet Investering för tillväxt och sysselsättning ska uppgå till 96,09 % av de samlade medlen (dvs. till 317 073 545 392 EUR) och de ska fördelas på följande sätt:</w:t>
      </w:r>
    </w:p>
    <w:p>
      <w:pPr>
        <w:pBdr>
          <w:top w:val="nil"/>
          <w:left w:val="nil"/>
          <w:bottom w:val="nil"/>
          <w:right w:val="nil"/>
          <w:between w:val="nil"/>
          <w:bar w:val="nil"/>
        </w:pBdr>
        <w:spacing w:before="0" w:after="240"/>
        <w:rPr>
          <w:noProof/>
        </w:rPr>
      </w:pPr>
      <w:r>
        <w:rPr>
          <w:noProof/>
        </w:rPr>
        <w:t>a) 51,52 % (dvs. 163 359 380 738 EUR) till mindre utvecklade regioner.</w:t>
      </w:r>
    </w:p>
    <w:p>
      <w:pPr>
        <w:pBdr>
          <w:top w:val="nil"/>
          <w:left w:val="nil"/>
          <w:bottom w:val="nil"/>
          <w:right w:val="nil"/>
          <w:between w:val="nil"/>
          <w:bar w:val="nil"/>
        </w:pBdr>
        <w:spacing w:before="0" w:after="240"/>
        <w:rPr>
          <w:noProof/>
        </w:rPr>
      </w:pPr>
      <w:r>
        <w:rPr>
          <w:noProof/>
        </w:rPr>
        <w:t>b) 10,82 % (dvs. 34 319 221 039 EUR) till övergångsregioner.</w:t>
      </w:r>
    </w:p>
    <w:p>
      <w:pPr>
        <w:pBdr>
          <w:top w:val="nil"/>
          <w:left w:val="nil"/>
          <w:bottom w:val="nil"/>
          <w:right w:val="nil"/>
          <w:between w:val="nil"/>
          <w:bar w:val="nil"/>
        </w:pBdr>
        <w:spacing w:before="0" w:after="240"/>
        <w:rPr>
          <w:noProof/>
        </w:rPr>
      </w:pPr>
      <w:r>
        <w:rPr>
          <w:noProof/>
        </w:rPr>
        <w:t>c) 16,33 % (dvs. 51 773 321 432 EUR) till mer utvecklade regioner.</w:t>
      </w:r>
    </w:p>
    <w:p>
      <w:pPr>
        <w:pBdr>
          <w:top w:val="nil"/>
          <w:left w:val="nil"/>
          <w:bottom w:val="nil"/>
          <w:right w:val="nil"/>
          <w:between w:val="nil"/>
          <w:bar w:val="nil"/>
        </w:pBdr>
        <w:spacing w:before="0" w:after="240"/>
        <w:rPr>
          <w:noProof/>
        </w:rPr>
      </w:pPr>
      <w:r>
        <w:rPr>
          <w:noProof/>
        </w:rPr>
        <w:t>d) 20,89 % (dvs. 66 236 030 665 EUR) till medlemsstater som får stöd från Sammanhållningsfonden.</w:t>
      </w:r>
    </w:p>
    <w:p>
      <w:pPr>
        <w:pBdr>
          <w:top w:val="nil"/>
          <w:left w:val="nil"/>
          <w:bottom w:val="nil"/>
          <w:right w:val="nil"/>
          <w:between w:val="nil"/>
          <w:bar w:val="nil"/>
        </w:pBdr>
        <w:spacing w:before="0" w:after="240"/>
        <w:rPr>
          <w:noProof/>
        </w:rPr>
      </w:pPr>
      <w:r>
        <w:rPr>
          <w:noProof/>
        </w:rPr>
        <w:t>e) 0,44 % (dvs. 1 385 591 518 EUR) som tilläggsfinansiering för de yttersta randområden som anges i artikel 349 i EUF-fördraget och för de Nuts 2-regioner som uppfyller kriterierna i artikel 2 i protokoll nr 6 till 1994 års anslutningsakt.”</w:t>
      </w:r>
    </w:p>
    <w:p>
      <w:pPr>
        <w:pBdr>
          <w:top w:val="nil"/>
          <w:left w:val="nil"/>
          <w:bottom w:val="nil"/>
          <w:right w:val="nil"/>
          <w:between w:val="nil"/>
          <w:bar w:val="nil"/>
        </w:pBdr>
        <w:spacing w:before="0" w:after="240"/>
        <w:rPr>
          <w:rFonts w:eastAsia="Arial Unicode MS"/>
          <w:noProof/>
        </w:rPr>
        <w:sectPr>
          <w:footerReference w:type="default" r:id="rId16"/>
          <w:footerReference w:type="first" r:id="rId17"/>
          <w:pgSz w:w="11907" w:h="16839"/>
          <w:pgMar w:top="1134" w:right="1417" w:bottom="1134" w:left="1417" w:header="709" w:footer="709" w:gutter="0"/>
          <w:cols w:space="720"/>
          <w:docGrid w:linePitch="360"/>
        </w:sectPr>
      </w:pPr>
    </w:p>
    <w:p>
      <w:pPr>
        <w:pStyle w:val="Rfrenceinterinstitutionnelle"/>
        <w:rPr>
          <w:noProof/>
        </w:rPr>
      </w:pPr>
      <w:r>
        <w:rPr>
          <w:noProof/>
        </w:rPr>
        <w:t>2018/0265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ändring av förordning (EU) nr 1303/2013 vad gäller medlen för ekonomisk, social och territoriell sammanhållning samt om rättelse av den förordningen vad gäller medlen för målet Investering för tillväxt och sysselsättning</w:t>
      </w:r>
    </w:p>
    <w:p>
      <w:pPr>
        <w:pStyle w:val="Institutionquiagit"/>
        <w:rPr>
          <w:noProof/>
          <w:szCs w:val="24"/>
        </w:rPr>
      </w:pPr>
      <w:r>
        <w:rPr>
          <w:noProof/>
        </w:rPr>
        <w:t>EUROPAPARLAMENTET OCH EUROPEISKA UNIONENS RÅD HAR ANTAGIT DENNA FÖRORDNING</w:t>
      </w:r>
    </w:p>
    <w:p>
      <w:pPr>
        <w:rPr>
          <w:noProof/>
          <w:szCs w:val="24"/>
        </w:rPr>
      </w:pPr>
      <w:r>
        <w:rPr>
          <w:noProof/>
        </w:rPr>
        <w:t xml:space="preserve">med beaktande av fördraget om Europeiska unionens funktionssätt, särskilt artikel 177, </w:t>
      </w:r>
    </w:p>
    <w:p>
      <w:pPr>
        <w:rPr>
          <w:noProof/>
          <w:szCs w:val="24"/>
        </w:rPr>
      </w:pPr>
      <w:r>
        <w:rPr>
          <w:noProof/>
        </w:rPr>
        <w:t>med beaktande av Europeiska kommissionens förslag,</w:t>
      </w:r>
    </w:p>
    <w:p>
      <w:pPr>
        <w:rPr>
          <w:noProof/>
          <w:szCs w:val="24"/>
        </w:rPr>
      </w:pPr>
      <w:r>
        <w:rPr>
          <w:noProof/>
        </w:rPr>
        <w:t>efter översändande av utkastet till lagstiftningsakt till de nationella parlamenten,</w:t>
      </w:r>
    </w:p>
    <w:p>
      <w:pPr>
        <w:rPr>
          <w:noProof/>
          <w:szCs w:val="24"/>
        </w:rPr>
      </w:pPr>
      <w:r>
        <w:rPr>
          <w:noProof/>
        </w:rPr>
        <w:t>med beaktande av Europeiska ekonomiska och sociala kommitténs yttrande</w:t>
      </w:r>
      <w:r>
        <w:rPr>
          <w:rStyle w:val="FootnoteReference"/>
          <w:noProof/>
        </w:rPr>
        <w:footnoteReference w:id="2"/>
      </w:r>
      <w:r>
        <w:rPr>
          <w:noProof/>
        </w:rPr>
        <w:t>,</w:t>
      </w:r>
    </w:p>
    <w:p>
      <w:pPr>
        <w:rPr>
          <w:noProof/>
          <w:szCs w:val="24"/>
        </w:rPr>
      </w:pPr>
      <w:r>
        <w:rPr>
          <w:noProof/>
        </w:rPr>
        <w:t>med beaktande av Regionkommitténs yttrande</w:t>
      </w:r>
      <w:r>
        <w:rPr>
          <w:rStyle w:val="FootnoteReference"/>
          <w:noProof/>
        </w:rPr>
        <w:footnoteReference w:id="3"/>
      </w:r>
      <w:r>
        <w:rPr>
          <w:noProof/>
        </w:rPr>
        <w:t xml:space="preserve">, </w:t>
      </w:r>
    </w:p>
    <w:p>
      <w:pPr>
        <w:rPr>
          <w:noProof/>
          <w:szCs w:val="24"/>
        </w:rPr>
      </w:pPr>
      <w:r>
        <w:rPr>
          <w:noProof/>
        </w:rPr>
        <w:t>i enlighet med det ordinarie lagstiftningsförfarandet, och</w:t>
      </w:r>
    </w:p>
    <w:p>
      <w:pPr>
        <w:rPr>
          <w:noProof/>
          <w:szCs w:val="24"/>
        </w:rPr>
      </w:pPr>
      <w:r>
        <w:rPr>
          <w:noProof/>
        </w:rPr>
        <w:t>av följande skäl:</w:t>
      </w:r>
    </w:p>
    <w:p>
      <w:pPr>
        <w:pStyle w:val="ManualConsidrant"/>
        <w:rPr>
          <w:noProof/>
          <w:szCs w:val="24"/>
        </w:rPr>
      </w:pPr>
      <w:r>
        <w:t>(1)</w:t>
      </w:r>
      <w:r>
        <w:tab/>
      </w:r>
      <w:r>
        <w:rPr>
          <w:noProof/>
        </w:rPr>
        <w:t>I Europaparlamentets och rådets förordning (EU) nr 1303/2013</w:t>
      </w:r>
      <w:r>
        <w:rPr>
          <w:rStyle w:val="FootnoteReference"/>
          <w:noProof/>
        </w:rPr>
        <w:footnoteReference w:id="4"/>
      </w:r>
      <w:r>
        <w:rPr>
          <w:noProof/>
        </w:rPr>
        <w:t xml:space="preserve"> fastställs de allmänna och gemensamma bestämmelserna för de europeiska struktur- och investeringsfonderna. </w:t>
      </w:r>
    </w:p>
    <w:p>
      <w:pPr>
        <w:pStyle w:val="ManualConsidrant"/>
        <w:rPr>
          <w:noProof/>
          <w:szCs w:val="24"/>
        </w:rPr>
      </w:pPr>
      <w:r>
        <w:t>(2)</w:t>
      </w:r>
      <w:r>
        <w:tab/>
      </w:r>
      <w:r>
        <w:rPr>
          <w:noProof/>
        </w:rPr>
        <w:t>Genom Europaparlamentets och rådets förordning (EU) 2017/2305</w:t>
      </w:r>
      <w:r>
        <w:rPr>
          <w:rStyle w:val="FootnoteReference"/>
          <w:noProof/>
        </w:rPr>
        <w:footnoteReference w:id="5"/>
      </w:r>
      <w:r>
        <w:rPr>
          <w:noProof/>
        </w:rPr>
        <w:t xml:space="preserve"> ändrades förordning (EU) nr 1303/2013 bland annat vad gäller medlen för ekonomisk, social och territoriell sammanhållning.</w:t>
      </w:r>
    </w:p>
    <w:p>
      <w:pPr>
        <w:pStyle w:val="ManualConsidrant"/>
        <w:rPr>
          <w:noProof/>
          <w:szCs w:val="24"/>
        </w:rPr>
      </w:pPr>
      <w:r>
        <w:t>(3)</w:t>
      </w:r>
      <w:r>
        <w:tab/>
      </w:r>
      <w:r>
        <w:rPr>
          <w:noProof/>
        </w:rPr>
        <w:t>I Europeiska unionens allmänna budget för budgetåret 2018</w:t>
      </w:r>
      <w:r>
        <w:rPr>
          <w:rStyle w:val="FootnoteReference"/>
          <w:noProof/>
        </w:rPr>
        <w:footnoteReference w:id="6"/>
      </w:r>
      <w:r>
        <w:rPr>
          <w:noProof/>
        </w:rPr>
        <w:t xml:space="preserve"> ändrades budgetplaneringen för sysselsättningsinitiativet för unga genom att man ökade åtagandebemyndigandena för det särskilda anslaget för sysselsättningsinitiativet för unga be 116,7 miljoner EUR i löpande priser, vilket gjorde att åtagandebemyndigandena för sysselsättningsinitiativet för unga för 2018 uppgår till sammanlagt 350 miljoner EUR i löpande priser. </w:t>
      </w:r>
    </w:p>
    <w:p>
      <w:pPr>
        <w:pStyle w:val="ManualConsidrant"/>
        <w:rPr>
          <w:noProof/>
          <w:szCs w:val="24"/>
        </w:rPr>
      </w:pPr>
      <w:r>
        <w:t>(4)</w:t>
      </w:r>
      <w:r>
        <w:tab/>
      </w:r>
      <w:r>
        <w:rPr>
          <w:noProof/>
        </w:rPr>
        <w:t>Åtagandebemyndigandena för 2020 måste justeras ned, för att kompensera för tidigareläggandet till 2018. Förordning (EU) nr 1303/2013 bör därför ändras i enlighet med detta.</w:t>
      </w:r>
    </w:p>
    <w:p>
      <w:pPr>
        <w:pStyle w:val="ManualConsidrant"/>
        <w:rPr>
          <w:noProof/>
        </w:rPr>
      </w:pPr>
      <w:r>
        <w:t>(5)</w:t>
      </w:r>
      <w:r>
        <w:tab/>
      </w:r>
      <w:r>
        <w:rPr>
          <w:noProof/>
        </w:rPr>
        <w:t>När artikel 92.1 i förordning (EU) nr 1303/2013 ändrades genom förordning (EU) 2017/2305, var vissa uppgifter om finansieringen i artikel 1.2 a i förordning (EU) 2017/2305 felaktiga. De uppgifterna bör ersättas med korrekta uppgifter. Förordning (EU) nr 1303/2013 bör därför rättas i enlighet med detta.</w:t>
      </w:r>
    </w:p>
    <w:p>
      <w:pPr>
        <w:pStyle w:val="ManualConsidrant"/>
        <w:rPr>
          <w:noProof/>
        </w:rPr>
      </w:pPr>
      <w:r>
        <w:t>(6)</w:t>
      </w:r>
      <w:r>
        <w:tab/>
      </w:r>
      <w:r>
        <w:rPr>
          <w:noProof/>
        </w:rPr>
        <w:t xml:space="preserve">Eftersom det är bråttom att ändra de program som stöder sysselsättningsinitiativet för unga bör denna förordning träda i kraft dagen efter det att den har offentliggjorts i </w:t>
      </w:r>
      <w:r>
        <w:rPr>
          <w:i/>
          <w:noProof/>
        </w:rPr>
        <w:t>Europeiska unionens officiella tidning</w:t>
      </w:r>
      <w:r>
        <w:rPr>
          <w:noProof/>
        </w:rPr>
        <w:t>.</w:t>
      </w: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Förordning (EU) nr 1303/2013 ska ändras på följande sätt:</w:t>
      </w:r>
    </w:p>
    <w:p>
      <w:pPr>
        <w:pStyle w:val="Point0number"/>
        <w:numPr>
          <w:ilvl w:val="0"/>
          <w:numId w:val="14"/>
        </w:numPr>
        <w:rPr>
          <w:noProof/>
        </w:rPr>
      </w:pPr>
      <w:r>
        <w:rPr>
          <w:noProof/>
        </w:rPr>
        <w:t>I artikel 91 ska punkt 1 ersättas med följande:</w:t>
      </w:r>
    </w:p>
    <w:p>
      <w:pPr>
        <w:pStyle w:val="Text1"/>
        <w:rPr>
          <w:noProof/>
        </w:rPr>
      </w:pPr>
      <w:r>
        <w:rPr>
          <w:noProof/>
        </w:rPr>
        <w:t>”1. De medel för ekonomisk, social och territoriell sammanhållning som är tillgängliga för budgetåtaganden under perioden 2014–2020 ska uppgå till 329 982 345 366 EUR i 2011 års priser, i enlighet med den årliga fördelning som anges i bilaga VI, varav 325 938 694 233 EUR utgör de samlade medel som tilldelas Eruf, ESF och Sammanhållningsfonden och 4 043 651 133 EUR utgör en särskild tilldelning för sysselsättningsinitiativet för unga. Medlen för ekonomisk, social och territoriell sammanhållning ska indexregleras med 2 % per år inför programplanering och senare budgetering i unionens budget.”</w:t>
      </w:r>
    </w:p>
    <w:p>
      <w:pPr>
        <w:pStyle w:val="Point0number"/>
        <w:rPr>
          <w:noProof/>
        </w:rPr>
      </w:pPr>
      <w:r>
        <w:rPr>
          <w:noProof/>
        </w:rPr>
        <w:t>I artikel 92 ska punkt 5 ersättas med följande:</w:t>
      </w:r>
    </w:p>
    <w:p>
      <w:pPr>
        <w:pStyle w:val="Text1"/>
        <w:rPr>
          <w:noProof/>
        </w:rPr>
      </w:pPr>
      <w:r>
        <w:rPr>
          <w:noProof/>
        </w:rPr>
        <w:t>”5. Medlen för sysselsättningsinitiativet för unga ska uppgå till 4 043 651 133 EUR från den särskilda tilldelningen för sysselsättningsinitiativet för unga och till minst 4 043 651 133 EUR från riktade investeringar från ESF.”</w:t>
      </w:r>
    </w:p>
    <w:p>
      <w:pPr>
        <w:pStyle w:val="Point0number"/>
        <w:rPr>
          <w:noProof/>
        </w:rPr>
      </w:pPr>
      <w:r>
        <w:rPr>
          <w:noProof/>
        </w:rPr>
        <w:t>Bilaga VI ska ersättas med texten i bilagan till den här förordningen.</w:t>
      </w:r>
    </w:p>
    <w:p>
      <w:pPr>
        <w:pStyle w:val="Titrearticle"/>
        <w:rPr>
          <w:noProof/>
        </w:rPr>
      </w:pPr>
      <w:r>
        <w:rPr>
          <w:noProof/>
        </w:rPr>
        <w:t>Artikel 2</w:t>
      </w:r>
    </w:p>
    <w:p>
      <w:pPr>
        <w:rPr>
          <w:noProof/>
        </w:rPr>
      </w:pPr>
      <w:r>
        <w:rPr>
          <w:noProof/>
        </w:rPr>
        <w:t>Förordning (EU) nr 1303/2013 ska rättas på följande sätt:</w:t>
      </w:r>
    </w:p>
    <w:p>
      <w:pPr>
        <w:rPr>
          <w:noProof/>
        </w:rPr>
      </w:pPr>
      <w:r>
        <w:rPr>
          <w:noProof/>
        </w:rPr>
        <w:t>I artikel 92 ska punkt 1 ersättas med följande:</w:t>
      </w:r>
    </w:p>
    <w:p>
      <w:pPr>
        <w:pStyle w:val="Text1"/>
        <w:rPr>
          <w:noProof/>
        </w:rPr>
      </w:pPr>
      <w:r>
        <w:rPr>
          <w:noProof/>
        </w:rPr>
        <w:t>”1. Medlen för målet Investering för tillväxt och sysselsättning ska uppgå till 96,09 % av de samlade medlen (dvs. till 317 073 545 392 EUR) och de ska fördelas på följande sätt:</w:t>
      </w:r>
    </w:p>
    <w:p>
      <w:pPr>
        <w:pStyle w:val="Text1"/>
        <w:rPr>
          <w:noProof/>
        </w:rPr>
      </w:pPr>
      <w:r>
        <w:rPr>
          <w:noProof/>
        </w:rPr>
        <w:t>a) 51,52 % (dvs. 163 359 380 738 EUR) till mindre utvecklade regioner.</w:t>
      </w:r>
    </w:p>
    <w:p>
      <w:pPr>
        <w:pStyle w:val="Text1"/>
        <w:rPr>
          <w:noProof/>
        </w:rPr>
      </w:pPr>
      <w:r>
        <w:rPr>
          <w:noProof/>
        </w:rPr>
        <w:t>b) 10,82 % (dvs. 34 319 221 039 EUR) till övergångsregioner.</w:t>
      </w:r>
    </w:p>
    <w:p>
      <w:pPr>
        <w:pStyle w:val="Text1"/>
        <w:rPr>
          <w:noProof/>
        </w:rPr>
      </w:pPr>
      <w:r>
        <w:rPr>
          <w:noProof/>
        </w:rPr>
        <w:t>c) 16,33 % (dvs. 51 773 321 432 EUR) till mer utvecklade regioner.</w:t>
      </w:r>
    </w:p>
    <w:p>
      <w:pPr>
        <w:pStyle w:val="Text1"/>
        <w:rPr>
          <w:noProof/>
        </w:rPr>
      </w:pPr>
      <w:r>
        <w:rPr>
          <w:noProof/>
        </w:rPr>
        <w:t>d) 20,89 % (dvs. 66 236 030 665 EUR) till medlemsstater som får stöd från Sammanhållningsfonden.</w:t>
      </w:r>
    </w:p>
    <w:p>
      <w:pPr>
        <w:pStyle w:val="Text1"/>
        <w:rPr>
          <w:noProof/>
        </w:rPr>
      </w:pPr>
      <w:r>
        <w:rPr>
          <w:noProof/>
        </w:rPr>
        <w:t>e) 0,44 % (dvs. 1 385 591 518 EUR) som tilläggsfinansiering för de yttersta randområden som anges i artikel 349 i EUF-fördraget och för de Nuts 2-regioner som uppfyller kriterierna i artikel 2 i protokoll nr 6 till 1994 års anslutningsakt.”</w:t>
      </w:r>
    </w:p>
    <w:p>
      <w:pPr>
        <w:pStyle w:val="Titrearticle"/>
        <w:rPr>
          <w:noProof/>
        </w:rPr>
      </w:pPr>
      <w:r>
        <w:rPr>
          <w:noProof/>
        </w:rPr>
        <w:t>Artikel 3</w:t>
      </w:r>
    </w:p>
    <w:p>
      <w:pPr>
        <w:rPr>
          <w:noProof/>
        </w:rPr>
      </w:pPr>
      <w:r>
        <w:rPr>
          <w:noProof/>
        </w:rPr>
        <w:t xml:space="preserve">Denna förordning träder i kraft dagen efter det att den har offentliggjorts i </w:t>
      </w:r>
      <w:r>
        <w:rPr>
          <w:i/>
          <w:noProof/>
        </w:rPr>
        <w:t>Europeiska unionens officiella tidning</w:t>
      </w:r>
      <w:r>
        <w:rPr>
          <w:noProof/>
        </w:rPr>
        <w:t>.</w:t>
      </w:r>
    </w:p>
    <w:p>
      <w:pPr>
        <w:pStyle w:val="Applicationdirecte"/>
        <w:rPr>
          <w:noProof/>
        </w:rPr>
      </w:pPr>
      <w:r>
        <w:rPr>
          <w:noProof/>
        </w:rPr>
        <w:t>Denna förordning är till alla delar bindande och direkt tillämplig i alla medlemsstater.</w:t>
      </w:r>
    </w:p>
    <w:p>
      <w:pPr>
        <w:pStyle w:val="Fait"/>
        <w:rPr>
          <w:noProof/>
        </w:rPr>
      </w:pPr>
      <w: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p>
      <w:pPr>
        <w:rPr>
          <w:noProof/>
        </w:rPr>
      </w:pPr>
      <w:r>
        <w:rPr>
          <w:noProof/>
        </w:rPr>
        <w:br w:type="page"/>
      </w:r>
    </w:p>
    <w:p>
      <w:pPr>
        <w:pStyle w:val="Fichefinanciretitre"/>
        <w:rPr>
          <w:noProof/>
        </w:rPr>
      </w:pPr>
      <w:r>
        <w:rPr>
          <w:noProof/>
        </w:rPr>
        <w:t xml:space="preserve">FINANSIERINGSÖVERSIKT FÖR RÄTTSAKT </w:t>
      </w:r>
    </w:p>
    <w:p>
      <w:pPr>
        <w:pStyle w:val="ManualHeading1"/>
        <w:rPr>
          <w:noProof/>
        </w:rPr>
      </w:pPr>
      <w:r>
        <w:rPr>
          <w:noProof/>
        </w:rPr>
        <w:t>1.</w:t>
      </w:r>
      <w:r>
        <w:rPr>
          <w:noProof/>
        </w:rPr>
        <w:tab/>
        <w:t xml:space="preserve">GRUNDLÄGGANDE UPPGIFTER OM FÖRSLAGET ELLER INITIATIVET </w:t>
      </w:r>
    </w:p>
    <w:p>
      <w:pPr>
        <w:pStyle w:val="ManualHeading2"/>
        <w:rPr>
          <w:b w:val="0"/>
          <w:noProof/>
        </w:rPr>
      </w:pPr>
      <w:r>
        <w:rPr>
          <w:noProof/>
        </w:rPr>
        <w:tab/>
      </w:r>
      <w:r>
        <w:rPr>
          <w:b w:val="0"/>
          <w:noProof/>
        </w:rPr>
        <w:t>1.1.</w:t>
      </w:r>
      <w:r>
        <w:rPr>
          <w:noProof/>
        </w:rPr>
        <w:tab/>
      </w:r>
      <w:r>
        <w:rPr>
          <w:b w:val="0"/>
          <w:noProof/>
        </w:rPr>
        <w:t xml:space="preserve">Förslagets eller initiativets beteckning </w:t>
      </w:r>
    </w:p>
    <w:p>
      <w:pPr>
        <w:pStyle w:val="ManualHeading2"/>
        <w:rPr>
          <w:b w:val="0"/>
          <w:noProof/>
        </w:rPr>
      </w:pPr>
      <w:r>
        <w:rPr>
          <w:noProof/>
        </w:rPr>
        <w:tab/>
      </w:r>
      <w:r>
        <w:rPr>
          <w:b w:val="0"/>
          <w:noProof/>
        </w:rPr>
        <w:t>1.2.</w:t>
      </w:r>
      <w:r>
        <w:rPr>
          <w:noProof/>
        </w:rPr>
        <w:tab/>
      </w:r>
      <w:r>
        <w:rPr>
          <w:b w:val="0"/>
          <w:noProof/>
        </w:rPr>
        <w:t>Berörda politikområden i den verksamhetsbaserade förvaltningen och budgeteringen</w:t>
      </w:r>
    </w:p>
    <w:p>
      <w:pPr>
        <w:pStyle w:val="ManualHeading2"/>
        <w:rPr>
          <w:b w:val="0"/>
          <w:noProof/>
        </w:rPr>
      </w:pPr>
      <w:r>
        <w:rPr>
          <w:noProof/>
        </w:rPr>
        <w:tab/>
      </w:r>
      <w:r>
        <w:rPr>
          <w:b w:val="0"/>
          <w:noProof/>
        </w:rPr>
        <w:t>1.3.</w:t>
      </w:r>
      <w:r>
        <w:rPr>
          <w:noProof/>
        </w:rPr>
        <w:tab/>
      </w:r>
      <w:r>
        <w:rPr>
          <w:b w:val="0"/>
          <w:noProof/>
        </w:rPr>
        <w:t xml:space="preserve">Typ av förslag eller initiativ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Motivering till förslaget eller initiativet </w:t>
      </w:r>
    </w:p>
    <w:p>
      <w:pPr>
        <w:pStyle w:val="ManualHeading2"/>
        <w:rPr>
          <w:b w:val="0"/>
          <w:noProof/>
        </w:rPr>
      </w:pPr>
      <w:r>
        <w:rPr>
          <w:noProof/>
        </w:rPr>
        <w:tab/>
      </w:r>
      <w:r>
        <w:rPr>
          <w:b w:val="0"/>
          <w:noProof/>
        </w:rPr>
        <w:t>1.6.</w:t>
      </w:r>
      <w:r>
        <w:rPr>
          <w:noProof/>
        </w:rPr>
        <w:tab/>
      </w:r>
      <w:r>
        <w:rPr>
          <w:b w:val="0"/>
          <w:noProof/>
        </w:rPr>
        <w:t xml:space="preserve">Tid under vilken åtgärden kommer att pågå respektive påverka resursanvändningen </w:t>
      </w:r>
    </w:p>
    <w:p>
      <w:pPr>
        <w:pStyle w:val="ManualHeading2"/>
        <w:rPr>
          <w:b w:val="0"/>
          <w:noProof/>
        </w:rPr>
      </w:pPr>
      <w:r>
        <w:rPr>
          <w:noProof/>
        </w:rPr>
        <w:tab/>
      </w:r>
      <w:r>
        <w:rPr>
          <w:b w:val="0"/>
          <w:noProof/>
        </w:rPr>
        <w:t>1.7.</w:t>
      </w:r>
      <w:r>
        <w:rPr>
          <w:noProof/>
        </w:rPr>
        <w:tab/>
      </w:r>
      <w:r>
        <w:rPr>
          <w:b w:val="0"/>
          <w:noProof/>
        </w:rPr>
        <w:t xml:space="preserve">Planerad metod för genomförandet </w:t>
      </w:r>
    </w:p>
    <w:p>
      <w:pPr>
        <w:pStyle w:val="ManualHeading1"/>
        <w:rPr>
          <w:noProof/>
        </w:rPr>
      </w:pPr>
      <w:r>
        <w:rPr>
          <w:noProof/>
        </w:rPr>
        <w:t>2.</w:t>
      </w:r>
      <w:r>
        <w:rPr>
          <w:noProof/>
        </w:rPr>
        <w:tab/>
        <w:t xml:space="preserve">FÖRVALTNING </w:t>
      </w:r>
    </w:p>
    <w:p>
      <w:pPr>
        <w:pStyle w:val="ManualHeading2"/>
        <w:rPr>
          <w:b w:val="0"/>
          <w:noProof/>
        </w:rPr>
      </w:pPr>
      <w:r>
        <w:rPr>
          <w:noProof/>
        </w:rPr>
        <w:tab/>
      </w:r>
      <w:r>
        <w:rPr>
          <w:b w:val="0"/>
          <w:noProof/>
        </w:rPr>
        <w:t>2.1.</w:t>
      </w:r>
      <w:r>
        <w:rPr>
          <w:noProof/>
        </w:rPr>
        <w:tab/>
      </w:r>
      <w:r>
        <w:rPr>
          <w:b w:val="0"/>
          <w:noProof/>
        </w:rPr>
        <w:t xml:space="preserve">Bestämmelser om uppföljning och rapportering </w:t>
      </w:r>
    </w:p>
    <w:p>
      <w:pPr>
        <w:pStyle w:val="ManualHeading2"/>
        <w:rPr>
          <w:b w:val="0"/>
          <w:noProof/>
        </w:rPr>
      </w:pPr>
      <w:r>
        <w:rPr>
          <w:noProof/>
        </w:rPr>
        <w:tab/>
      </w:r>
      <w:r>
        <w:rPr>
          <w:b w:val="0"/>
          <w:noProof/>
        </w:rPr>
        <w:t>2.2.</w:t>
      </w:r>
      <w:r>
        <w:rPr>
          <w:noProof/>
        </w:rPr>
        <w:tab/>
      </w:r>
      <w:r>
        <w:rPr>
          <w:b w:val="0"/>
          <w:noProof/>
        </w:rPr>
        <w:t xml:space="preserve">Administrations- och kontrollsystem </w:t>
      </w:r>
    </w:p>
    <w:p>
      <w:pPr>
        <w:pStyle w:val="ManualHeading2"/>
        <w:rPr>
          <w:b w:val="0"/>
          <w:noProof/>
        </w:rPr>
      </w:pPr>
      <w:r>
        <w:rPr>
          <w:noProof/>
        </w:rPr>
        <w:tab/>
      </w:r>
      <w:r>
        <w:rPr>
          <w:b w:val="0"/>
          <w:noProof/>
        </w:rPr>
        <w:t>2.3.</w:t>
      </w:r>
      <w:r>
        <w:rPr>
          <w:noProof/>
        </w:rPr>
        <w:tab/>
      </w:r>
      <w:r>
        <w:rPr>
          <w:b w:val="0"/>
          <w:noProof/>
        </w:rPr>
        <w:t xml:space="preserve">Åtgärder för att förebygga bedrägeri och oegentligheter/oriktigheter </w:t>
      </w:r>
    </w:p>
    <w:p>
      <w:pPr>
        <w:pStyle w:val="ManualHeading1"/>
        <w:rPr>
          <w:noProof/>
        </w:rPr>
      </w:pPr>
      <w:r>
        <w:rPr>
          <w:noProof/>
        </w:rPr>
        <w:t>3.</w:t>
      </w:r>
      <w:r>
        <w:rPr>
          <w:noProof/>
        </w:rPr>
        <w:tab/>
        <w:t xml:space="preserve">BERÄKNADE BUDGETKONSEKVENSER AV FÖRSLAGET ELLER INITIATIVET </w:t>
      </w:r>
    </w:p>
    <w:p>
      <w:pPr>
        <w:pStyle w:val="ManualHeading2"/>
        <w:rPr>
          <w:b w:val="0"/>
          <w:noProof/>
        </w:rPr>
      </w:pPr>
      <w:r>
        <w:rPr>
          <w:noProof/>
        </w:rPr>
        <w:tab/>
      </w:r>
      <w:r>
        <w:rPr>
          <w:b w:val="0"/>
          <w:noProof/>
        </w:rPr>
        <w:t>3.1.</w:t>
      </w:r>
      <w:r>
        <w:rPr>
          <w:noProof/>
        </w:rPr>
        <w:tab/>
      </w:r>
      <w:r>
        <w:rPr>
          <w:b w:val="0"/>
          <w:noProof/>
        </w:rPr>
        <w:t xml:space="preserve">Berörda rubriker i den fleråriga budgetramen och budgetrubriker i den årliga budgetens utgiftsdel </w:t>
      </w:r>
    </w:p>
    <w:p>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pPr>
        <w:pStyle w:val="ManualHeading3"/>
        <w:rPr>
          <w:noProof/>
        </w:rPr>
      </w:pPr>
      <w:r>
        <w:rPr>
          <w:noProof/>
        </w:rPr>
        <w:tab/>
        <w:t>3.2.1.</w:t>
      </w:r>
      <w:r>
        <w:rPr>
          <w:noProof/>
        </w:rPr>
        <w:tab/>
        <w:t xml:space="preserve">Sammanfattning av den beräknade inverkan på utgifterna </w:t>
      </w:r>
    </w:p>
    <w:p>
      <w:pPr>
        <w:pStyle w:val="ManualHeading3"/>
        <w:rPr>
          <w:noProof/>
        </w:rPr>
      </w:pPr>
      <w:r>
        <w:rPr>
          <w:noProof/>
        </w:rPr>
        <w:tab/>
        <w:t>3.2.2.</w:t>
      </w:r>
      <w:r>
        <w:rPr>
          <w:noProof/>
        </w:rPr>
        <w:tab/>
        <w:t xml:space="preserve">Beräknad inverkan på driftsanslagen </w:t>
      </w:r>
    </w:p>
    <w:p>
      <w:pPr>
        <w:pStyle w:val="ManualHeading3"/>
        <w:rPr>
          <w:noProof/>
        </w:rPr>
      </w:pPr>
      <w:r>
        <w:rPr>
          <w:noProof/>
        </w:rPr>
        <w:tab/>
        <w:t>3.2.3.</w:t>
      </w:r>
      <w:r>
        <w:rPr>
          <w:noProof/>
        </w:rPr>
        <w:tab/>
        <w:t>Beräknad inverkan på anslag av administrativ natur</w:t>
      </w:r>
    </w:p>
    <w:p>
      <w:pPr>
        <w:pStyle w:val="ManualHeading3"/>
        <w:rPr>
          <w:noProof/>
        </w:rPr>
      </w:pPr>
      <w:r>
        <w:rPr>
          <w:noProof/>
        </w:rPr>
        <w:tab/>
        <w:t>3.2.4.</w:t>
      </w:r>
      <w:r>
        <w:rPr>
          <w:noProof/>
        </w:rPr>
        <w:tab/>
        <w:t>Förenlighet med den gällande fleråriga budgetramen</w:t>
      </w:r>
    </w:p>
    <w:p>
      <w:pPr>
        <w:pStyle w:val="ManualHeading3"/>
        <w:rPr>
          <w:noProof/>
        </w:rPr>
      </w:pPr>
      <w:r>
        <w:rPr>
          <w:noProof/>
        </w:rPr>
        <w:tab/>
        <w:t>3.2.5.</w:t>
      </w:r>
      <w:r>
        <w:rPr>
          <w:noProof/>
        </w:rPr>
        <w:tab/>
        <w:t xml:space="preserve">Bidrag från tredje part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Beräknad inverkan på inkomsterna</w:t>
      </w:r>
    </w:p>
    <w:p>
      <w:pPr>
        <w:jc w:val="center"/>
        <w:rPr>
          <w:b/>
          <w:noProof/>
          <w:u w:val="single"/>
        </w:rPr>
      </w:pPr>
      <w:r>
        <w:rPr>
          <w:b/>
          <w:noProof/>
          <w:u w:val="single"/>
        </w:rPr>
        <w:t>FINANSIERINGSÖVERSIKT FÖR RÄTTSAKT</w:t>
      </w:r>
    </w:p>
    <w:p>
      <w:pPr>
        <w:pStyle w:val="ManualHeading1"/>
        <w:rPr>
          <w:noProof/>
        </w:rPr>
      </w:pPr>
      <w:r>
        <w:rPr>
          <w:noProof/>
        </w:rPr>
        <w:t>1.</w:t>
      </w:r>
      <w:r>
        <w:rPr>
          <w:noProof/>
        </w:rPr>
        <w:tab/>
        <w:t xml:space="preserve">GRUNDLÄGGANDE UPPGIFTER OM FÖRSLAGET ELLER INITIATIVET </w:t>
      </w:r>
    </w:p>
    <w:p>
      <w:pPr>
        <w:pStyle w:val="ManualHeading2"/>
        <w:rPr>
          <w:noProof/>
        </w:rPr>
      </w:pPr>
      <w:r>
        <w:rPr>
          <w:noProof/>
        </w:rPr>
        <w:t>1.1.</w:t>
      </w:r>
      <w:r>
        <w:rPr>
          <w:noProof/>
        </w:rPr>
        <w:tab/>
        <w:t xml:space="preserve">Förslagets eller initiativets beteckning </w:t>
      </w:r>
    </w:p>
    <w:p>
      <w:pPr>
        <w:pStyle w:val="Text1"/>
        <w:pBdr>
          <w:top w:val="single" w:sz="4" w:space="1" w:color="auto"/>
          <w:left w:val="single" w:sz="4" w:space="4" w:color="auto"/>
          <w:bottom w:val="single" w:sz="4" w:space="1" w:color="auto"/>
          <w:right w:val="single" w:sz="4" w:space="4" w:color="auto"/>
        </w:pBdr>
        <w:rPr>
          <w:noProof/>
        </w:rPr>
      </w:pPr>
      <w:r>
        <w:rPr>
          <w:noProof/>
        </w:rPr>
        <w:t>Förslag till</w:t>
      </w:r>
    </w:p>
    <w:p>
      <w:pPr>
        <w:pStyle w:val="Text1"/>
        <w:pBdr>
          <w:top w:val="single" w:sz="4" w:space="1" w:color="auto"/>
          <w:left w:val="single" w:sz="4" w:space="4" w:color="auto"/>
          <w:bottom w:val="single" w:sz="4" w:space="1" w:color="auto"/>
          <w:right w:val="single" w:sz="4" w:space="4" w:color="auto"/>
        </w:pBdr>
        <w:rPr>
          <w:noProof/>
        </w:rPr>
      </w:pPr>
      <w:r>
        <w:rPr>
          <w:noProof/>
        </w:rPr>
        <w:t>EUROPAPARLAMENTETS OCH RÅDETS FÖRORDNING</w:t>
      </w:r>
    </w:p>
    <w:p>
      <w:pPr>
        <w:pStyle w:val="Text1"/>
        <w:pBdr>
          <w:top w:val="single" w:sz="4" w:space="1" w:color="auto"/>
          <w:left w:val="single" w:sz="4" w:space="4" w:color="auto"/>
          <w:bottom w:val="single" w:sz="4" w:space="1" w:color="auto"/>
          <w:right w:val="single" w:sz="4" w:space="4" w:color="auto"/>
        </w:pBdr>
        <w:rPr>
          <w:noProof/>
        </w:rPr>
      </w:pPr>
      <w:r>
        <w:rPr>
          <w:noProof/>
        </w:rPr>
        <w:t>om ändring av förordning (EU) nr 1303/2013 vad gäller medlen för ekonomisk, social och territoriell sammanhållning samt om rättelse av den förordningen vad gäller medlen för målet Investering för tillväxt och sysselsättning</w:t>
      </w:r>
    </w:p>
    <w:p>
      <w:pPr>
        <w:pStyle w:val="ManualHeading2"/>
        <w:rPr>
          <w:noProof/>
          <w:szCs w:val="24"/>
        </w:rPr>
      </w:pPr>
      <w:r>
        <w:rPr>
          <w:noProof/>
        </w:rPr>
        <w:t>1.2.</w:t>
      </w:r>
      <w:r>
        <w:rPr>
          <w:noProof/>
        </w:rPr>
        <w:tab/>
        <w:t>Berörda politikområden i den verksamhetsbaserade förvaltningen och budgeteringen</w:t>
      </w:r>
      <w:r>
        <w:rPr>
          <w:rStyle w:val="FootnoteReference"/>
          <w:noProof/>
        </w:rPr>
        <w:footnoteReference w:id="7"/>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4 Sysselsättning, socialpolitik och inkludering</w:t>
      </w:r>
    </w:p>
    <w:p>
      <w:pPr>
        <w:pStyle w:val="Text1"/>
        <w:pBdr>
          <w:top w:val="single" w:sz="4" w:space="1" w:color="auto"/>
          <w:left w:val="single" w:sz="4" w:space="4" w:color="auto"/>
          <w:bottom w:val="single" w:sz="4" w:space="1" w:color="auto"/>
          <w:right w:val="single" w:sz="4" w:space="4" w:color="auto"/>
        </w:pBdr>
        <w:rPr>
          <w:noProof/>
        </w:rPr>
      </w:pPr>
      <w:r>
        <w:rPr>
          <w:noProof/>
        </w:rPr>
        <w:t>04 02 60 – Europeiska socialfonden – Mindre utvecklade regioner – Investera i tillväxt och sysselsättning</w:t>
      </w:r>
    </w:p>
    <w:p>
      <w:pPr>
        <w:pStyle w:val="Text1"/>
        <w:pBdr>
          <w:top w:val="single" w:sz="4" w:space="1" w:color="auto"/>
          <w:left w:val="single" w:sz="4" w:space="4" w:color="auto"/>
          <w:bottom w:val="single" w:sz="4" w:space="1" w:color="auto"/>
          <w:right w:val="single" w:sz="4" w:space="4" w:color="auto"/>
        </w:pBdr>
        <w:rPr>
          <w:noProof/>
        </w:rPr>
      </w:pPr>
      <w:r>
        <w:rPr>
          <w:noProof/>
        </w:rPr>
        <w:t>04 02 61 – Europeiska socialfonden – Övergångsregioner – Investera i tillväxt och sysselsättning</w:t>
      </w:r>
    </w:p>
    <w:p>
      <w:pPr>
        <w:pStyle w:val="Text1"/>
        <w:pBdr>
          <w:top w:val="single" w:sz="4" w:space="1" w:color="auto"/>
          <w:left w:val="single" w:sz="4" w:space="4" w:color="auto"/>
          <w:bottom w:val="single" w:sz="4" w:space="1" w:color="auto"/>
          <w:right w:val="single" w:sz="4" w:space="4" w:color="auto"/>
        </w:pBdr>
        <w:rPr>
          <w:noProof/>
        </w:rPr>
      </w:pPr>
      <w:r>
        <w:rPr>
          <w:noProof/>
        </w:rPr>
        <w:t xml:space="preserve">04 02 62 – Europeiska socialfonden – Mer utvecklade regioner – Investera i tillväxt och sysselsättning </w:t>
      </w:r>
    </w:p>
    <w:p>
      <w:pPr>
        <w:pStyle w:val="Text1"/>
        <w:pBdr>
          <w:top w:val="single" w:sz="4" w:space="1" w:color="auto"/>
          <w:left w:val="single" w:sz="4" w:space="4" w:color="auto"/>
          <w:bottom w:val="single" w:sz="4" w:space="1" w:color="auto"/>
          <w:right w:val="single" w:sz="4" w:space="4" w:color="auto"/>
        </w:pBdr>
        <w:rPr>
          <w:noProof/>
        </w:rPr>
      </w:pPr>
      <w:r>
        <w:rPr>
          <w:noProof/>
        </w:rPr>
        <w:t>04 02 64 – Sysselsättningsinitiativ för ungdomar</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Regional- och stadspolitik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60 – Europeiska regionala utvecklingsfonden (Eruf) – Mindre utvecklade regioner – Målet Investering för tillväxt och sysselsättning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61 – Europeiska regionala utvecklingsfonden (Eruf) – Övergångsregioner – Målet Investering för tillväxt och sysselsättning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62 – Europeiska regionala utvecklingsfonden (Eruf) – Mer utvecklade regioner – Målet Investering för tillväxt och sysselsättning </w:t>
      </w:r>
    </w:p>
    <w:p>
      <w:pPr>
        <w:pStyle w:val="Text1"/>
        <w:pBdr>
          <w:top w:val="single" w:sz="4" w:space="1" w:color="auto"/>
          <w:left w:val="single" w:sz="4" w:space="4" w:color="auto"/>
          <w:bottom w:val="single" w:sz="4" w:space="1" w:color="auto"/>
          <w:right w:val="single" w:sz="4" w:space="4" w:color="auto"/>
        </w:pBdr>
        <w:rPr>
          <w:noProof/>
        </w:rPr>
      </w:pPr>
      <w:r>
        <w:rPr>
          <w:noProof/>
        </w:rPr>
        <w:t>13 03 63 – Europeiska regionala utvecklingsfonden (Eruf) – Tilläggsanslag för de yttersta randområdena och glesbefolkade regioner – Målet Investering för tillväxt och sysselsättning</w:t>
      </w:r>
    </w:p>
    <w:p>
      <w:pPr>
        <w:pStyle w:val="Text1"/>
        <w:pBdr>
          <w:top w:val="single" w:sz="4" w:space="1" w:color="auto"/>
          <w:left w:val="single" w:sz="4" w:space="4" w:color="auto"/>
          <w:bottom w:val="single" w:sz="4" w:space="1" w:color="auto"/>
          <w:right w:val="single" w:sz="4" w:space="4" w:color="auto"/>
        </w:pBdr>
        <w:rPr>
          <w:noProof/>
        </w:rPr>
      </w:pPr>
      <w:r>
        <w:rPr>
          <w:noProof/>
        </w:rPr>
        <w:t>13 03 64 01 – Europeiska regionala utvecklingsfonden (Eruf) – Europeiskt territoriellt samarbete</w:t>
      </w:r>
    </w:p>
    <w:p>
      <w:pPr>
        <w:pStyle w:val="Text1"/>
        <w:pBdr>
          <w:top w:val="single" w:sz="4" w:space="1" w:color="auto"/>
          <w:left w:val="single" w:sz="4" w:space="4" w:color="auto"/>
          <w:bottom w:val="single" w:sz="4" w:space="1" w:color="auto"/>
          <w:right w:val="single" w:sz="4" w:space="4" w:color="auto"/>
        </w:pBdr>
        <w:rPr>
          <w:noProof/>
        </w:rPr>
      </w:pPr>
      <w:r>
        <w:rPr>
          <w:noProof/>
        </w:rPr>
        <w:t>13 04 60 – Sammanhållningsfonden – Målet investering för tillväxt och sysselsättning</w:t>
      </w:r>
    </w:p>
    <w:p>
      <w:pPr>
        <w:pStyle w:val="ManualHeading2"/>
        <w:rPr>
          <w:bCs/>
          <w:noProof/>
          <w:szCs w:val="24"/>
        </w:rPr>
      </w:pPr>
      <w:r>
        <w:rPr>
          <w:noProof/>
        </w:rPr>
        <w:t>1.3.</w:t>
      </w:r>
      <w:r>
        <w:rPr>
          <w:noProof/>
        </w:rPr>
        <w:tab/>
        <w:t xml:space="preserve">Typ av förslag eller initiativ </w:t>
      </w:r>
    </w:p>
    <w:p>
      <w:pPr>
        <w:pStyle w:val="Text1"/>
        <w:rPr>
          <w:b/>
          <w:noProof/>
          <w:sz w:val="22"/>
        </w:rPr>
      </w:pPr>
      <w:r>
        <w:rPr>
          <w:noProof/>
          <w:sz w:val="22"/>
        </w:rPr>
        <w:sym w:font="Wingdings" w:char="F0A8"/>
      </w:r>
      <w:r>
        <w:rPr>
          <w:noProof/>
        </w:rPr>
        <w:t xml:space="preserve"> </w:t>
      </w:r>
      <w:r>
        <w:rPr>
          <w:b/>
          <w:noProof/>
        </w:rPr>
        <w:t>Ny åtgärd</w:t>
      </w:r>
      <w:r>
        <w:rPr>
          <w:b/>
          <w:noProof/>
          <w:sz w:val="22"/>
        </w:rPr>
        <w:t xml:space="preserve"> </w:t>
      </w:r>
    </w:p>
    <w:p>
      <w:pPr>
        <w:pStyle w:val="Text1"/>
        <w:rPr>
          <w:noProof/>
          <w:sz w:val="22"/>
        </w:rPr>
      </w:pPr>
      <w:r>
        <w:rPr>
          <w:noProof/>
          <w:sz w:val="22"/>
        </w:rPr>
        <w:sym w:font="Wingdings" w:char="F0A8"/>
      </w:r>
      <w:r>
        <w:rPr>
          <w:noProof/>
        </w:rPr>
        <w:t xml:space="preserve"> </w:t>
      </w:r>
      <w:r>
        <w:rPr>
          <w:b/>
          <w:noProof/>
        </w:rPr>
        <w:t>Ny åtgärd som bygger på ett pilotprojekt eller en förberedande åtgärd</w:t>
      </w:r>
      <w:r>
        <w:rPr>
          <w:rStyle w:val="FootnoteReference"/>
          <w:b/>
          <w:noProof/>
        </w:rPr>
        <w:footnoteReference w:id="8"/>
      </w:r>
      <w:r>
        <w:rPr>
          <w:noProof/>
          <w:sz w:val="22"/>
        </w:rPr>
        <w:t xml:space="preserve"> </w:t>
      </w:r>
    </w:p>
    <w:p>
      <w:pPr>
        <w:pStyle w:val="Text1"/>
        <w:rPr>
          <w:noProof/>
          <w:sz w:val="22"/>
        </w:rPr>
      </w:pPr>
      <w:r>
        <w:rPr>
          <w:noProof/>
          <w:sz w:val="22"/>
        </w:rPr>
        <w:sym w:font="Wingdings" w:char="F078"/>
      </w:r>
      <w:r>
        <w:rPr>
          <w:noProof/>
        </w:rPr>
        <w:t xml:space="preserve"> </w:t>
      </w:r>
      <w:r>
        <w:rPr>
          <w:b/>
          <w:noProof/>
        </w:rPr>
        <w:t>Befintlig åtgärd vars genomförande förlängs i tiden</w:t>
      </w:r>
      <w:r>
        <w:rPr>
          <w:noProof/>
          <w:sz w:val="22"/>
        </w:rPr>
        <w:t xml:space="preserve"> </w:t>
      </w:r>
    </w:p>
    <w:p>
      <w:pPr>
        <w:pStyle w:val="Text1"/>
        <w:rPr>
          <w:noProof/>
        </w:rPr>
      </w:pPr>
      <w:r>
        <w:rPr>
          <w:noProof/>
          <w:sz w:val="22"/>
        </w:rPr>
        <w:sym w:font="Wingdings" w:char="F0A8"/>
      </w:r>
      <w:r>
        <w:rPr>
          <w:noProof/>
        </w:rPr>
        <w:t xml:space="preserve"> </w:t>
      </w:r>
      <w:r>
        <w:rPr>
          <w:b/>
          <w:noProof/>
        </w:rPr>
        <w:t>Tidigare åtgärd som omformas till eller ersätts av en ny</w:t>
      </w:r>
      <w:r>
        <w:rPr>
          <w:noProof/>
        </w:rPr>
        <w:t xml:space="preserve"> </w:t>
      </w:r>
    </w:p>
    <w:p>
      <w:pPr>
        <w:pStyle w:val="ManualHeading2"/>
        <w:rPr>
          <w:bCs/>
          <w:noProof/>
          <w:szCs w:val="24"/>
        </w:rPr>
      </w:pPr>
      <w:r>
        <w:rPr>
          <w:noProof/>
        </w:rPr>
        <w:t>1.4.</w:t>
      </w:r>
      <w:r>
        <w:rPr>
          <w:noProof/>
        </w:rPr>
        <w:tab/>
        <w:t>Mål</w:t>
      </w:r>
    </w:p>
    <w:p>
      <w:pPr>
        <w:pStyle w:val="ManualHeading3"/>
        <w:rPr>
          <w:noProof/>
        </w:rPr>
      </w:pPr>
      <w:r>
        <w:rPr>
          <w:noProof/>
        </w:rPr>
        <w:t>1.4.1.</w:t>
      </w:r>
      <w:r>
        <w:rPr>
          <w:noProof/>
        </w:rPr>
        <w:tab/>
        <w:t xml:space="preserve">Fleråriga strategiska mål för kommissionen som förslaget eller initiativet är avsett att bidra till </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3"/>
        <w:rPr>
          <w:bCs/>
          <w:noProof/>
          <w:szCs w:val="24"/>
        </w:rPr>
      </w:pPr>
      <w:r>
        <w:rPr>
          <w:noProof/>
        </w:rPr>
        <w:t>1.4.2.</w:t>
      </w:r>
      <w:r>
        <w:rPr>
          <w:noProof/>
        </w:rPr>
        <w:tab/>
        <w:t xml:space="preserve">Specifika mål eller verksamheter inom den verksamhetsbaserade förvaltningen och budgeteringen som berörs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Berörda verksamheter enligt den verksamhetsbaserade förvaltningen och budgeteringen</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3"/>
        <w:rPr>
          <w:bCs/>
          <w:noProof/>
          <w:szCs w:val="24"/>
        </w:rPr>
      </w:pPr>
      <w:r>
        <w:rPr>
          <w:noProof/>
        </w:rPr>
        <w:t>1.4.3.</w:t>
      </w:r>
      <w:r>
        <w:rPr>
          <w:noProof/>
        </w:rPr>
        <w:tab/>
        <w:t>Verkan eller resultat som förväntas</w:t>
      </w:r>
    </w:p>
    <w:p>
      <w:pPr>
        <w:pStyle w:val="Text1"/>
        <w:rPr>
          <w:i/>
          <w:noProof/>
          <w:sz w:val="20"/>
        </w:rPr>
      </w:pPr>
      <w:r>
        <w:rPr>
          <w:i/>
          <w:noProof/>
          <w:sz w:val="20"/>
        </w:rPr>
        <w:t>Beskriv den verkan som förslaget eller initiativet förväntas få på de mottagare eller den del av befolkningen som berörs.</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3"/>
        <w:rPr>
          <w:bCs/>
          <w:noProof/>
          <w:szCs w:val="24"/>
        </w:rPr>
      </w:pPr>
      <w:r>
        <w:rPr>
          <w:noProof/>
        </w:rPr>
        <w:t>1.4.4.</w:t>
      </w:r>
      <w:r>
        <w:rPr>
          <w:noProof/>
        </w:rPr>
        <w:tab/>
        <w:t xml:space="preserve">Indikatorer för bedömning av resultat eller verkan </w:t>
      </w:r>
    </w:p>
    <w:p>
      <w:pPr>
        <w:pStyle w:val="Text1"/>
        <w:rPr>
          <w:i/>
          <w:noProof/>
          <w:sz w:val="20"/>
        </w:rPr>
      </w:pPr>
      <w:r>
        <w:rPr>
          <w:i/>
          <w:noProof/>
          <w:sz w:val="20"/>
        </w:rPr>
        <w:t>Ange vilka indikatorer som ska användas för att följa upp hur förslaget eller initiativet genomförs.</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2"/>
        <w:rPr>
          <w:bCs/>
          <w:noProof/>
          <w:szCs w:val="24"/>
        </w:rPr>
      </w:pPr>
      <w:r>
        <w:rPr>
          <w:noProof/>
        </w:rPr>
        <w:t>1.5.</w:t>
      </w:r>
      <w:r>
        <w:rPr>
          <w:noProof/>
        </w:rPr>
        <w:tab/>
        <w:t xml:space="preserve">Motivering till förslaget eller initiativet </w:t>
      </w:r>
    </w:p>
    <w:p>
      <w:pPr>
        <w:pStyle w:val="ManualHeading3"/>
        <w:rPr>
          <w:noProof/>
        </w:rPr>
      </w:pPr>
      <w:r>
        <w:rPr>
          <w:noProof/>
        </w:rPr>
        <w:t>1.5.1.</w:t>
      </w:r>
      <w:r>
        <w:rPr>
          <w:noProof/>
        </w:rPr>
        <w:tab/>
        <w:t xml:space="preserve">Behov som ska tillgodoses på kort eller lång sikt </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3"/>
        <w:rPr>
          <w:bCs/>
          <w:noProof/>
          <w:szCs w:val="24"/>
        </w:rPr>
      </w:pPr>
      <w:r>
        <w:rPr>
          <w:noProof/>
        </w:rPr>
        <w:t>1.5.2.</w:t>
      </w:r>
      <w:r>
        <w:rPr>
          <w:noProof/>
        </w:rPr>
        <w:tab/>
        <w:t>Mervärdet av en åtgärd på unionsnivå:</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3"/>
        <w:rPr>
          <w:bCs/>
          <w:noProof/>
          <w:szCs w:val="24"/>
        </w:rPr>
      </w:pPr>
      <w:r>
        <w:rPr>
          <w:noProof/>
        </w:rPr>
        <w:t>1.5.3.</w:t>
      </w:r>
      <w:r>
        <w:rPr>
          <w:noProof/>
        </w:rPr>
        <w:tab/>
        <w:t>Huvudsakliga erfarenheter från liknande försök eller åtgärder</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3"/>
        <w:rPr>
          <w:bCs/>
          <w:noProof/>
          <w:szCs w:val="24"/>
        </w:rPr>
      </w:pPr>
      <w:r>
        <w:rPr>
          <w:noProof/>
        </w:rPr>
        <w:t>1.5.4.</w:t>
      </w:r>
      <w:r>
        <w:rPr>
          <w:noProof/>
        </w:rPr>
        <w:tab/>
        <w:t>Förenlighet med andra finansieringsformer och eventuella synergieffekter</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2"/>
        <w:rPr>
          <w:bCs/>
          <w:noProof/>
          <w:szCs w:val="24"/>
        </w:rPr>
      </w:pPr>
      <w:r>
        <w:rPr>
          <w:noProof/>
        </w:rPr>
        <w:t>1.6.</w:t>
      </w:r>
      <w:r>
        <w:rPr>
          <w:noProof/>
        </w:rPr>
        <w:tab/>
        <w:t xml:space="preserve">Tid under vilken åtgärden kommer att pågå respektive påverka resursanvändningen </w:t>
      </w:r>
    </w:p>
    <w:p>
      <w:pPr>
        <w:pStyle w:val="Text1"/>
        <w:rPr>
          <w:noProof/>
        </w:rPr>
      </w:pPr>
      <w:r>
        <w:rPr>
          <w:noProof/>
        </w:rPr>
        <w:sym w:font="Wingdings" w:char="F0A8"/>
      </w:r>
      <w:r>
        <w:rPr>
          <w:noProof/>
        </w:rPr>
        <w:t xml:space="preserve"> Förslag eller initiativ som pågår under en </w:t>
      </w:r>
      <w:r>
        <w:rPr>
          <w:b/>
          <w:noProof/>
        </w:rPr>
        <w:t xml:space="preserve">begränsad tid </w:t>
      </w:r>
    </w:p>
    <w:p>
      <w:pPr>
        <w:pStyle w:val="ListDash2"/>
        <w:rPr>
          <w:noProof/>
        </w:rPr>
      </w:pPr>
      <w:r>
        <w:rPr>
          <w:noProof/>
        </w:rPr>
        <w:sym w:font="Wingdings" w:char="F078"/>
      </w:r>
      <w:r>
        <w:rPr>
          <w:noProof/>
        </w:rPr>
        <w:tab/>
        <w:t>Förslaget eller initiativet ska gälla från den 1 januari 2017 till den 31 december 2023.</w:t>
      </w:r>
    </w:p>
    <w:p>
      <w:pPr>
        <w:pStyle w:val="ListDash2"/>
        <w:rPr>
          <w:noProof/>
        </w:rPr>
      </w:pPr>
      <w:r>
        <w:rPr>
          <w:noProof/>
        </w:rPr>
        <w:sym w:font="Wingdings" w:char="F078"/>
      </w:r>
      <w:r>
        <w:rPr>
          <w:noProof/>
        </w:rPr>
        <w:tab/>
        <w:t>Det påverkar resursanvändningen från 2017 till 2020.</w:t>
      </w:r>
    </w:p>
    <w:p>
      <w:pPr>
        <w:pStyle w:val="Text1"/>
        <w:rPr>
          <w:noProof/>
        </w:rPr>
      </w:pPr>
      <w:r>
        <w:rPr>
          <w:noProof/>
        </w:rPr>
        <w:sym w:font="Wingdings" w:char="F0A8"/>
      </w:r>
      <w:r>
        <w:rPr>
          <w:noProof/>
        </w:rPr>
        <w:t xml:space="preserve"> Förslag eller initiativ som pågår under en </w:t>
      </w:r>
      <w:r>
        <w:rPr>
          <w:b/>
          <w:noProof/>
        </w:rPr>
        <w:t>obegränsad tid</w:t>
      </w:r>
    </w:p>
    <w:p>
      <w:pPr>
        <w:pStyle w:val="ListDash1"/>
        <w:rPr>
          <w:noProof/>
        </w:rPr>
      </w:pPr>
      <w:r>
        <w:rPr>
          <w:noProof/>
        </w:rPr>
        <w:t>Efter en inledande period ÅÅÅÅ–ÅÅÅÅ,</w:t>
      </w:r>
    </w:p>
    <w:p>
      <w:pPr>
        <w:pStyle w:val="ListDash1"/>
        <w:rPr>
          <w:noProof/>
        </w:rPr>
      </w:pPr>
      <w:r>
        <w:rPr>
          <w:noProof/>
        </w:rPr>
        <w:t>beräknas genomförandetakten nå en stabil nivå.</w:t>
      </w:r>
    </w:p>
    <w:p>
      <w:pPr>
        <w:pStyle w:val="ManualHeading2"/>
        <w:rPr>
          <w:bCs/>
          <w:noProof/>
          <w:szCs w:val="24"/>
        </w:rPr>
      </w:pPr>
      <w:r>
        <w:rPr>
          <w:noProof/>
        </w:rPr>
        <w:t>1.7.</w:t>
      </w:r>
      <w:r>
        <w:rPr>
          <w:noProof/>
        </w:rPr>
        <w:tab/>
        <w:t>Planerad metod för genomförandet</w:t>
      </w:r>
      <w:r>
        <w:rPr>
          <w:rStyle w:val="FootnoteReference"/>
          <w:noProof/>
        </w:rPr>
        <w:footnoteReference w:id="9"/>
      </w:r>
      <w:r>
        <w:rPr>
          <w:rStyle w:val="FootnoteReference"/>
          <w:noProof/>
        </w:rPr>
        <w:t xml:space="preserve"> </w:t>
      </w:r>
    </w:p>
    <w:p>
      <w:pPr>
        <w:pStyle w:val="Text1"/>
        <w:rPr>
          <w:noProof/>
        </w:rPr>
      </w:pPr>
      <w:r>
        <w:rPr>
          <w:noProof/>
        </w:rPr>
        <w:sym w:font="Wingdings" w:char="F0A8"/>
      </w:r>
      <w:r>
        <w:rPr>
          <w:noProof/>
        </w:rPr>
        <w:t xml:space="preserve"> </w:t>
      </w:r>
      <w:r>
        <w:rPr>
          <w:b/>
          <w:noProof/>
        </w:rPr>
        <w:t>Direkt förvaltning</w:t>
      </w:r>
      <w:r>
        <w:rPr>
          <w:noProof/>
        </w:rPr>
        <w:t xml:space="preserve"> som sköts av kommissionen</w:t>
      </w:r>
    </w:p>
    <w:p>
      <w:pPr>
        <w:pStyle w:val="ListDash2"/>
        <w:rPr>
          <w:rFonts w:cs="EUAlbertina"/>
          <w:noProof/>
        </w:rPr>
      </w:pPr>
      <w:r>
        <w:rPr>
          <w:noProof/>
        </w:rPr>
        <w:sym w:font="Wingdings" w:char="F0A8"/>
      </w:r>
      <w:r>
        <w:rPr>
          <w:noProof/>
        </w:rPr>
        <w:t xml:space="preserve"> inom dess avdelningar, vilket också inbegriper personalen vid unionens delegationer </w:t>
      </w:r>
    </w:p>
    <w:p>
      <w:pPr>
        <w:pStyle w:val="ListDash2"/>
        <w:rPr>
          <w:noProof/>
        </w:rPr>
      </w:pPr>
      <w:r>
        <w:rPr>
          <w:noProof/>
        </w:rPr>
        <w:sym w:font="Wingdings" w:char="F0A8"/>
      </w:r>
      <w:r>
        <w:rPr>
          <w:noProof/>
        </w:rPr>
        <w:t xml:space="preserve"> via genomförandeorgan </w:t>
      </w:r>
    </w:p>
    <w:p>
      <w:pPr>
        <w:pStyle w:val="Text1"/>
        <w:rPr>
          <w:noProof/>
        </w:rPr>
      </w:pPr>
      <w:r>
        <w:rPr>
          <w:noProof/>
        </w:rPr>
        <w:sym w:font="Wingdings" w:char="F078"/>
      </w:r>
      <w:r>
        <w:rPr>
          <w:noProof/>
        </w:rPr>
        <w:t xml:space="preserve"> </w:t>
      </w:r>
      <w:r>
        <w:rPr>
          <w:b/>
          <w:noProof/>
        </w:rPr>
        <w:t>Delad förvaltning</w:t>
      </w:r>
      <w:r>
        <w:rPr>
          <w:noProof/>
        </w:rPr>
        <w:t xml:space="preserve"> med medlemsstaterna </w:t>
      </w:r>
    </w:p>
    <w:p>
      <w:pPr>
        <w:pStyle w:val="Text1"/>
        <w:rPr>
          <w:noProof/>
        </w:rPr>
      </w:pPr>
      <w:r>
        <w:rPr>
          <w:noProof/>
        </w:rPr>
        <w:sym w:font="Wingdings" w:char="F0A8"/>
      </w:r>
      <w:r>
        <w:rPr>
          <w:noProof/>
        </w:rPr>
        <w:t xml:space="preserve"> </w:t>
      </w:r>
      <w:r>
        <w:rPr>
          <w:b/>
          <w:noProof/>
        </w:rPr>
        <w:t>Indirekt förvaltning</w:t>
      </w:r>
      <w:r>
        <w:rPr>
          <w:noProof/>
        </w:rPr>
        <w:t xml:space="preserve"> genom att uppgifter som ingår i budgetgenomförandet delegeras till</w:t>
      </w:r>
    </w:p>
    <w:p>
      <w:pPr>
        <w:pStyle w:val="ListDash2"/>
        <w:rPr>
          <w:noProof/>
        </w:rPr>
      </w:pPr>
      <w:r>
        <w:rPr>
          <w:noProof/>
        </w:rPr>
        <w:sym w:font="Wingdings" w:char="F0A8"/>
      </w:r>
      <w:r>
        <w:rPr>
          <w:noProof/>
        </w:rPr>
        <w:t xml:space="preserve"> tredjeländer eller organ som de har utsett</w:t>
      </w:r>
    </w:p>
    <w:p>
      <w:pPr>
        <w:pStyle w:val="ListDash2"/>
        <w:rPr>
          <w:noProof/>
        </w:rPr>
      </w:pPr>
      <w:r>
        <w:rPr>
          <w:noProof/>
        </w:rPr>
        <w:sym w:font="Wingdings" w:char="F0A8"/>
      </w:r>
      <w:r>
        <w:rPr>
          <w:noProof/>
        </w:rPr>
        <w:t xml:space="preserve"> internationella organisationer och organ kopplade till dem (ange vilka)</w:t>
      </w:r>
    </w:p>
    <w:p>
      <w:pPr>
        <w:pStyle w:val="ListDash2"/>
        <w:rPr>
          <w:noProof/>
        </w:rPr>
      </w:pPr>
      <w:r>
        <w:rPr>
          <w:noProof/>
        </w:rPr>
        <w:sym w:font="Wingdings" w:char="F0A8"/>
      </w:r>
      <w:r>
        <w:rPr>
          <w:noProof/>
        </w:rPr>
        <w:t xml:space="preserve"> EIB och Europeiska investeringsfonden</w:t>
      </w:r>
    </w:p>
    <w:p>
      <w:pPr>
        <w:pStyle w:val="ListDash2"/>
        <w:rPr>
          <w:noProof/>
        </w:rPr>
      </w:pPr>
      <w:r>
        <w:rPr>
          <w:noProof/>
        </w:rPr>
        <w:sym w:font="Wingdings" w:char="F0A8"/>
      </w:r>
      <w:r>
        <w:rPr>
          <w:noProof/>
        </w:rPr>
        <w:t xml:space="preserve"> organ som avses i artiklarna 208 och 209 i budgetförordningen</w:t>
      </w:r>
    </w:p>
    <w:p>
      <w:pPr>
        <w:pStyle w:val="ListDash2"/>
        <w:rPr>
          <w:noProof/>
        </w:rPr>
      </w:pPr>
      <w:r>
        <w:rPr>
          <w:noProof/>
        </w:rPr>
        <w:sym w:font="Wingdings" w:char="F0A8"/>
      </w:r>
      <w:r>
        <w:rPr>
          <w:noProof/>
        </w:rPr>
        <w:t xml:space="preserve"> offentligrättsliga organ</w:t>
      </w:r>
    </w:p>
    <w:p>
      <w:pPr>
        <w:pStyle w:val="ListDash2"/>
        <w:rPr>
          <w:noProof/>
        </w:rPr>
      </w:pPr>
      <w:r>
        <w:rPr>
          <w:noProof/>
        </w:rPr>
        <w:sym w:font="Wingdings" w:char="F0A8"/>
      </w:r>
      <w:r>
        <w:rPr>
          <w:noProof/>
        </w:rPr>
        <w:t xml:space="preserve"> privaträttsliga organ som anförtrotts uppgifter som faller inom offentlig förvaltning och som lämnat tillräckliga ekonomiska garantier</w:t>
      </w:r>
    </w:p>
    <w:p>
      <w:pPr>
        <w:pStyle w:val="ListDash2"/>
        <w:rPr>
          <w:noProof/>
        </w:rPr>
      </w:pPr>
      <w:r>
        <w:rPr>
          <w:noProof/>
        </w:rPr>
        <w:sym w:font="Wingdings" w:char="F0A8"/>
      </w:r>
      <w:r>
        <w:rPr>
          <w:noProof/>
        </w:rPr>
        <w:t xml:space="preserve"> organ som omfattas av privaträtten i en medlemsstat, som anförtrotts genomförandet av ett offentlig-privat partnerskap och som lämnat tillräckliga ekonomiska garantier</w:t>
      </w:r>
    </w:p>
    <w:p>
      <w:pPr>
        <w:pStyle w:val="ListDash2"/>
        <w:rPr>
          <w:noProof/>
        </w:rPr>
      </w:pPr>
      <w:r>
        <w:rPr>
          <w:noProof/>
        </w:rPr>
        <w:sym w:font="Wingdings" w:char="F0A8"/>
      </w:r>
      <w:r>
        <w:rPr>
          <w:noProof/>
        </w:rPr>
        <w:t xml:space="preserve"> personer som anförtrotts ansvaret för genomförandet av särskilda åtgärder inom Gusp som följer av avdelning V i fördraget om Europeiska unionen och som anges i den grundläggande rättsakten</w:t>
      </w:r>
    </w:p>
    <w:p>
      <w:pPr>
        <w:pStyle w:val="ListDash2"/>
        <w:rPr>
          <w:i/>
          <w:noProof/>
          <w:sz w:val="18"/>
          <w:u w:val="single"/>
        </w:rPr>
      </w:pPr>
      <w:r>
        <w:rPr>
          <w:i/>
          <w:noProof/>
          <w:sz w:val="18"/>
        </w:rPr>
        <w:t>Vid fler än en metod, ange kompletterande uppgifter under ”Anmärkningar”.</w:t>
      </w:r>
    </w:p>
    <w:p>
      <w:pPr>
        <w:rPr>
          <w:noProof/>
        </w:rPr>
      </w:pPr>
      <w:r>
        <w:rPr>
          <w:noProof/>
        </w:rPr>
        <w:t xml:space="preserve">Anmärkningar </w:t>
      </w:r>
    </w:p>
    <w:p>
      <w:pPr>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1"/>
        <w:rPr>
          <w:bCs/>
          <w:noProof/>
          <w:szCs w:val="24"/>
        </w:rPr>
      </w:pPr>
      <w:r>
        <w:rPr>
          <w:noProof/>
        </w:rPr>
        <w:t>2.</w:t>
      </w:r>
      <w:r>
        <w:rPr>
          <w:noProof/>
        </w:rPr>
        <w:tab/>
        <w:t xml:space="preserve">FÖRVALTNING </w:t>
      </w:r>
    </w:p>
    <w:p>
      <w:pPr>
        <w:pStyle w:val="ManualHeading2"/>
        <w:rPr>
          <w:noProof/>
        </w:rPr>
      </w:pPr>
      <w:r>
        <w:rPr>
          <w:noProof/>
        </w:rPr>
        <w:t>2.1.</w:t>
      </w:r>
      <w:r>
        <w:rPr>
          <w:noProof/>
        </w:rPr>
        <w:tab/>
        <w:t xml:space="preserve">Bestämmelser om uppföljning och rapportering </w:t>
      </w:r>
    </w:p>
    <w:p>
      <w:pPr>
        <w:pStyle w:val="Text1"/>
        <w:rPr>
          <w:i/>
          <w:noProof/>
          <w:sz w:val="20"/>
          <w:u w:val="single"/>
        </w:rPr>
      </w:pPr>
      <w:r>
        <w:rPr>
          <w:i/>
          <w:noProof/>
          <w:sz w:val="20"/>
        </w:rPr>
        <w:t>Ange intervall och andra villkor för sådana åtgärder:</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2"/>
        <w:rPr>
          <w:bCs/>
          <w:noProof/>
          <w:szCs w:val="24"/>
        </w:rPr>
      </w:pPr>
      <w:r>
        <w:rPr>
          <w:noProof/>
        </w:rPr>
        <w:t>2.2.</w:t>
      </w:r>
      <w:r>
        <w:rPr>
          <w:noProof/>
        </w:rPr>
        <w:tab/>
        <w:t xml:space="preserve">Administrations- och kontrollsystem </w:t>
      </w:r>
    </w:p>
    <w:p>
      <w:pPr>
        <w:pStyle w:val="ManualHeading3"/>
        <w:rPr>
          <w:noProof/>
        </w:rPr>
      </w:pPr>
      <w:r>
        <w:rPr>
          <w:noProof/>
        </w:rPr>
        <w:t>2.2.1.</w:t>
      </w:r>
      <w:r>
        <w:rPr>
          <w:noProof/>
        </w:rPr>
        <w:tab/>
        <w:t xml:space="preserve">Risker som identifierats </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3"/>
        <w:rPr>
          <w:bCs/>
          <w:noProof/>
          <w:szCs w:val="24"/>
        </w:rPr>
      </w:pPr>
      <w:r>
        <w:rPr>
          <w:noProof/>
        </w:rPr>
        <w:t>2.2.2.</w:t>
      </w:r>
      <w:r>
        <w:rPr>
          <w:noProof/>
        </w:rPr>
        <w:tab/>
        <w:t>Uppgifter om det interna kontrollsystemet</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3"/>
        <w:rPr>
          <w:noProof/>
        </w:rPr>
      </w:pPr>
      <w:r>
        <w:rPr>
          <w:noProof/>
        </w:rPr>
        <w:t>2.2.3.</w:t>
      </w:r>
      <w:r>
        <w:rPr>
          <w:noProof/>
        </w:rPr>
        <w:tab/>
        <w:t xml:space="preserve">Beräknade kostnader för och fördelar med kontroller – bedömning av förväntad risk för fel </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pStyle w:val="ManualHeading2"/>
        <w:rPr>
          <w:bCs/>
          <w:noProof/>
          <w:szCs w:val="24"/>
        </w:rPr>
      </w:pPr>
      <w:r>
        <w:rPr>
          <w:noProof/>
        </w:rPr>
        <w:t>2.3.</w:t>
      </w:r>
      <w:r>
        <w:rPr>
          <w:noProof/>
        </w:rPr>
        <w:tab/>
        <w:t xml:space="preserve">Åtgärder för att förebygga bedrägeri och oegentligheter/oriktigheter </w:t>
      </w:r>
    </w:p>
    <w:p>
      <w:pPr>
        <w:pStyle w:val="Text1"/>
        <w:rPr>
          <w:i/>
          <w:noProof/>
          <w:sz w:val="20"/>
        </w:rPr>
      </w:pPr>
      <w:r>
        <w:rPr>
          <w:i/>
          <w:noProof/>
          <w:sz w:val="20"/>
        </w:rPr>
        <w:t>Beskriv förebyggande åtgärder (befintliga eller planerade)</w:t>
      </w:r>
    </w:p>
    <w:p>
      <w:pPr>
        <w:pStyle w:val="Text1"/>
        <w:pBdr>
          <w:top w:val="single" w:sz="4" w:space="1" w:color="auto"/>
          <w:left w:val="single" w:sz="4" w:space="4" w:color="auto"/>
          <w:bottom w:val="single" w:sz="4" w:space="1" w:color="auto"/>
          <w:right w:val="single" w:sz="4" w:space="4" w:color="auto"/>
        </w:pBdr>
        <w:rPr>
          <w:noProof/>
        </w:rPr>
      </w:pPr>
      <w:r>
        <w:rPr>
          <w:noProof/>
        </w:rPr>
        <w:t>Ej tillämpligt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BERÄKNADE BUDGETKONSEKVENSER AV FÖRSLAGET ELLER INITIATIVET </w:t>
      </w:r>
    </w:p>
    <w:p>
      <w:pPr>
        <w:pStyle w:val="ManualHeading2"/>
        <w:rPr>
          <w:noProof/>
        </w:rPr>
      </w:pPr>
      <w:r>
        <w:rPr>
          <w:noProof/>
        </w:rPr>
        <w:t>3.1.</w:t>
      </w:r>
      <w:r>
        <w:rPr>
          <w:noProof/>
        </w:rPr>
        <w:tab/>
        <w:t xml:space="preserve">Berörda rubriker i den fleråriga budgetramen och budgetrubriker i den årliga budgetens utgiftsdel </w:t>
      </w:r>
    </w:p>
    <w:p>
      <w:pPr>
        <w:pStyle w:val="ListBullet1"/>
        <w:rPr>
          <w:noProof/>
        </w:rPr>
      </w:pPr>
      <w:r>
        <w:rPr>
          <w:noProof/>
        </w:rPr>
        <w:t xml:space="preserve">Befintliga budgetrubriker (även kallade ”budgetposter”) </w:t>
      </w:r>
    </w:p>
    <w:p>
      <w:pPr>
        <w:pStyle w:val="Text1"/>
        <w:rPr>
          <w:noProof/>
        </w:rPr>
      </w:pPr>
      <w:r>
        <w:rPr>
          <w:noProof/>
        </w:rPr>
        <w:t xml:space="preserve">Redovisa enligt de berörda rubrikerna i den fleråriga budgetramen </w:t>
      </w:r>
      <w:r>
        <w:rPr>
          <w:noProof/>
          <w:u w:val="single"/>
        </w:rPr>
        <w:t>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3840"/>
        <w:gridCol w:w="1080"/>
        <w:gridCol w:w="956"/>
        <w:gridCol w:w="1080"/>
        <w:gridCol w:w="956"/>
        <w:gridCol w:w="1448"/>
      </w:tblGrid>
      <w:tr>
        <w:tc>
          <w:tcPr>
            <w:tcW w:w="1200" w:type="dxa"/>
            <w:vMerge w:val="restart"/>
            <w:vAlign w:val="center"/>
          </w:tcPr>
          <w:p>
            <w:pPr>
              <w:spacing w:before="60" w:after="60"/>
              <w:jc w:val="center"/>
              <w:rPr>
                <w:noProof/>
              </w:rPr>
            </w:pPr>
            <w:r>
              <w:rPr>
                <w:noProof/>
                <w:sz w:val="18"/>
              </w:rPr>
              <w:t>Rubrik i den fleråriga budgetramen</w:t>
            </w:r>
          </w:p>
        </w:tc>
        <w:tc>
          <w:tcPr>
            <w:tcW w:w="3840" w:type="dxa"/>
            <w:vAlign w:val="center"/>
          </w:tcPr>
          <w:p>
            <w:pPr>
              <w:spacing w:before="60" w:after="60"/>
              <w:jc w:val="center"/>
              <w:rPr>
                <w:noProof/>
              </w:rPr>
            </w:pPr>
            <w:r>
              <w:rPr>
                <w:noProof/>
                <w:sz w:val="20"/>
              </w:rPr>
              <w:t>Budgetrubrik</w:t>
            </w:r>
          </w:p>
        </w:tc>
        <w:tc>
          <w:tcPr>
            <w:tcW w:w="1080" w:type="dxa"/>
            <w:vAlign w:val="center"/>
          </w:tcPr>
          <w:p>
            <w:pPr>
              <w:spacing w:before="60" w:after="60"/>
              <w:jc w:val="center"/>
              <w:rPr>
                <w:noProof/>
              </w:rPr>
            </w:pPr>
            <w:r>
              <w:rPr>
                <w:noProof/>
                <w:sz w:val="18"/>
              </w:rPr>
              <w:t xml:space="preserve">Typ av </w:t>
            </w:r>
            <w:r>
              <w:rPr>
                <w:noProof/>
              </w:rPr>
              <w:br/>
            </w:r>
            <w:r>
              <w:rPr>
                <w:noProof/>
                <w:sz w:val="18"/>
              </w:rPr>
              <w:t>anslag</w:t>
            </w:r>
          </w:p>
        </w:tc>
        <w:tc>
          <w:tcPr>
            <w:tcW w:w="4440" w:type="dxa"/>
            <w:gridSpan w:val="4"/>
            <w:vAlign w:val="center"/>
          </w:tcPr>
          <w:p>
            <w:pPr>
              <w:spacing w:before="60" w:after="60"/>
              <w:jc w:val="center"/>
              <w:rPr>
                <w:noProof/>
              </w:rPr>
            </w:pPr>
            <w:r>
              <w:rPr>
                <w:noProof/>
                <w:sz w:val="20"/>
              </w:rPr>
              <w:t xml:space="preserve">Bidrag </w:t>
            </w:r>
          </w:p>
        </w:tc>
      </w:tr>
      <w:tr>
        <w:tc>
          <w:tcPr>
            <w:tcW w:w="1200" w:type="dxa"/>
            <w:vMerge/>
            <w:vAlign w:val="center"/>
          </w:tcPr>
          <w:p>
            <w:pPr>
              <w:jc w:val="center"/>
              <w:rPr>
                <w:noProof/>
              </w:rPr>
            </w:pPr>
          </w:p>
        </w:tc>
        <w:tc>
          <w:tcPr>
            <w:tcW w:w="3840" w:type="dxa"/>
            <w:vAlign w:val="center"/>
          </w:tcPr>
          <w:p>
            <w:pPr>
              <w:rPr>
                <w:noProof/>
              </w:rPr>
            </w:pPr>
            <w:r>
              <w:rPr>
                <w:noProof/>
                <w:sz w:val="20"/>
              </w:rPr>
              <w:t xml:space="preserve">Nummer </w:t>
            </w:r>
            <w:r>
              <w:rPr>
                <w:noProof/>
              </w:rPr>
              <w:br/>
            </w:r>
            <w:r>
              <w:rPr>
                <w:noProof/>
                <w:sz w:val="20"/>
              </w:rPr>
              <w:t>[Beteckning………………………...……………]</w:t>
            </w:r>
          </w:p>
        </w:tc>
        <w:tc>
          <w:tcPr>
            <w:tcW w:w="1080" w:type="dxa"/>
            <w:vAlign w:val="center"/>
          </w:tcPr>
          <w:p>
            <w:pPr>
              <w:jc w:val="center"/>
              <w:rPr>
                <w:noProof/>
              </w:rPr>
            </w:pPr>
            <w:r>
              <w:rPr>
                <w:noProof/>
                <w:sz w:val="18"/>
              </w:rPr>
              <w:t>Diff./Icke-diff.</w:t>
            </w:r>
            <w:r>
              <w:rPr>
                <w:rStyle w:val="FootnoteReference"/>
                <w:noProof/>
                <w:sz w:val="18"/>
              </w:rPr>
              <w:footnoteReference w:id="10"/>
            </w:r>
          </w:p>
        </w:tc>
        <w:tc>
          <w:tcPr>
            <w:tcW w:w="956" w:type="dxa"/>
            <w:vAlign w:val="center"/>
          </w:tcPr>
          <w:p>
            <w:pPr>
              <w:jc w:val="center"/>
              <w:rPr>
                <w:noProof/>
              </w:rPr>
            </w:pPr>
            <w:r>
              <w:rPr>
                <w:noProof/>
                <w:sz w:val="18"/>
              </w:rPr>
              <w:t>från Efta-länder</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från kandidat-länder</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rPr>
            </w:pPr>
            <w:r>
              <w:rPr>
                <w:noProof/>
                <w:sz w:val="16"/>
              </w:rPr>
              <w:t xml:space="preserve">enligt artikel 21.2 b i budget-förordningen </w:t>
            </w:r>
          </w:p>
        </w:tc>
      </w:tr>
      <w:tr>
        <w:tc>
          <w:tcPr>
            <w:tcW w:w="1200" w:type="dxa"/>
            <w:shd w:val="clear" w:color="auto" w:fill="auto"/>
            <w:vAlign w:val="center"/>
          </w:tcPr>
          <w:p>
            <w:pPr>
              <w:jc w:val="center"/>
              <w:rPr>
                <w:noProof/>
                <w:color w:val="0000FF"/>
              </w:rPr>
            </w:pPr>
            <w:r>
              <w:rPr>
                <w:noProof/>
              </w:rPr>
              <w:t>1 Smart tillväxt för alla</w:t>
            </w:r>
          </w:p>
        </w:tc>
        <w:tc>
          <w:tcPr>
            <w:tcW w:w="3840" w:type="dxa"/>
            <w:vAlign w:val="center"/>
          </w:tcPr>
          <w:p>
            <w:pPr>
              <w:spacing w:after="60"/>
              <w:rPr>
                <w:noProof/>
              </w:rPr>
            </w:pPr>
            <w:r>
              <w:rPr>
                <w:noProof/>
              </w:rPr>
              <w:t>04 02 60 – Europeiska socialfonden – Mindre utvecklade regioner – Investera i tillväxt och sysselsättning</w:t>
            </w:r>
          </w:p>
          <w:p>
            <w:pPr>
              <w:spacing w:after="60"/>
              <w:rPr>
                <w:noProof/>
              </w:rPr>
            </w:pPr>
            <w:r>
              <w:rPr>
                <w:noProof/>
              </w:rPr>
              <w:t>04 02 61 – Europeiska socialfonden – Övergångsregioner – Investera i tillväxt och sysselsättning</w:t>
            </w:r>
          </w:p>
          <w:p>
            <w:pPr>
              <w:spacing w:after="60"/>
              <w:rPr>
                <w:noProof/>
              </w:rPr>
            </w:pPr>
            <w:r>
              <w:rPr>
                <w:noProof/>
              </w:rPr>
              <w:t>04 02 62 – Europeiska socialfonden – Mer utvecklade regioner – Investera i tillväxt och sysselsättning</w:t>
            </w:r>
          </w:p>
          <w:p>
            <w:pPr>
              <w:spacing w:after="60"/>
              <w:rPr>
                <w:noProof/>
              </w:rPr>
            </w:pPr>
            <w:r>
              <w:rPr>
                <w:noProof/>
              </w:rPr>
              <w:t>04 02 64 – Sysselsättningsinitiativ för ungdomar</w:t>
            </w:r>
          </w:p>
          <w:p>
            <w:pPr>
              <w:spacing w:after="60"/>
              <w:rPr>
                <w:noProof/>
              </w:rPr>
            </w:pPr>
            <w:r>
              <w:rPr>
                <w:noProof/>
              </w:rPr>
              <w:t xml:space="preserve">13 03 60 – Europeiska regionala utvecklingsfonden (Eruf) – Mindre utvecklade regioner – Målet Investering för tillväxt och sysselsättning </w:t>
            </w:r>
          </w:p>
          <w:p>
            <w:pPr>
              <w:spacing w:after="60"/>
              <w:rPr>
                <w:noProof/>
              </w:rPr>
            </w:pPr>
            <w:r>
              <w:rPr>
                <w:noProof/>
              </w:rPr>
              <w:t xml:space="preserve">13 03 61 – Europeiska regionala utvecklingsfonden (Eruf) – Övergångsregioner – Målet Investering för tillväxt och sysselsättning </w:t>
            </w:r>
          </w:p>
          <w:p>
            <w:pPr>
              <w:spacing w:after="60"/>
              <w:rPr>
                <w:noProof/>
              </w:rPr>
            </w:pPr>
            <w:r>
              <w:rPr>
                <w:noProof/>
              </w:rPr>
              <w:t xml:space="preserve">13 03 62 – Europeiska regionala utvecklingsfonden (Eruf) – Mer utvecklade regioner – Målet Investering för tillväxt och sysselsättning </w:t>
            </w:r>
          </w:p>
          <w:p>
            <w:pPr>
              <w:spacing w:after="60"/>
              <w:rPr>
                <w:bCs/>
                <w:iCs/>
                <w:noProof/>
              </w:rPr>
            </w:pPr>
            <w:r>
              <w:rPr>
                <w:noProof/>
              </w:rPr>
              <w:t>13 03 63 – Europeiska regionala utvecklingsfonden (Eruf) – Tilläggsanslag för de yttersta randområdena och glesbefolkade regioner – Målet Investering för tillväxt och sysselsättning</w:t>
            </w:r>
          </w:p>
          <w:p>
            <w:pPr>
              <w:spacing w:after="60"/>
              <w:rPr>
                <w:bCs/>
                <w:iCs/>
                <w:noProof/>
              </w:rPr>
            </w:pPr>
            <w:r>
              <w:rPr>
                <w:noProof/>
              </w:rPr>
              <w:t>13 03 64 01 – Europeiska regionala utvecklingsfonden (Eruf) – Europeiskt territoriellt samarbete</w:t>
            </w:r>
          </w:p>
          <w:p>
            <w:pPr>
              <w:spacing w:after="60"/>
              <w:rPr>
                <w:noProof/>
              </w:rPr>
            </w:pPr>
            <w:r>
              <w:rPr>
                <w:noProof/>
              </w:rPr>
              <w:t>13 04 60 – Sammanhållningsfonden – Målet investering för tillväxt och sysselsättning</w:t>
            </w:r>
          </w:p>
        </w:tc>
        <w:tc>
          <w:tcPr>
            <w:tcW w:w="1080" w:type="dxa"/>
            <w:vAlign w:val="center"/>
          </w:tcPr>
          <w:p>
            <w:pPr>
              <w:jc w:val="center"/>
              <w:rPr>
                <w:noProof/>
                <w:color w:val="0000FF"/>
              </w:rPr>
            </w:pPr>
            <w:r>
              <w:rPr>
                <w:noProof/>
              </w:rPr>
              <w:t>Diff.</w:t>
            </w:r>
          </w:p>
        </w:tc>
        <w:tc>
          <w:tcPr>
            <w:tcW w:w="956" w:type="dxa"/>
            <w:vAlign w:val="center"/>
          </w:tcPr>
          <w:p>
            <w:pPr>
              <w:jc w:val="center"/>
              <w:rPr>
                <w:noProof/>
              </w:rPr>
            </w:pPr>
            <w:r>
              <w:rPr>
                <w:noProof/>
              </w:rPr>
              <w:t>NEJ</w:t>
            </w:r>
          </w:p>
        </w:tc>
        <w:tc>
          <w:tcPr>
            <w:tcW w:w="1080" w:type="dxa"/>
            <w:vAlign w:val="center"/>
          </w:tcPr>
          <w:p>
            <w:pPr>
              <w:jc w:val="center"/>
              <w:rPr>
                <w:noProof/>
              </w:rPr>
            </w:pPr>
            <w:r>
              <w:rPr>
                <w:noProof/>
              </w:rPr>
              <w:t>NEJ</w:t>
            </w:r>
          </w:p>
        </w:tc>
        <w:tc>
          <w:tcPr>
            <w:tcW w:w="956" w:type="dxa"/>
            <w:vAlign w:val="center"/>
          </w:tcPr>
          <w:p>
            <w:pPr>
              <w:jc w:val="center"/>
              <w:rPr>
                <w:noProof/>
              </w:rPr>
            </w:pPr>
            <w:r>
              <w:rPr>
                <w:noProof/>
              </w:rPr>
              <w:t>NEJ</w:t>
            </w:r>
          </w:p>
        </w:tc>
        <w:tc>
          <w:tcPr>
            <w:tcW w:w="1448" w:type="dxa"/>
            <w:vAlign w:val="center"/>
          </w:tcPr>
          <w:p>
            <w:pPr>
              <w:jc w:val="center"/>
              <w:rPr>
                <w:noProof/>
              </w:rPr>
            </w:pPr>
            <w:r>
              <w:rPr>
                <w:noProof/>
              </w:rPr>
              <w:t>NEJ</w:t>
            </w:r>
          </w:p>
        </w:tc>
      </w:tr>
    </w:tbl>
    <w:p>
      <w:pPr>
        <w:rPr>
          <w:noProof/>
        </w:rPr>
      </w:pPr>
    </w:p>
    <w:p>
      <w:pPr>
        <w:pStyle w:val="ListBullet1"/>
        <w:rPr>
          <w:noProof/>
        </w:rPr>
      </w:pPr>
      <w:r>
        <w:rPr>
          <w:noProof/>
        </w:rPr>
        <w:t xml:space="preserve">Nya budgetrubriker som föreslås </w:t>
      </w:r>
    </w:p>
    <w:p>
      <w:pPr>
        <w:pStyle w:val="Text1"/>
        <w:rPr>
          <w:i/>
          <w:noProof/>
          <w:sz w:val="20"/>
        </w:rPr>
      </w:pPr>
      <w:r>
        <w:rPr>
          <w:i/>
          <w:noProof/>
        </w:rPr>
        <w:t xml:space="preserve">Redovisa enligt de berörda rubrikerna i den fleråriga budgetramen </w:t>
      </w:r>
      <w:r>
        <w:rPr>
          <w:i/>
          <w:noProof/>
          <w:u w:val="single"/>
        </w:rPr>
        <w:t>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Rubrik i den fleråriga budgetramen</w:t>
            </w:r>
          </w:p>
        </w:tc>
        <w:tc>
          <w:tcPr>
            <w:tcW w:w="3960" w:type="dxa"/>
            <w:vAlign w:val="center"/>
          </w:tcPr>
          <w:p>
            <w:pPr>
              <w:spacing w:before="60" w:after="60"/>
              <w:jc w:val="center"/>
              <w:rPr>
                <w:noProof/>
              </w:rPr>
            </w:pPr>
            <w:r>
              <w:rPr>
                <w:noProof/>
                <w:sz w:val="20"/>
              </w:rPr>
              <w:t>Budgetrubrik</w:t>
            </w:r>
          </w:p>
        </w:tc>
        <w:tc>
          <w:tcPr>
            <w:tcW w:w="1080" w:type="dxa"/>
            <w:vAlign w:val="center"/>
          </w:tcPr>
          <w:p>
            <w:pPr>
              <w:spacing w:before="60" w:after="60"/>
              <w:jc w:val="center"/>
              <w:rPr>
                <w:noProof/>
              </w:rPr>
            </w:pPr>
            <w:r>
              <w:rPr>
                <w:noProof/>
                <w:sz w:val="18"/>
              </w:rPr>
              <w:t xml:space="preserve">Typ av </w:t>
            </w:r>
            <w:r>
              <w:rPr>
                <w:noProof/>
              </w:rPr>
              <w:br/>
            </w:r>
            <w:r>
              <w:rPr>
                <w:noProof/>
                <w:sz w:val="18"/>
              </w:rPr>
              <w:t>anslag</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Nummer </w:t>
            </w:r>
            <w:r>
              <w:rPr>
                <w:noProof/>
              </w:rPr>
              <w:br/>
            </w:r>
            <w:r>
              <w:rPr>
                <w:noProof/>
                <w:sz w:val="20"/>
              </w:rPr>
              <w:t>[Beteckning………………………...……………]</w:t>
            </w:r>
          </w:p>
        </w:tc>
        <w:tc>
          <w:tcPr>
            <w:tcW w:w="1080" w:type="dxa"/>
            <w:vAlign w:val="center"/>
          </w:tcPr>
          <w:p>
            <w:pPr>
              <w:jc w:val="center"/>
              <w:rPr>
                <w:noProof/>
              </w:rPr>
            </w:pPr>
            <w:r>
              <w:rPr>
                <w:noProof/>
                <w:sz w:val="18"/>
              </w:rPr>
              <w:t>Diff./Icke-diff.</w:t>
            </w:r>
          </w:p>
        </w:tc>
        <w:tc>
          <w:tcPr>
            <w:tcW w:w="956" w:type="dxa"/>
            <w:vAlign w:val="center"/>
          </w:tcPr>
          <w:p>
            <w:pPr>
              <w:jc w:val="center"/>
              <w:rPr>
                <w:noProof/>
                <w:sz w:val="18"/>
              </w:rPr>
            </w:pPr>
            <w:r>
              <w:rPr>
                <w:noProof/>
                <w:sz w:val="18"/>
              </w:rPr>
              <w:t>från Efta-länder</w:t>
            </w:r>
          </w:p>
        </w:tc>
        <w:tc>
          <w:tcPr>
            <w:tcW w:w="1080" w:type="dxa"/>
            <w:vAlign w:val="center"/>
          </w:tcPr>
          <w:p>
            <w:pPr>
              <w:jc w:val="center"/>
              <w:rPr>
                <w:noProof/>
                <w:sz w:val="18"/>
              </w:rPr>
            </w:pPr>
            <w:r>
              <w:rPr>
                <w:noProof/>
                <w:sz w:val="18"/>
              </w:rPr>
              <w:t>från kandidat-länder</w:t>
            </w: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rPr>
            </w:pPr>
            <w:r>
              <w:rPr>
                <w:noProof/>
                <w:sz w:val="16"/>
              </w:rPr>
              <w:t xml:space="preserve">enligt artikel 21.2 b i budget-förordningen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rPr>
              <w:t>JA/NEJ</w:t>
            </w:r>
          </w:p>
        </w:tc>
        <w:tc>
          <w:tcPr>
            <w:tcW w:w="1080" w:type="dxa"/>
            <w:vAlign w:val="center"/>
          </w:tcPr>
          <w:p>
            <w:pPr>
              <w:jc w:val="center"/>
              <w:rPr>
                <w:noProof/>
                <w:color w:val="0000FF"/>
                <w:sz w:val="18"/>
              </w:rPr>
            </w:pPr>
            <w:r>
              <w:rPr>
                <w:noProof/>
              </w:rPr>
              <w:t>JA/NEJ</w:t>
            </w:r>
          </w:p>
        </w:tc>
        <w:tc>
          <w:tcPr>
            <w:tcW w:w="956" w:type="dxa"/>
            <w:vAlign w:val="center"/>
          </w:tcPr>
          <w:p>
            <w:pPr>
              <w:jc w:val="center"/>
              <w:rPr>
                <w:noProof/>
                <w:color w:val="0000FF"/>
                <w:sz w:val="18"/>
              </w:rPr>
            </w:pPr>
            <w:r>
              <w:rPr>
                <w:noProof/>
              </w:rPr>
              <w:t>JA/NEJ</w:t>
            </w:r>
          </w:p>
        </w:tc>
        <w:tc>
          <w:tcPr>
            <w:tcW w:w="1448" w:type="dxa"/>
            <w:vAlign w:val="center"/>
          </w:tcPr>
          <w:p>
            <w:pPr>
              <w:jc w:val="center"/>
              <w:rPr>
                <w:noProof/>
              </w:rPr>
            </w:pPr>
            <w:r>
              <w:rPr>
                <w:noProof/>
              </w:rPr>
              <w:t>JA/NEJ</w:t>
            </w:r>
          </w:p>
        </w:tc>
      </w:tr>
    </w:tbl>
    <w:p>
      <w:pPr>
        <w:pStyle w:val="Institutionquisigne"/>
        <w:rPr>
          <w:noProof/>
        </w:rPr>
        <w:sectPr>
          <w:pgSz w:w="11907" w:h="16839"/>
          <w:pgMar w:top="1134" w:right="1417" w:bottom="1134" w:left="1417" w:header="709" w:footer="709" w:gutter="0"/>
          <w:cols w:space="708"/>
          <w:docGrid w:linePitch="360"/>
        </w:sectPr>
      </w:pPr>
    </w:p>
    <w:p>
      <w:pPr>
        <w:pStyle w:val="ManualHeading2"/>
        <w:rPr>
          <w:bCs/>
          <w:noProof/>
          <w:szCs w:val="24"/>
        </w:rPr>
      </w:pPr>
      <w:r>
        <w:rPr>
          <w:noProof/>
        </w:rPr>
        <w:t>3.2.</w:t>
      </w:r>
      <w:r>
        <w:rPr>
          <w:noProof/>
        </w:rPr>
        <w:tab/>
        <w:t xml:space="preserve">Beräknad inverkan på utgifterna </w:t>
      </w:r>
    </w:p>
    <w:p>
      <w:pPr>
        <w:pBdr>
          <w:top w:val="nil"/>
          <w:left w:val="nil"/>
          <w:bottom w:val="nil"/>
          <w:right w:val="nil"/>
          <w:between w:val="nil"/>
          <w:bar w:val="nil"/>
        </w:pBdr>
        <w:spacing w:before="0" w:after="240"/>
        <w:rPr>
          <w:noProof/>
        </w:rPr>
      </w:pPr>
      <w:r>
        <w:rPr>
          <w:noProof/>
        </w:rPr>
        <w:t xml:space="preserve">Åtagandebemyndiganden för det särskilda anslaget för sysselsättningsinitiativet för unga för 2018 ska ökas med 116,7 miljoner EUR i löpande priser och beloppet för 2020 ska minskas med samma belopp.  Betalningsbemyndigandena har anpassats enligt ändringen. </w:t>
      </w:r>
    </w:p>
    <w:p>
      <w:pPr>
        <w:pStyle w:val="ManualHeading3"/>
        <w:rPr>
          <w:noProof/>
          <w:u w:val="single"/>
        </w:rPr>
      </w:pPr>
      <w:r>
        <w:rPr>
          <w:noProof/>
        </w:rPr>
        <w:t>3.2.1.</w:t>
      </w:r>
      <w:r>
        <w:rPr>
          <w:noProof/>
        </w:rPr>
        <w:tab/>
        <w:t xml:space="preserve">Sammanfattning av den beräknade inverkan på utgifterna </w:t>
      </w:r>
    </w:p>
    <w:p>
      <w:pPr>
        <w:jc w:val="right"/>
        <w:rPr>
          <w:noProof/>
          <w:sz w:val="20"/>
        </w:rPr>
      </w:pPr>
      <w:r>
        <w:rPr>
          <w:noProof/>
          <w:sz w:val="20"/>
        </w:rPr>
        <w:t xml:space="preserve">Euro, löpande priser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1080"/>
        <w:gridCol w:w="7817"/>
      </w:tblGrid>
      <w:tr>
        <w:trPr>
          <w:jc w:val="center"/>
        </w:trPr>
        <w:tc>
          <w:tcPr>
            <w:tcW w:w="5351" w:type="dxa"/>
            <w:shd w:val="thinDiagStripe" w:color="C0C0C0" w:fill="auto"/>
            <w:vAlign w:val="center"/>
          </w:tcPr>
          <w:p>
            <w:pPr>
              <w:spacing w:before="60" w:after="60"/>
              <w:jc w:val="center"/>
              <w:rPr>
                <w:b/>
                <w:noProof/>
              </w:rPr>
            </w:pPr>
            <w:r>
              <w:rPr>
                <w:b/>
                <w:noProof/>
              </w:rPr>
              <w:t xml:space="preserve">Rubrik i den fleråriga </w:t>
            </w:r>
            <w:r>
              <w:rPr>
                <w:noProof/>
              </w:rPr>
              <w:br/>
            </w:r>
            <w:r>
              <w:rPr>
                <w:b/>
                <w:noProof/>
              </w:rPr>
              <w:t xml:space="preserve">budgetramen </w:t>
            </w:r>
          </w:p>
        </w:tc>
        <w:tc>
          <w:tcPr>
            <w:tcW w:w="1080" w:type="dxa"/>
            <w:vAlign w:val="center"/>
          </w:tcPr>
          <w:p>
            <w:pPr>
              <w:spacing w:before="60" w:after="60"/>
              <w:jc w:val="center"/>
              <w:rPr>
                <w:noProof/>
              </w:rPr>
            </w:pPr>
            <w:r>
              <w:rPr>
                <w:noProof/>
                <w:sz w:val="22"/>
              </w:rPr>
              <w:t>Nummer</w:t>
            </w:r>
          </w:p>
          <w:p>
            <w:pPr>
              <w:spacing w:before="60" w:after="60"/>
              <w:jc w:val="center"/>
              <w:rPr>
                <w:noProof/>
              </w:rPr>
            </w:pPr>
            <w:r>
              <w:rPr>
                <w:noProof/>
                <w:sz w:val="22"/>
              </w:rPr>
              <w:t>1</w:t>
            </w:r>
          </w:p>
        </w:tc>
        <w:tc>
          <w:tcPr>
            <w:tcW w:w="7817" w:type="dxa"/>
            <w:vAlign w:val="center"/>
          </w:tcPr>
          <w:p>
            <w:pPr>
              <w:spacing w:before="60" w:after="60"/>
              <w:rPr>
                <w:noProof/>
              </w:rPr>
            </w:pPr>
            <w:r>
              <w:rPr>
                <w:noProof/>
              </w:rPr>
              <w:t>Smart tillväxt för alla</w:t>
            </w:r>
          </w:p>
        </w:tc>
      </w:tr>
    </w:tbl>
    <w:p>
      <w:pPr>
        <w:rPr>
          <w:noProof/>
          <w:sz w:val="16"/>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425"/>
        <w:gridCol w:w="709"/>
        <w:gridCol w:w="708"/>
        <w:gridCol w:w="709"/>
        <w:gridCol w:w="1276"/>
        <w:gridCol w:w="1276"/>
        <w:gridCol w:w="1275"/>
        <w:gridCol w:w="1276"/>
        <w:gridCol w:w="1518"/>
      </w:tblGrid>
      <w:tr>
        <w:tc>
          <w:tcPr>
            <w:tcW w:w="2203" w:type="dxa"/>
            <w:vAlign w:val="center"/>
          </w:tcPr>
          <w:p>
            <w:pPr>
              <w:jc w:val="center"/>
              <w:rPr>
                <w:noProof/>
              </w:rPr>
            </w:pPr>
            <w:r>
              <w:rPr>
                <w:noProof/>
                <w:sz w:val="22"/>
              </w:rPr>
              <w:t xml:space="preserve">GD </w:t>
            </w:r>
            <w:r>
              <w:rPr>
                <w:noProof/>
              </w:rPr>
              <w:t xml:space="preserve">EMPL, REGIO </w:t>
            </w:r>
          </w:p>
        </w:tc>
        <w:tc>
          <w:tcPr>
            <w:tcW w:w="3119" w:type="dxa"/>
          </w:tcPr>
          <w:p>
            <w:pPr>
              <w:rPr>
                <w:noProof/>
                <w:sz w:val="20"/>
              </w:rPr>
            </w:pPr>
          </w:p>
        </w:tc>
        <w:tc>
          <w:tcPr>
            <w:tcW w:w="425" w:type="dxa"/>
          </w:tcPr>
          <w:p>
            <w:pPr>
              <w:jc w:val="center"/>
              <w:rPr>
                <w:noProof/>
                <w:sz w:val="20"/>
              </w:rPr>
            </w:pPr>
          </w:p>
        </w:tc>
        <w:tc>
          <w:tcPr>
            <w:tcW w:w="709" w:type="dxa"/>
          </w:tcPr>
          <w:p>
            <w:pPr>
              <w:rPr>
                <w:noProof/>
              </w:rPr>
            </w:pPr>
            <w:r>
              <w:rPr>
                <w:noProof/>
              </w:rPr>
              <w:t>2014</w:t>
            </w:r>
          </w:p>
        </w:tc>
        <w:tc>
          <w:tcPr>
            <w:tcW w:w="708" w:type="dxa"/>
          </w:tcPr>
          <w:p>
            <w:pPr>
              <w:rPr>
                <w:noProof/>
              </w:rPr>
            </w:pPr>
            <w:r>
              <w:rPr>
                <w:noProof/>
              </w:rPr>
              <w:t>2015</w:t>
            </w:r>
          </w:p>
        </w:tc>
        <w:tc>
          <w:tcPr>
            <w:tcW w:w="709" w:type="dxa"/>
          </w:tcPr>
          <w:p>
            <w:pPr>
              <w:rPr>
                <w:noProof/>
              </w:rPr>
            </w:pPr>
            <w:r>
              <w:rPr>
                <w:noProof/>
              </w:rPr>
              <w:t>2016</w:t>
            </w:r>
          </w:p>
        </w:tc>
        <w:tc>
          <w:tcPr>
            <w:tcW w:w="1276" w:type="dxa"/>
          </w:tcPr>
          <w:p>
            <w:pPr>
              <w:rPr>
                <w:noProof/>
              </w:rPr>
            </w:pPr>
            <w:r>
              <w:rPr>
                <w:noProof/>
              </w:rPr>
              <w:t>2017</w:t>
            </w:r>
          </w:p>
        </w:tc>
        <w:tc>
          <w:tcPr>
            <w:tcW w:w="1276" w:type="dxa"/>
          </w:tcPr>
          <w:p>
            <w:pPr>
              <w:rPr>
                <w:noProof/>
              </w:rPr>
            </w:pPr>
            <w:r>
              <w:rPr>
                <w:noProof/>
              </w:rPr>
              <w:t>2018</w:t>
            </w:r>
            <w:r>
              <w:rPr>
                <w:rStyle w:val="FootnoteReference"/>
                <w:noProof/>
              </w:rPr>
              <w:footnoteReference w:id="13"/>
            </w:r>
          </w:p>
        </w:tc>
        <w:tc>
          <w:tcPr>
            <w:tcW w:w="1275" w:type="dxa"/>
          </w:tcPr>
          <w:p>
            <w:pPr>
              <w:rPr>
                <w:noProof/>
              </w:rPr>
            </w:pPr>
            <w:r>
              <w:rPr>
                <w:noProof/>
              </w:rPr>
              <w:t>2019</w:t>
            </w:r>
          </w:p>
        </w:tc>
        <w:tc>
          <w:tcPr>
            <w:tcW w:w="1276" w:type="dxa"/>
          </w:tcPr>
          <w:p>
            <w:pPr>
              <w:rPr>
                <w:noProof/>
              </w:rPr>
            </w:pPr>
            <w:r>
              <w:rPr>
                <w:noProof/>
              </w:rPr>
              <w:t>2020</w:t>
            </w:r>
          </w:p>
        </w:tc>
        <w:tc>
          <w:tcPr>
            <w:tcW w:w="1518" w:type="dxa"/>
            <w:vAlign w:val="center"/>
          </w:tcPr>
          <w:p>
            <w:pPr>
              <w:jc w:val="center"/>
              <w:rPr>
                <w:b/>
                <w:noProof/>
                <w:sz w:val="20"/>
              </w:rPr>
            </w:pPr>
            <w:r>
              <w:rPr>
                <w:b/>
                <w:noProof/>
                <w:sz w:val="20"/>
              </w:rPr>
              <w:t>TOTALT</w:t>
            </w:r>
          </w:p>
        </w:tc>
      </w:tr>
      <w:tr>
        <w:trPr>
          <w:trHeight w:val="213"/>
        </w:trPr>
        <w:tc>
          <w:tcPr>
            <w:tcW w:w="5747" w:type="dxa"/>
            <w:gridSpan w:val="3"/>
            <w:vAlign w:val="center"/>
          </w:tcPr>
          <w:p>
            <w:pPr>
              <w:spacing w:before="20" w:after="20"/>
              <w:rPr>
                <w:noProof/>
                <w:sz w:val="21"/>
              </w:rPr>
            </w:pPr>
            <w:r>
              <w:rPr>
                <w:noProof/>
                <w:sz w:val="21"/>
              </w:rPr>
              <w:sym w:font="Wingdings" w:char="F09F"/>
            </w:r>
            <w:r>
              <w:rPr>
                <w:noProof/>
              </w:rPr>
              <w:t xml:space="preserve"> Driftsanslag</w:t>
            </w:r>
          </w:p>
        </w:tc>
        <w:tc>
          <w:tcPr>
            <w:tcW w:w="709" w:type="dxa"/>
            <w:vAlign w:val="center"/>
          </w:tcPr>
          <w:p>
            <w:pPr>
              <w:rPr>
                <w:noProof/>
                <w:sz w:val="20"/>
              </w:rPr>
            </w:pPr>
          </w:p>
        </w:tc>
        <w:tc>
          <w:tcPr>
            <w:tcW w:w="708" w:type="dxa"/>
            <w:vAlign w:val="center"/>
          </w:tcPr>
          <w:p>
            <w:pPr>
              <w:rPr>
                <w:noProof/>
                <w:sz w:val="20"/>
              </w:rPr>
            </w:pPr>
          </w:p>
        </w:tc>
        <w:tc>
          <w:tcPr>
            <w:tcW w:w="709" w:type="dxa"/>
            <w:vAlign w:val="center"/>
          </w:tcPr>
          <w:p>
            <w:pPr>
              <w:rPr>
                <w:noProof/>
                <w:sz w:val="20"/>
              </w:rPr>
            </w:pPr>
          </w:p>
        </w:tc>
        <w:tc>
          <w:tcPr>
            <w:tcW w:w="1276" w:type="dxa"/>
            <w:vAlign w:val="center"/>
          </w:tcPr>
          <w:p>
            <w:pPr>
              <w:rPr>
                <w:noProof/>
                <w:sz w:val="20"/>
              </w:rPr>
            </w:pPr>
          </w:p>
        </w:tc>
        <w:tc>
          <w:tcPr>
            <w:tcW w:w="1276" w:type="dxa"/>
            <w:vAlign w:val="center"/>
          </w:tcPr>
          <w:p>
            <w:pPr>
              <w:rPr>
                <w:noProof/>
                <w:sz w:val="20"/>
              </w:rPr>
            </w:pPr>
          </w:p>
        </w:tc>
        <w:tc>
          <w:tcPr>
            <w:tcW w:w="1275" w:type="dxa"/>
            <w:vAlign w:val="center"/>
          </w:tcPr>
          <w:p>
            <w:pPr>
              <w:rPr>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277"/>
        </w:trPr>
        <w:tc>
          <w:tcPr>
            <w:tcW w:w="2203" w:type="dxa"/>
            <w:vAlign w:val="center"/>
          </w:tcPr>
          <w:p>
            <w:pPr>
              <w:spacing w:before="60"/>
              <w:rPr>
                <w:noProof/>
                <w:sz w:val="21"/>
              </w:rPr>
            </w:pPr>
            <w:r>
              <w:rPr>
                <w:noProof/>
                <w:sz w:val="21"/>
              </w:rPr>
              <w:t>1b. Ekonomisk, social och territoriell sammanhållning</w:t>
            </w:r>
          </w:p>
          <w:p>
            <w:pPr>
              <w:spacing w:before="60"/>
              <w:rPr>
                <w:noProof/>
              </w:rPr>
            </w:pPr>
            <w:r>
              <w:rPr>
                <w:noProof/>
                <w:sz w:val="21"/>
              </w:rPr>
              <w:t>Europeiska regionala utvecklingsfonden, Europeiska socialfonden, Sammanhållningsfonden</w:t>
            </w:r>
          </w:p>
        </w:tc>
        <w:tc>
          <w:tcPr>
            <w:tcW w:w="3119" w:type="dxa"/>
            <w:vAlign w:val="center"/>
          </w:tcPr>
          <w:p>
            <w:pPr>
              <w:spacing w:before="20" w:after="20"/>
              <w:rPr>
                <w:noProof/>
                <w:sz w:val="18"/>
              </w:rPr>
            </w:pPr>
            <w:r>
              <w:rPr>
                <w:noProof/>
                <w:sz w:val="18"/>
              </w:rPr>
              <w:t xml:space="preserve">Åtaganden </w:t>
            </w:r>
          </w:p>
          <w:p>
            <w:pPr>
              <w:spacing w:before="20" w:after="20"/>
              <w:rPr>
                <w:noProof/>
                <w:sz w:val="18"/>
              </w:rPr>
            </w:pPr>
          </w:p>
          <w:p>
            <w:pPr>
              <w:spacing w:before="20" w:after="20"/>
              <w:rPr>
                <w:noProof/>
                <w:sz w:val="18"/>
              </w:rPr>
            </w:pPr>
          </w:p>
          <w:p>
            <w:pPr>
              <w:spacing w:after="60"/>
              <w:rPr>
                <w:noProof/>
              </w:rPr>
            </w:pPr>
            <w:r>
              <w:rPr>
                <w:noProof/>
              </w:rPr>
              <w:t>04 02 60 – Europeiska socialfonden – Mindre utvecklade regioner – Investera i tillväxt och sysselsättning</w:t>
            </w:r>
          </w:p>
          <w:p>
            <w:pPr>
              <w:spacing w:before="20" w:after="20"/>
              <w:rPr>
                <w:noProof/>
                <w:sz w:val="18"/>
              </w:rPr>
            </w:pPr>
          </w:p>
          <w:p>
            <w:pPr>
              <w:spacing w:after="60"/>
              <w:rPr>
                <w:noProof/>
              </w:rPr>
            </w:pPr>
            <w:r>
              <w:rPr>
                <w:noProof/>
              </w:rPr>
              <w:t>04 02 61 – Europeiska socialfonden – Övergångsregioner – Investera i tillväxt och sysselsättning</w:t>
            </w:r>
          </w:p>
          <w:p>
            <w:pPr>
              <w:spacing w:before="20" w:after="20"/>
              <w:rPr>
                <w:noProof/>
                <w:sz w:val="18"/>
              </w:rPr>
            </w:pPr>
          </w:p>
          <w:p>
            <w:pPr>
              <w:spacing w:after="60"/>
              <w:rPr>
                <w:noProof/>
              </w:rPr>
            </w:pPr>
            <w:r>
              <w:rPr>
                <w:noProof/>
              </w:rPr>
              <w:t xml:space="preserve">04 02 62 – Europeiska socialfonden – Mer utvecklade regioner – Investera i tillväxt och sysselsättning </w:t>
            </w:r>
          </w:p>
          <w:p>
            <w:pPr>
              <w:spacing w:after="60"/>
              <w:rPr>
                <w:noProof/>
              </w:rPr>
            </w:pPr>
            <w:r>
              <w:rPr>
                <w:noProof/>
              </w:rPr>
              <w:t>04 02 64 – Sysselsättningsinitiativ för ungdomar</w:t>
            </w:r>
          </w:p>
          <w:p>
            <w:pPr>
              <w:spacing w:before="20" w:after="20"/>
              <w:rPr>
                <w:noProof/>
                <w:sz w:val="18"/>
              </w:rPr>
            </w:pPr>
          </w:p>
          <w:p>
            <w:pPr>
              <w:spacing w:after="60"/>
              <w:rPr>
                <w:noProof/>
              </w:rPr>
            </w:pPr>
            <w:r>
              <w:rPr>
                <w:noProof/>
              </w:rPr>
              <w:t xml:space="preserve">13 03 60 – Europeiska regionala utvecklingsfonden (Eruf) – Mindre utvecklade regioner – Målet Investering för tillväxt och sysselsättning </w:t>
            </w:r>
          </w:p>
          <w:p>
            <w:pPr>
              <w:spacing w:before="20" w:after="20"/>
              <w:rPr>
                <w:noProof/>
                <w:sz w:val="18"/>
              </w:rPr>
            </w:pPr>
          </w:p>
          <w:p>
            <w:pPr>
              <w:spacing w:after="60"/>
              <w:rPr>
                <w:noProof/>
              </w:rPr>
            </w:pPr>
            <w:r>
              <w:rPr>
                <w:noProof/>
              </w:rPr>
              <w:t xml:space="preserve">13 03 61 – Europeiska regionala utvecklingsfonden (Eruf) – Övergångsregioner – Målet Investering för tillväxt och sysselsättning </w:t>
            </w:r>
          </w:p>
          <w:p>
            <w:pPr>
              <w:spacing w:after="60"/>
              <w:rPr>
                <w:noProof/>
              </w:rPr>
            </w:pPr>
            <w:r>
              <w:rPr>
                <w:noProof/>
              </w:rPr>
              <w:t xml:space="preserve">13 03 62 – Europeiska regionala utvecklingsfonden (Eruf) – Mer utvecklade regioner – Målet Investering för tillväxt och sysselsättning </w:t>
            </w:r>
          </w:p>
          <w:p>
            <w:pPr>
              <w:spacing w:before="20" w:after="20"/>
              <w:rPr>
                <w:noProof/>
                <w:sz w:val="18"/>
              </w:rPr>
            </w:pPr>
          </w:p>
          <w:p>
            <w:pPr>
              <w:spacing w:after="60"/>
              <w:rPr>
                <w:noProof/>
                <w:sz w:val="18"/>
              </w:rPr>
            </w:pPr>
            <w:r>
              <w:rPr>
                <w:noProof/>
              </w:rPr>
              <w:t>13 04 60 – Sammanhållningsfonden – Målet investering för tillväxt och sysselsättning</w:t>
            </w:r>
          </w:p>
          <w:p>
            <w:pPr>
              <w:spacing w:before="20" w:after="20"/>
              <w:rPr>
                <w:noProof/>
                <w:sz w:val="18"/>
              </w:rPr>
            </w:pPr>
          </w:p>
          <w:p>
            <w:pPr>
              <w:spacing w:before="20" w:after="20"/>
              <w:rPr>
                <w:noProof/>
                <w:sz w:val="18"/>
              </w:rPr>
            </w:pPr>
          </w:p>
          <w:p>
            <w:pPr>
              <w:spacing w:before="20" w:after="20"/>
              <w:rPr>
                <w:noProof/>
                <w:sz w:val="18"/>
              </w:rPr>
            </w:pPr>
          </w:p>
        </w:tc>
        <w:tc>
          <w:tcPr>
            <w:tcW w:w="425" w:type="dxa"/>
            <w:vAlign w:val="center"/>
          </w:tcPr>
          <w:p>
            <w:pPr>
              <w:spacing w:before="20" w:after="20"/>
              <w:jc w:val="center"/>
              <w:rPr>
                <w:noProof/>
                <w:sz w:val="14"/>
              </w:rPr>
            </w:pPr>
            <w:r>
              <w:rPr>
                <w:noProof/>
                <w:sz w:val="14"/>
              </w:rPr>
              <w:t>(1)</w:t>
            </w:r>
          </w:p>
        </w:tc>
        <w:tc>
          <w:tcPr>
            <w:tcW w:w="709" w:type="dxa"/>
            <w:vAlign w:val="center"/>
          </w:tcPr>
          <w:p>
            <w:pPr>
              <w:spacing w:before="20" w:after="20"/>
              <w:jc w:val="right"/>
              <w:rPr>
                <w:noProof/>
                <w:sz w:val="20"/>
              </w:rPr>
            </w:pPr>
          </w:p>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 xml:space="preserve">237 320 881 </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251 466 089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87 329 881</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500 000 000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237 320 880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251 466 089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87 329 881</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-26 071 285</w:t>
            </w: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242 067 299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256 495 412</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89 076 479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350 000 000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242 067 299</w:t>
            </w:r>
          </w:p>
          <w:p>
            <w:pPr>
              <w:spacing w:before="20" w:after="20"/>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256 495 411</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89 076 479</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-26 592 711</w:t>
            </w:r>
          </w:p>
        </w:tc>
        <w:tc>
          <w:tcPr>
            <w:tcW w:w="1275"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 xml:space="preserve">246 908 645 </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261 625 320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90 858 008</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233 333 333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246 908 645</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261 625 320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90 858 009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-27 124 565</w:t>
            </w: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251 846 817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266 857 826</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92 675 169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116 666 667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251 846 645</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266 857 826</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92 675 168</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-27 667 056</w:t>
            </w:r>
          </w:p>
        </w:tc>
        <w:tc>
          <w:tcPr>
            <w:tcW w:w="1518" w:type="dxa"/>
            <w:vAlign w:val="center"/>
          </w:tcPr>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978 143 642</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1 036 444 647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359 939 537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1 200 000 000</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978 143 469</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1 036 444 646</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359 939 537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-107 455 617</w:t>
            </w:r>
          </w:p>
        </w:tc>
      </w:tr>
    </w:tbl>
    <w:p>
      <w:pPr>
        <w:rPr>
          <w:noProof/>
        </w:rPr>
      </w:pPr>
      <w:r>
        <w:rPr>
          <w:noProof/>
        </w:rPr>
        <w:br w:type="page"/>
      </w:r>
    </w:p>
    <w:p>
      <w:pPr>
        <w:rPr>
          <w:noProof/>
        </w:rPr>
      </w:pPr>
    </w:p>
    <w:p>
      <w:pPr>
        <w:rPr>
          <w:noProof/>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077"/>
        <w:gridCol w:w="42"/>
        <w:gridCol w:w="425"/>
        <w:gridCol w:w="567"/>
        <w:gridCol w:w="709"/>
        <w:gridCol w:w="567"/>
        <w:gridCol w:w="1417"/>
        <w:gridCol w:w="1418"/>
        <w:gridCol w:w="1417"/>
        <w:gridCol w:w="1418"/>
        <w:gridCol w:w="1417"/>
      </w:tblGrid>
      <w:tr>
        <w:trPr>
          <w:trHeight w:val="85"/>
        </w:trPr>
        <w:tc>
          <w:tcPr>
            <w:tcW w:w="2203" w:type="dxa"/>
          </w:tcPr>
          <w:p>
            <w:pPr>
              <w:jc w:val="center"/>
              <w:rPr>
                <w:noProof/>
                <w:sz w:val="20"/>
              </w:rPr>
            </w:pPr>
            <w:r>
              <w:rPr>
                <w:noProof/>
              </w:rPr>
              <w:br w:type="page"/>
            </w:r>
          </w:p>
        </w:tc>
        <w:tc>
          <w:tcPr>
            <w:tcW w:w="3119" w:type="dxa"/>
            <w:gridSpan w:val="2"/>
            <w:vAlign w:val="center"/>
          </w:tcPr>
          <w:p>
            <w:pPr>
              <w:spacing w:before="20" w:after="20"/>
              <w:rPr>
                <w:noProof/>
                <w:sz w:val="18"/>
              </w:rPr>
            </w:pPr>
            <w:r>
              <w:rPr>
                <w:noProof/>
                <w:sz w:val="18"/>
              </w:rPr>
              <w:t xml:space="preserve">Betalningar </w:t>
            </w:r>
          </w:p>
          <w:p>
            <w:pPr>
              <w:spacing w:after="60"/>
              <w:rPr>
                <w:noProof/>
              </w:rPr>
            </w:pPr>
            <w:r>
              <w:rPr>
                <w:noProof/>
              </w:rPr>
              <w:t>04 02 60 – Europeiska socialfonden – Mindre utvecklade regioner – Investera i tillväxt och sysselsättning</w:t>
            </w:r>
          </w:p>
          <w:p>
            <w:pPr>
              <w:spacing w:after="60"/>
              <w:rPr>
                <w:noProof/>
              </w:rPr>
            </w:pPr>
          </w:p>
          <w:p>
            <w:pPr>
              <w:spacing w:after="60"/>
              <w:rPr>
                <w:noProof/>
              </w:rPr>
            </w:pPr>
            <w:r>
              <w:rPr>
                <w:noProof/>
              </w:rPr>
              <w:t>04 02 61 – Europeiska socialfonden – Övergångsregioner – Investera i tillväxt och sysselsättning</w:t>
            </w:r>
          </w:p>
          <w:p>
            <w:pPr>
              <w:spacing w:after="60"/>
              <w:rPr>
                <w:noProof/>
              </w:rPr>
            </w:pPr>
          </w:p>
          <w:p>
            <w:pPr>
              <w:spacing w:after="60"/>
              <w:rPr>
                <w:noProof/>
              </w:rPr>
            </w:pPr>
            <w:r>
              <w:rPr>
                <w:noProof/>
              </w:rPr>
              <w:t xml:space="preserve">04 02 62 – Europeiska socialfonden – Mer utvecklade regioner – Investera i tillväxt och sysselsättning </w:t>
            </w:r>
          </w:p>
          <w:p>
            <w:pPr>
              <w:spacing w:after="60"/>
              <w:rPr>
                <w:noProof/>
              </w:rPr>
            </w:pPr>
          </w:p>
          <w:p>
            <w:pPr>
              <w:spacing w:after="60"/>
              <w:rPr>
                <w:noProof/>
              </w:rPr>
            </w:pPr>
            <w:r>
              <w:rPr>
                <w:noProof/>
              </w:rPr>
              <w:t>04 02 64 – Sysselsättningsinitiativ för ungdomar</w:t>
            </w:r>
          </w:p>
          <w:p>
            <w:pPr>
              <w:spacing w:after="60"/>
              <w:rPr>
                <w:noProof/>
              </w:rPr>
            </w:pPr>
          </w:p>
          <w:p>
            <w:pPr>
              <w:spacing w:after="60"/>
              <w:rPr>
                <w:noProof/>
              </w:rPr>
            </w:pPr>
            <w:r>
              <w:rPr>
                <w:noProof/>
              </w:rPr>
              <w:t xml:space="preserve">13 03 60 – Europeiska regionala utvecklingsfonden (Eruf) – Mindre utvecklade regioner – Målet Investering för tillväxt och sysselsättning </w:t>
            </w:r>
          </w:p>
          <w:p>
            <w:pPr>
              <w:spacing w:after="60"/>
              <w:rPr>
                <w:noProof/>
              </w:rPr>
            </w:pPr>
          </w:p>
          <w:p>
            <w:pPr>
              <w:spacing w:after="60"/>
              <w:rPr>
                <w:noProof/>
              </w:rPr>
            </w:pPr>
            <w:r>
              <w:rPr>
                <w:noProof/>
              </w:rPr>
              <w:t xml:space="preserve">13 03 61 – Europeiska regionala utvecklingsfonden (Eruf) – Övergångsregioner – Målet Investering för tillväxt och sysselsättning </w:t>
            </w:r>
          </w:p>
          <w:p>
            <w:pPr>
              <w:spacing w:after="60"/>
              <w:rPr>
                <w:noProof/>
              </w:rPr>
            </w:pPr>
          </w:p>
          <w:p>
            <w:pPr>
              <w:spacing w:after="60"/>
              <w:rPr>
                <w:noProof/>
              </w:rPr>
            </w:pPr>
            <w:r>
              <w:rPr>
                <w:noProof/>
              </w:rPr>
              <w:t xml:space="preserve">13 03 62 – Europeiska regionala utvecklingsfonden (Eruf) – Mer utvecklade regioner – Målet Investering för tillväxt och sysselsättning </w:t>
            </w:r>
          </w:p>
          <w:p>
            <w:pPr>
              <w:spacing w:after="60"/>
              <w:rPr>
                <w:noProof/>
              </w:rPr>
            </w:pPr>
          </w:p>
          <w:p>
            <w:pPr>
              <w:spacing w:after="60"/>
              <w:rPr>
                <w:bCs/>
                <w:iCs/>
                <w:noProof/>
              </w:rPr>
            </w:pPr>
            <w:r>
              <w:rPr>
                <w:noProof/>
              </w:rPr>
              <w:t>13 03 63 – Europeiska regionala utvecklingsfonden (Eruf) – Tilläggsanslag för de yttersta randområdena och glesbefolkade regioner – Målet Investering för tillväxt och sysselsättning</w:t>
            </w:r>
          </w:p>
          <w:p>
            <w:pPr>
              <w:spacing w:after="60"/>
              <w:rPr>
                <w:bCs/>
                <w:iCs/>
                <w:noProof/>
              </w:rPr>
            </w:pPr>
          </w:p>
          <w:p>
            <w:pPr>
              <w:spacing w:after="60"/>
              <w:rPr>
                <w:bCs/>
                <w:iCs/>
                <w:noProof/>
              </w:rPr>
            </w:pPr>
            <w:r>
              <w:rPr>
                <w:noProof/>
              </w:rPr>
              <w:t>13 03 64 01 – Europeiska regionala utvecklingsfonden (Eruf) – Europeiskt territoriellt samarbete</w:t>
            </w:r>
          </w:p>
          <w:p>
            <w:pPr>
              <w:spacing w:after="60"/>
              <w:rPr>
                <w:bCs/>
                <w:iCs/>
                <w:noProof/>
              </w:rPr>
            </w:pPr>
          </w:p>
          <w:p>
            <w:pPr>
              <w:spacing w:after="60"/>
              <w:rPr>
                <w:noProof/>
                <w:sz w:val="18"/>
              </w:rPr>
            </w:pPr>
            <w:r>
              <w:rPr>
                <w:noProof/>
              </w:rPr>
              <w:t>13 04 60 – Sammanhållningsfonden – Målet investering för tillväxt och sysselsättning</w:t>
            </w:r>
          </w:p>
        </w:tc>
        <w:tc>
          <w:tcPr>
            <w:tcW w:w="425" w:type="dxa"/>
            <w:vAlign w:val="center"/>
          </w:tcPr>
          <w:p>
            <w:pPr>
              <w:spacing w:before="20" w:after="20"/>
              <w:jc w:val="center"/>
              <w:rPr>
                <w:noProof/>
                <w:sz w:val="14"/>
              </w:rPr>
            </w:pPr>
            <w:r>
              <w:rPr>
                <w:noProof/>
                <w:sz w:val="14"/>
              </w:rPr>
              <w:t>(2)</w:t>
            </w:r>
          </w:p>
        </w:tc>
        <w:tc>
          <w:tcPr>
            <w:tcW w:w="567" w:type="dxa"/>
            <w:vAlign w:val="center"/>
          </w:tcPr>
          <w:p>
            <w:pPr>
              <w:spacing w:before="20" w:after="20"/>
              <w:rPr>
                <w:noProof/>
                <w:sz w:val="20"/>
              </w:rPr>
            </w:pPr>
          </w:p>
        </w:tc>
        <w:tc>
          <w:tcPr>
            <w:tcW w:w="709" w:type="dxa"/>
            <w:vAlign w:val="center"/>
          </w:tcPr>
          <w:p>
            <w:pPr>
              <w:spacing w:before="20" w:after="20"/>
              <w:rPr>
                <w:noProof/>
                <w:sz w:val="20"/>
              </w:rPr>
            </w:pPr>
          </w:p>
        </w:tc>
        <w:tc>
          <w:tcPr>
            <w:tcW w:w="567" w:type="dxa"/>
            <w:vAlign w:val="center"/>
          </w:tcPr>
          <w:p>
            <w:pPr>
              <w:spacing w:before="20" w:after="20"/>
              <w:rPr>
                <w:noProof/>
                <w:sz w:val="20"/>
              </w:rPr>
            </w:pPr>
          </w:p>
        </w:tc>
        <w:tc>
          <w:tcPr>
            <w:tcW w:w="1417"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85 000.000</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tc>
        <w:tc>
          <w:tcPr>
            <w:tcW w:w="1418"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25 285 013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26 792 094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9 304 437</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329 000 000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25 285 013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26 792 094</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9 304 437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-2 777 728</w:t>
            </w:r>
          </w:p>
          <w:p>
            <w:pPr>
              <w:spacing w:before="20" w:after="20"/>
              <w:rPr>
                <w:noProof/>
                <w:sz w:val="20"/>
              </w:rPr>
            </w:pPr>
          </w:p>
          <w:p>
            <w:pPr>
              <w:spacing w:before="20" w:after="20"/>
              <w:rPr>
                <w:noProof/>
                <w:sz w:val="20"/>
              </w:rPr>
            </w:pPr>
          </w:p>
        </w:tc>
        <w:tc>
          <w:tcPr>
            <w:tcW w:w="1417"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50 887 923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53 921 033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18 725 854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center"/>
              <w:rPr>
                <w:noProof/>
                <w:sz w:val="20"/>
              </w:rPr>
            </w:pPr>
            <w:r>
              <w:rPr>
                <w:noProof/>
                <w:sz w:val="20"/>
              </w:rPr>
              <w:t>231 000 000</w:t>
            </w:r>
          </w:p>
          <w:p>
            <w:pPr>
              <w:spacing w:before="20" w:after="20"/>
              <w:jc w:val="right"/>
              <w:rPr>
                <w:noProof/>
                <w:sz w:val="20"/>
              </w:rPr>
            </w:pPr>
          </w:p>
          <w:p>
            <w:pPr>
              <w:spacing w:before="20" w:after="20"/>
              <w:jc w:val="right"/>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50 887 923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53 921 033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18 725 854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-5 590 378</w:t>
            </w:r>
          </w:p>
        </w:tc>
        <w:tc>
          <w:tcPr>
            <w:tcW w:w="1418" w:type="dxa"/>
            <w:vAlign w:val="center"/>
          </w:tcPr>
          <w:p>
            <w:pPr>
              <w:spacing w:before="20" w:after="20"/>
              <w:jc w:val="right"/>
              <w:rPr>
                <w:b/>
                <w:noProof/>
                <w:sz w:val="20"/>
              </w:rPr>
            </w:pPr>
          </w:p>
          <w:p>
            <w:pPr>
              <w:spacing w:before="20" w:after="20"/>
              <w:jc w:val="right"/>
              <w:rPr>
                <w:b/>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108 495 693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114 962 440</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noProof/>
                <w:sz w:val="20"/>
              </w:rPr>
            </w:pPr>
            <w:r>
              <w:rPr>
                <w:noProof/>
                <w:sz w:val="20"/>
              </w:rPr>
              <w:t>39 924 494</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noProof/>
                <w:sz w:val="20"/>
              </w:rPr>
            </w:pPr>
            <w:r>
              <w:rPr>
                <w:noProof/>
                <w:sz w:val="20"/>
              </w:rPr>
              <w:t>175 000 000</w:t>
            </w:r>
          </w:p>
          <w:p>
            <w:pPr>
              <w:spacing w:before="20" w:after="20"/>
              <w:jc w:val="right"/>
              <w:rPr>
                <w:b/>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108 495 693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114 962 440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39 924 493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-11 918 977</w:t>
            </w:r>
          </w:p>
        </w:tc>
        <w:tc>
          <w:tcPr>
            <w:tcW w:w="1417" w:type="dxa"/>
            <w:vAlign w:val="center"/>
          </w:tcPr>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b/>
                <w:noProof/>
                <w:sz w:val="20"/>
              </w:rPr>
            </w:pPr>
            <w:r>
              <w:rPr>
                <w:b/>
                <w:noProof/>
                <w:sz w:val="20"/>
              </w:rPr>
              <w:t>184 668 629</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center"/>
              <w:rPr>
                <w:b/>
                <w:noProof/>
                <w:sz w:val="20"/>
              </w:rPr>
            </w:pPr>
            <w:r>
              <w:rPr>
                <w:b/>
                <w:noProof/>
                <w:sz w:val="20"/>
              </w:rPr>
              <w:t>195 675 567</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center"/>
              <w:rPr>
                <w:b/>
                <w:noProof/>
                <w:sz w:val="20"/>
              </w:rPr>
            </w:pPr>
            <w:r>
              <w:rPr>
                <w:b/>
                <w:noProof/>
                <w:sz w:val="20"/>
              </w:rPr>
              <w:t>67 954 785</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b/>
                <w:noProof/>
                <w:sz w:val="20"/>
              </w:rPr>
            </w:pPr>
            <w:r>
              <w:rPr>
                <w:b/>
                <w:noProof/>
                <w:sz w:val="20"/>
              </w:rPr>
              <w:t>820 000 000</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184 668 629</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195 675 567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67 954 785</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-20 287 083</w:t>
            </w:r>
          </w:p>
        </w:tc>
      </w:tr>
      <w:tr>
        <w:trPr>
          <w:trHeight w:val="231"/>
        </w:trPr>
        <w:tc>
          <w:tcPr>
            <w:tcW w:w="5747" w:type="dxa"/>
            <w:gridSpan w:val="4"/>
            <w:vAlign w:val="center"/>
          </w:tcPr>
          <w:p>
            <w:pPr>
              <w:spacing w:before="20" w:after="20"/>
              <w:rPr>
                <w:noProof/>
              </w:rPr>
            </w:pPr>
            <w:r>
              <w:rPr>
                <w:noProof/>
                <w:sz w:val="21"/>
              </w:rPr>
              <w:t>Anslag av administrativ natur som finansieras genom ramanslagen för vissa operativa program</w:t>
            </w:r>
            <w:r>
              <w:rPr>
                <w:rStyle w:val="FootnoteReference"/>
                <w:noProof/>
                <w:sz w:val="21"/>
              </w:rPr>
              <w:footnoteReference w:id="14"/>
            </w:r>
            <w:r>
              <w:rPr>
                <w:noProof/>
                <w:sz w:val="21"/>
              </w:rPr>
              <w:t xml:space="preserve"> </w:t>
            </w:r>
          </w:p>
          <w:p>
            <w:pPr>
              <w:spacing w:before="0" w:after="0"/>
              <w:rPr>
                <w:noProof/>
              </w:rPr>
            </w:pPr>
          </w:p>
        </w:tc>
        <w:tc>
          <w:tcPr>
            <w:tcW w:w="567" w:type="dxa"/>
            <w:vAlign w:val="center"/>
          </w:tcPr>
          <w:p>
            <w:pPr>
              <w:rPr>
                <w:b/>
                <w:noProof/>
                <w:sz w:val="20"/>
              </w:rPr>
            </w:pPr>
          </w:p>
        </w:tc>
        <w:tc>
          <w:tcPr>
            <w:tcW w:w="709" w:type="dxa"/>
            <w:vAlign w:val="center"/>
          </w:tcPr>
          <w:p>
            <w:pPr>
              <w:rPr>
                <w:b/>
                <w:noProof/>
                <w:sz w:val="20"/>
              </w:rPr>
            </w:pPr>
          </w:p>
        </w:tc>
        <w:tc>
          <w:tcPr>
            <w:tcW w:w="567" w:type="dxa"/>
            <w:vAlign w:val="center"/>
          </w:tcPr>
          <w:p>
            <w:pPr>
              <w:rPr>
                <w:b/>
                <w:noProof/>
                <w:sz w:val="20"/>
              </w:rPr>
            </w:pPr>
          </w:p>
        </w:tc>
        <w:tc>
          <w:tcPr>
            <w:tcW w:w="1417" w:type="dxa"/>
            <w:vAlign w:val="center"/>
          </w:tcPr>
          <w:p>
            <w:pPr>
              <w:rPr>
                <w:b/>
                <w:noProof/>
                <w:sz w:val="20"/>
              </w:rPr>
            </w:pPr>
          </w:p>
        </w:tc>
        <w:tc>
          <w:tcPr>
            <w:tcW w:w="1418" w:type="dxa"/>
            <w:vAlign w:val="center"/>
          </w:tcPr>
          <w:p>
            <w:pPr>
              <w:rPr>
                <w:b/>
                <w:noProof/>
                <w:sz w:val="20"/>
              </w:rPr>
            </w:pPr>
          </w:p>
        </w:tc>
        <w:tc>
          <w:tcPr>
            <w:tcW w:w="1417" w:type="dxa"/>
            <w:vAlign w:val="center"/>
          </w:tcPr>
          <w:p>
            <w:pPr>
              <w:rPr>
                <w:b/>
                <w:noProof/>
                <w:sz w:val="20"/>
              </w:rPr>
            </w:pPr>
          </w:p>
        </w:tc>
        <w:tc>
          <w:tcPr>
            <w:tcW w:w="1418" w:type="dxa"/>
            <w:vAlign w:val="center"/>
          </w:tcPr>
          <w:p>
            <w:pPr>
              <w:rPr>
                <w:b/>
                <w:noProof/>
                <w:sz w:val="20"/>
              </w:rPr>
            </w:pPr>
          </w:p>
        </w:tc>
        <w:tc>
          <w:tcPr>
            <w:tcW w:w="1417" w:type="dxa"/>
            <w:vAlign w:val="center"/>
          </w:tcPr>
          <w:p>
            <w:pPr>
              <w:rPr>
                <w:b/>
                <w:noProof/>
                <w:sz w:val="20"/>
              </w:rPr>
            </w:pPr>
          </w:p>
        </w:tc>
      </w:tr>
      <w:tr>
        <w:trPr>
          <w:trHeight w:val="319"/>
        </w:trPr>
        <w:tc>
          <w:tcPr>
            <w:tcW w:w="2203" w:type="dxa"/>
            <w:vAlign w:val="center"/>
          </w:tcPr>
          <w:p>
            <w:pPr>
              <w:spacing w:before="60" w:after="60"/>
              <w:rPr>
                <w:noProof/>
              </w:rPr>
            </w:pPr>
            <w:r>
              <w:rPr>
                <w:noProof/>
                <w:sz w:val="20"/>
              </w:rPr>
              <w:t>Ej tillämpligt</w:t>
            </w:r>
          </w:p>
        </w:tc>
        <w:tc>
          <w:tcPr>
            <w:tcW w:w="3077" w:type="dxa"/>
            <w:vAlign w:val="center"/>
          </w:tcPr>
          <w:p>
            <w:pPr>
              <w:spacing w:before="40" w:after="40"/>
              <w:jc w:val="right"/>
              <w:rPr>
                <w:noProof/>
                <w:sz w:val="18"/>
              </w:rPr>
            </w:pPr>
          </w:p>
        </w:tc>
        <w:tc>
          <w:tcPr>
            <w:tcW w:w="467" w:type="dxa"/>
            <w:gridSpan w:val="2"/>
            <w:vAlign w:val="center"/>
          </w:tcPr>
          <w:p>
            <w:pPr>
              <w:spacing w:before="40" w:after="40"/>
              <w:jc w:val="center"/>
              <w:rPr>
                <w:noProof/>
                <w:sz w:val="14"/>
              </w:rPr>
            </w:pPr>
            <w:r>
              <w:rPr>
                <w:noProof/>
                <w:sz w:val="14"/>
              </w:rPr>
              <w:t>(3)</w:t>
            </w:r>
          </w:p>
        </w:tc>
        <w:tc>
          <w:tcPr>
            <w:tcW w:w="567" w:type="dxa"/>
            <w:vAlign w:val="center"/>
          </w:tcPr>
          <w:p>
            <w:pPr>
              <w:spacing w:before="40" w:after="40"/>
              <w:jc w:val="right"/>
              <w:rPr>
                <w:b/>
                <w:noProof/>
                <w:sz w:val="20"/>
              </w:rPr>
            </w:pPr>
          </w:p>
        </w:tc>
        <w:tc>
          <w:tcPr>
            <w:tcW w:w="709" w:type="dxa"/>
            <w:vAlign w:val="center"/>
          </w:tcPr>
          <w:p>
            <w:pPr>
              <w:spacing w:before="40" w:after="40"/>
              <w:jc w:val="right"/>
              <w:rPr>
                <w:b/>
                <w:noProof/>
                <w:sz w:val="20"/>
              </w:rPr>
            </w:pPr>
          </w:p>
        </w:tc>
        <w:tc>
          <w:tcPr>
            <w:tcW w:w="567" w:type="dxa"/>
            <w:vAlign w:val="center"/>
          </w:tcPr>
          <w:p>
            <w:pPr>
              <w:spacing w:before="40" w:after="40"/>
              <w:jc w:val="right"/>
              <w:rPr>
                <w:b/>
                <w:noProof/>
                <w:sz w:val="20"/>
              </w:rPr>
            </w:pPr>
          </w:p>
        </w:tc>
        <w:tc>
          <w:tcPr>
            <w:tcW w:w="1417" w:type="dxa"/>
            <w:vAlign w:val="center"/>
          </w:tcPr>
          <w:p>
            <w:pPr>
              <w:spacing w:before="40" w:after="40"/>
              <w:jc w:val="right"/>
              <w:rPr>
                <w:b/>
                <w:noProof/>
                <w:sz w:val="20"/>
              </w:rPr>
            </w:pPr>
          </w:p>
        </w:tc>
        <w:tc>
          <w:tcPr>
            <w:tcW w:w="1418" w:type="dxa"/>
            <w:vAlign w:val="center"/>
          </w:tcPr>
          <w:p>
            <w:pPr>
              <w:spacing w:before="40" w:after="40"/>
              <w:jc w:val="right"/>
              <w:rPr>
                <w:b/>
                <w:noProof/>
                <w:sz w:val="20"/>
              </w:rPr>
            </w:pPr>
          </w:p>
        </w:tc>
        <w:tc>
          <w:tcPr>
            <w:tcW w:w="1417" w:type="dxa"/>
            <w:vAlign w:val="center"/>
          </w:tcPr>
          <w:p>
            <w:pPr>
              <w:spacing w:before="40" w:after="40"/>
              <w:jc w:val="right"/>
              <w:rPr>
                <w:b/>
                <w:noProof/>
                <w:sz w:val="20"/>
              </w:rPr>
            </w:pPr>
          </w:p>
        </w:tc>
        <w:tc>
          <w:tcPr>
            <w:tcW w:w="1418" w:type="dxa"/>
            <w:vAlign w:val="center"/>
          </w:tcPr>
          <w:p>
            <w:pPr>
              <w:spacing w:before="40" w:after="40"/>
              <w:jc w:val="right"/>
              <w:rPr>
                <w:b/>
                <w:noProof/>
                <w:sz w:val="20"/>
              </w:rPr>
            </w:pPr>
          </w:p>
        </w:tc>
        <w:tc>
          <w:tcPr>
            <w:tcW w:w="1417" w:type="dxa"/>
            <w:vAlign w:val="center"/>
          </w:tcPr>
          <w:p>
            <w:pPr>
              <w:spacing w:before="40" w:after="40"/>
              <w:jc w:val="right"/>
              <w:rPr>
                <w:b/>
                <w:noProof/>
                <w:sz w:val="20"/>
              </w:rPr>
            </w:pPr>
          </w:p>
        </w:tc>
      </w:tr>
      <w:tr>
        <w:tc>
          <w:tcPr>
            <w:tcW w:w="2203" w:type="dxa"/>
            <w:vMerge w:val="restart"/>
            <w:vAlign w:val="center"/>
          </w:tcPr>
          <w:p>
            <w:pPr>
              <w:jc w:val="center"/>
              <w:rPr>
                <w:b/>
                <w:noProof/>
              </w:rPr>
            </w:pPr>
            <w:r>
              <w:rPr>
                <w:b/>
                <w:noProof/>
              </w:rPr>
              <w:t xml:space="preserve">TOTALA anslag </w:t>
            </w:r>
            <w:r>
              <w:rPr>
                <w:noProof/>
              </w:rPr>
              <w:br/>
            </w:r>
            <w:r>
              <w:rPr>
                <w:b/>
                <w:noProof/>
              </w:rPr>
              <w:t>för GD EMPL, REGIO</w:t>
            </w:r>
            <w:r>
              <w:rPr>
                <w:noProof/>
              </w:rPr>
              <w:t xml:space="preserve"> </w:t>
            </w:r>
          </w:p>
        </w:tc>
        <w:tc>
          <w:tcPr>
            <w:tcW w:w="3077" w:type="dxa"/>
            <w:vAlign w:val="center"/>
          </w:tcPr>
          <w:p>
            <w:pPr>
              <w:rPr>
                <w:noProof/>
                <w:sz w:val="18"/>
              </w:rPr>
            </w:pPr>
            <w:r>
              <w:rPr>
                <w:noProof/>
                <w:sz w:val="18"/>
              </w:rPr>
              <w:t>Åtaganden</w:t>
            </w:r>
          </w:p>
        </w:tc>
        <w:tc>
          <w:tcPr>
            <w:tcW w:w="467" w:type="dxa"/>
            <w:gridSpan w:val="2"/>
            <w:vAlign w:val="center"/>
          </w:tcPr>
          <w:p>
            <w:pPr>
              <w:jc w:val="center"/>
              <w:rPr>
                <w:noProof/>
                <w:sz w:val="14"/>
              </w:rPr>
            </w:pPr>
            <w:r>
              <w:rPr>
                <w:noProof/>
                <w:sz w:val="14"/>
              </w:rPr>
              <w:t>=1+1a +3</w:t>
            </w:r>
          </w:p>
        </w:tc>
        <w:tc>
          <w:tcPr>
            <w:tcW w:w="567"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567" w:type="dxa"/>
            <w:vAlign w:val="center"/>
          </w:tcPr>
          <w:p>
            <w:pPr>
              <w:spacing w:before="20" w:after="20"/>
              <w:jc w:val="right"/>
              <w:rPr>
                <w:noProof/>
                <w:sz w:val="20"/>
              </w:rPr>
            </w:pPr>
          </w:p>
        </w:tc>
        <w:tc>
          <w:tcPr>
            <w:tcW w:w="1417" w:type="dxa"/>
            <w:vAlign w:val="center"/>
          </w:tcPr>
          <w:p>
            <w:pPr>
              <w:spacing w:before="20" w:after="20"/>
              <w:jc w:val="right"/>
              <w:rPr>
                <w:noProof/>
                <w:sz w:val="20"/>
              </w:rPr>
            </w:pPr>
            <w:r>
              <w:rPr>
                <w:noProof/>
                <w:sz w:val="20"/>
              </w:rPr>
              <w:t>1 626 162 416</w:t>
            </w:r>
          </w:p>
        </w:tc>
        <w:tc>
          <w:tcPr>
            <w:tcW w:w="1418" w:type="dxa"/>
            <w:vAlign w:val="center"/>
          </w:tcPr>
          <w:p>
            <w:pPr>
              <w:spacing w:before="20" w:after="20"/>
              <w:jc w:val="right"/>
              <w:rPr>
                <w:noProof/>
                <w:sz w:val="20"/>
              </w:rPr>
            </w:pPr>
            <w:r>
              <w:rPr>
                <w:noProof/>
                <w:sz w:val="20"/>
              </w:rPr>
              <w:t>1 498 685 668</w:t>
            </w:r>
          </w:p>
          <w:p>
            <w:pPr>
              <w:spacing w:before="20" w:after="20"/>
              <w:jc w:val="right"/>
              <w:rPr>
                <w:noProof/>
                <w:sz w:val="20"/>
              </w:rPr>
            </w:pPr>
          </w:p>
        </w:tc>
        <w:tc>
          <w:tcPr>
            <w:tcW w:w="1417" w:type="dxa"/>
            <w:vAlign w:val="center"/>
          </w:tcPr>
          <w:p>
            <w:pPr>
              <w:spacing w:before="20" w:after="20"/>
              <w:jc w:val="right"/>
              <w:rPr>
                <w:noProof/>
                <w:sz w:val="20"/>
              </w:rPr>
            </w:pPr>
            <w:r>
              <w:rPr>
                <w:noProof/>
                <w:sz w:val="20"/>
              </w:rPr>
              <w:t>1 404 992 715</w:t>
            </w:r>
          </w:p>
        </w:tc>
        <w:tc>
          <w:tcPr>
            <w:tcW w:w="1418" w:type="dxa"/>
            <w:vAlign w:val="center"/>
          </w:tcPr>
          <w:p>
            <w:pPr>
              <w:spacing w:before="20" w:after="20"/>
              <w:jc w:val="right"/>
              <w:rPr>
                <w:noProof/>
                <w:sz w:val="20"/>
              </w:rPr>
            </w:pPr>
            <w:r>
              <w:rPr>
                <w:noProof/>
                <w:sz w:val="20"/>
              </w:rPr>
              <w:t>1 311 759 062</w:t>
            </w:r>
          </w:p>
          <w:p>
            <w:pPr>
              <w:spacing w:before="20" w:after="20"/>
              <w:jc w:val="right"/>
              <w:rPr>
                <w:b/>
                <w:noProof/>
                <w:sz w:val="20"/>
              </w:rPr>
            </w:pPr>
          </w:p>
        </w:tc>
        <w:tc>
          <w:tcPr>
            <w:tcW w:w="1417" w:type="dxa"/>
            <w:vAlign w:val="center"/>
          </w:tcPr>
          <w:p>
            <w:pPr>
              <w:spacing w:before="20" w:after="20"/>
              <w:jc w:val="right"/>
              <w:rPr>
                <w:b/>
                <w:noProof/>
                <w:sz w:val="20"/>
              </w:rPr>
            </w:pPr>
            <w:r>
              <w:rPr>
                <w:b/>
                <w:noProof/>
                <w:sz w:val="20"/>
              </w:rPr>
              <w:t>5 841 599 861</w:t>
            </w:r>
          </w:p>
        </w:tc>
      </w:tr>
      <w:tr>
        <w:tc>
          <w:tcPr>
            <w:tcW w:w="2203" w:type="dxa"/>
            <w:vMerge/>
          </w:tcPr>
          <w:p>
            <w:pPr>
              <w:rPr>
                <w:noProof/>
                <w:sz w:val="20"/>
              </w:rPr>
            </w:pPr>
          </w:p>
        </w:tc>
        <w:tc>
          <w:tcPr>
            <w:tcW w:w="3077" w:type="dxa"/>
            <w:vAlign w:val="center"/>
          </w:tcPr>
          <w:p>
            <w:pPr>
              <w:rPr>
                <w:noProof/>
                <w:sz w:val="18"/>
              </w:rPr>
            </w:pPr>
            <w:r>
              <w:rPr>
                <w:noProof/>
                <w:sz w:val="18"/>
              </w:rPr>
              <w:t>Betalningar</w:t>
            </w:r>
          </w:p>
        </w:tc>
        <w:tc>
          <w:tcPr>
            <w:tcW w:w="467"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567"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567" w:type="dxa"/>
            <w:vAlign w:val="center"/>
          </w:tcPr>
          <w:p>
            <w:pPr>
              <w:spacing w:before="20" w:after="20"/>
              <w:jc w:val="right"/>
              <w:rPr>
                <w:noProof/>
                <w:sz w:val="20"/>
              </w:rPr>
            </w:pPr>
          </w:p>
        </w:tc>
        <w:tc>
          <w:tcPr>
            <w:tcW w:w="1417" w:type="dxa"/>
            <w:vAlign w:val="center"/>
          </w:tcPr>
          <w:p>
            <w:pPr>
              <w:spacing w:before="20" w:after="20"/>
              <w:jc w:val="right"/>
              <w:rPr>
                <w:noProof/>
                <w:sz w:val="20"/>
              </w:rPr>
            </w:pPr>
            <w:r>
              <w:rPr>
                <w:noProof/>
                <w:sz w:val="20"/>
              </w:rPr>
              <w:t>85 000 000</w:t>
            </w:r>
          </w:p>
        </w:tc>
        <w:tc>
          <w:tcPr>
            <w:tcW w:w="1418" w:type="dxa"/>
            <w:vAlign w:val="center"/>
          </w:tcPr>
          <w:p>
            <w:pPr>
              <w:spacing w:before="20" w:after="20"/>
              <w:jc w:val="right"/>
              <w:rPr>
                <w:noProof/>
                <w:sz w:val="20"/>
              </w:rPr>
            </w:pPr>
            <w:r>
              <w:rPr>
                <w:noProof/>
                <w:sz w:val="20"/>
              </w:rPr>
              <w:t>448 985 360</w:t>
            </w:r>
          </w:p>
        </w:tc>
        <w:tc>
          <w:tcPr>
            <w:tcW w:w="1417" w:type="dxa"/>
            <w:vAlign w:val="center"/>
          </w:tcPr>
          <w:p>
            <w:pPr>
              <w:spacing w:before="20" w:after="20"/>
              <w:jc w:val="right"/>
              <w:rPr>
                <w:noProof/>
                <w:sz w:val="20"/>
              </w:rPr>
            </w:pPr>
            <w:r>
              <w:rPr>
                <w:noProof/>
                <w:sz w:val="20"/>
              </w:rPr>
              <w:t>472 479 242</w:t>
            </w:r>
          </w:p>
        </w:tc>
        <w:tc>
          <w:tcPr>
            <w:tcW w:w="1418" w:type="dxa"/>
            <w:vAlign w:val="center"/>
          </w:tcPr>
          <w:p>
            <w:pPr>
              <w:spacing w:before="20" w:after="20"/>
              <w:jc w:val="right"/>
              <w:rPr>
                <w:noProof/>
                <w:sz w:val="20"/>
              </w:rPr>
            </w:pPr>
            <w:r>
              <w:rPr>
                <w:noProof/>
                <w:sz w:val="20"/>
              </w:rPr>
              <w:t>689 846 276</w:t>
            </w:r>
          </w:p>
        </w:tc>
        <w:tc>
          <w:tcPr>
            <w:tcW w:w="1417" w:type="dxa"/>
            <w:vAlign w:val="center"/>
          </w:tcPr>
          <w:p>
            <w:pPr>
              <w:spacing w:before="20" w:after="20"/>
              <w:jc w:val="center"/>
              <w:rPr>
                <w:b/>
                <w:noProof/>
                <w:sz w:val="20"/>
              </w:rPr>
            </w:pPr>
          </w:p>
          <w:p>
            <w:pPr>
              <w:spacing w:before="20" w:after="20"/>
              <w:jc w:val="center"/>
              <w:rPr>
                <w:b/>
                <w:noProof/>
                <w:sz w:val="20"/>
              </w:rPr>
            </w:pPr>
            <w:r>
              <w:rPr>
                <w:b/>
                <w:noProof/>
                <w:sz w:val="20"/>
              </w:rPr>
              <w:t>1 696 310 879</w:t>
            </w:r>
          </w:p>
          <w:p>
            <w:pPr>
              <w:spacing w:before="20" w:after="20"/>
              <w:jc w:val="center"/>
              <w:rPr>
                <w:b/>
                <w:noProof/>
                <w:sz w:val="20"/>
              </w:rPr>
            </w:pPr>
          </w:p>
        </w:tc>
      </w:tr>
    </w:tbl>
    <w:p>
      <w:pPr>
        <w:rPr>
          <w:noProof/>
          <w:sz w:val="16"/>
        </w:rPr>
      </w:pPr>
    </w:p>
    <w:p>
      <w:pPr>
        <w:rPr>
          <w:noProof/>
          <w:sz w:val="16"/>
        </w:rPr>
      </w:pPr>
    </w:p>
    <w:p>
      <w:pPr>
        <w:rPr>
          <w:noProof/>
        </w:rPr>
      </w:pPr>
    </w:p>
    <w:tbl>
      <w:tblPr>
        <w:tblW w:w="144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026"/>
        <w:gridCol w:w="1320"/>
        <w:gridCol w:w="891"/>
        <w:gridCol w:w="1066"/>
        <w:gridCol w:w="1200"/>
        <w:gridCol w:w="480"/>
        <w:gridCol w:w="1173"/>
        <w:gridCol w:w="1214"/>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rPr>
              <w:t xml:space="preserve"> TOTALA driftsanslag</w:t>
            </w:r>
          </w:p>
        </w:tc>
        <w:tc>
          <w:tcPr>
            <w:tcW w:w="1440" w:type="dxa"/>
            <w:vAlign w:val="center"/>
          </w:tcPr>
          <w:p>
            <w:pPr>
              <w:spacing w:beforeLines="20" w:before="48" w:afterLines="20" w:after="48"/>
              <w:rPr>
                <w:noProof/>
                <w:sz w:val="18"/>
              </w:rPr>
            </w:pPr>
            <w:r>
              <w:rPr>
                <w:noProof/>
                <w:sz w:val="18"/>
              </w:rPr>
              <w:t>Åtaganden</w:t>
            </w:r>
          </w:p>
        </w:tc>
        <w:tc>
          <w:tcPr>
            <w:tcW w:w="654" w:type="dxa"/>
            <w:vAlign w:val="center"/>
          </w:tcPr>
          <w:p>
            <w:pPr>
              <w:spacing w:beforeLines="20" w:before="48" w:afterLines="20" w:after="48"/>
              <w:jc w:val="center"/>
              <w:rPr>
                <w:noProof/>
                <w:sz w:val="14"/>
              </w:rPr>
            </w:pPr>
            <w:r>
              <w:rPr>
                <w:noProof/>
                <w:sz w:val="14"/>
              </w:rPr>
              <w:t>(4)</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Betalningar</w:t>
            </w:r>
          </w:p>
        </w:tc>
        <w:tc>
          <w:tcPr>
            <w:tcW w:w="654" w:type="dxa"/>
            <w:vAlign w:val="center"/>
          </w:tcPr>
          <w:p>
            <w:pPr>
              <w:spacing w:beforeLines="20" w:before="48" w:afterLines="20" w:after="48"/>
              <w:jc w:val="center"/>
              <w:rPr>
                <w:noProof/>
                <w:sz w:val="14"/>
              </w:rPr>
            </w:pPr>
            <w:r>
              <w:rPr>
                <w:noProof/>
                <w:sz w:val="14"/>
              </w:rPr>
              <w:t>(5)</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noProof/>
                <w:sz w:val="20"/>
              </w:rPr>
            </w:pPr>
          </w:p>
        </w:tc>
        <w:tc>
          <w:tcPr>
            <w:tcW w:w="1214"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TOTALA anslag av administrativ natur som finansieras genom ramanslagen för vissa operativa program</w:t>
            </w:r>
          </w:p>
        </w:tc>
        <w:tc>
          <w:tcPr>
            <w:tcW w:w="654" w:type="dxa"/>
            <w:vAlign w:val="center"/>
          </w:tcPr>
          <w:p>
            <w:pPr>
              <w:spacing w:beforeLines="20" w:before="48" w:afterLines="20" w:after="48"/>
              <w:jc w:val="center"/>
              <w:rPr>
                <w:noProof/>
                <w:sz w:val="14"/>
              </w:rPr>
            </w:pPr>
            <w:r>
              <w:rPr>
                <w:noProof/>
                <w:sz w:val="14"/>
              </w:rPr>
              <w:t>(6)</w:t>
            </w:r>
          </w:p>
        </w:tc>
        <w:tc>
          <w:tcPr>
            <w:tcW w:w="1026" w:type="dxa"/>
            <w:vAlign w:val="center"/>
          </w:tcPr>
          <w:p>
            <w:pPr>
              <w:spacing w:before="20" w:after="20"/>
              <w:jc w:val="right"/>
              <w:rPr>
                <w:b/>
                <w:noProof/>
                <w:sz w:val="20"/>
              </w:rPr>
            </w:pPr>
            <w:r>
              <w:rPr>
                <w:b/>
                <w:noProof/>
                <w:sz w:val="20"/>
              </w:rPr>
              <w:t>0</w:t>
            </w:r>
          </w:p>
        </w:tc>
        <w:tc>
          <w:tcPr>
            <w:tcW w:w="1320" w:type="dxa"/>
            <w:vAlign w:val="center"/>
          </w:tcPr>
          <w:p>
            <w:pPr>
              <w:spacing w:before="20" w:after="20"/>
              <w:jc w:val="right"/>
              <w:rPr>
                <w:b/>
                <w:noProof/>
                <w:sz w:val="20"/>
              </w:rPr>
            </w:pPr>
            <w:r>
              <w:rPr>
                <w:b/>
                <w:noProof/>
                <w:sz w:val="20"/>
              </w:rPr>
              <w:t>0</w:t>
            </w:r>
          </w:p>
        </w:tc>
        <w:tc>
          <w:tcPr>
            <w:tcW w:w="891" w:type="dxa"/>
            <w:vAlign w:val="center"/>
          </w:tcPr>
          <w:p>
            <w:pPr>
              <w:spacing w:before="20" w:after="20"/>
              <w:jc w:val="right"/>
              <w:rPr>
                <w:b/>
                <w:noProof/>
                <w:sz w:val="20"/>
              </w:rPr>
            </w:pPr>
            <w:r>
              <w:rPr>
                <w:b/>
                <w:noProof/>
                <w:sz w:val="20"/>
              </w:rPr>
              <w:t>0</w:t>
            </w:r>
          </w:p>
        </w:tc>
        <w:tc>
          <w:tcPr>
            <w:tcW w:w="1066" w:type="dxa"/>
            <w:vAlign w:val="center"/>
          </w:tcPr>
          <w:p>
            <w:pPr>
              <w:spacing w:before="20" w:after="20"/>
              <w:jc w:val="right"/>
              <w:rPr>
                <w:b/>
                <w:noProof/>
                <w:sz w:val="20"/>
              </w:rPr>
            </w:pPr>
            <w:r>
              <w:rPr>
                <w:b/>
                <w:noProof/>
                <w:sz w:val="20"/>
              </w:rPr>
              <w:t>0</w:t>
            </w:r>
          </w:p>
        </w:tc>
        <w:tc>
          <w:tcPr>
            <w:tcW w:w="1200" w:type="dxa"/>
            <w:vAlign w:val="center"/>
          </w:tcPr>
          <w:p>
            <w:pPr>
              <w:spacing w:before="20" w:after="20"/>
              <w:jc w:val="right"/>
              <w:rPr>
                <w:b/>
                <w:noProof/>
                <w:sz w:val="20"/>
              </w:rPr>
            </w:pPr>
            <w:r>
              <w:rPr>
                <w:b/>
                <w:noProof/>
                <w:sz w:val="20"/>
              </w:rPr>
              <w:t>0</w:t>
            </w:r>
          </w:p>
        </w:tc>
        <w:tc>
          <w:tcPr>
            <w:tcW w:w="480" w:type="dxa"/>
            <w:vAlign w:val="center"/>
          </w:tcPr>
          <w:p>
            <w:pPr>
              <w:spacing w:before="20" w:after="20"/>
              <w:jc w:val="right"/>
              <w:rPr>
                <w:b/>
                <w:noProof/>
                <w:sz w:val="20"/>
              </w:rPr>
            </w:pPr>
            <w:r>
              <w:rPr>
                <w:b/>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val="restart"/>
            <w:shd w:val="thinDiagStripe" w:color="C0C0C0" w:fill="auto"/>
            <w:vAlign w:val="center"/>
          </w:tcPr>
          <w:p>
            <w:pPr>
              <w:jc w:val="center"/>
              <w:rPr>
                <w:b/>
                <w:noProof/>
              </w:rPr>
            </w:pPr>
            <w:r>
              <w:rPr>
                <w:b/>
                <w:noProof/>
              </w:rPr>
              <w:t xml:space="preserve">TOTALA anslag </w:t>
            </w:r>
            <w:r>
              <w:rPr>
                <w:noProof/>
              </w:rPr>
              <w:br/>
            </w:r>
            <w:r>
              <w:rPr>
                <w:b/>
                <w:noProof/>
              </w:rPr>
              <w:t>för RUBRIK 1</w:t>
            </w:r>
            <w:r>
              <w:rPr>
                <w:noProof/>
              </w:rPr>
              <w:t xml:space="preserve"> </w:t>
            </w:r>
            <w:r>
              <w:rPr>
                <w:noProof/>
              </w:rPr>
              <w:br/>
              <w:t>i den fleråriga budgetramen</w:t>
            </w:r>
          </w:p>
        </w:tc>
        <w:tc>
          <w:tcPr>
            <w:tcW w:w="1440" w:type="dxa"/>
            <w:vAlign w:val="center"/>
          </w:tcPr>
          <w:p>
            <w:pPr>
              <w:rPr>
                <w:noProof/>
                <w:sz w:val="18"/>
              </w:rPr>
            </w:pPr>
            <w:r>
              <w:rPr>
                <w:noProof/>
                <w:sz w:val="18"/>
              </w:rPr>
              <w:t>Åtaganden</w:t>
            </w:r>
          </w:p>
        </w:tc>
        <w:tc>
          <w:tcPr>
            <w:tcW w:w="654" w:type="dxa"/>
            <w:vAlign w:val="center"/>
          </w:tcPr>
          <w:p>
            <w:pPr>
              <w:jc w:val="center"/>
              <w:rPr>
                <w:noProof/>
                <w:sz w:val="14"/>
              </w:rPr>
            </w:pPr>
            <w:r>
              <w:rPr>
                <w:noProof/>
                <w:sz w:val="14"/>
              </w:rPr>
              <w:t>=4+ 6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Betalningar</w:t>
            </w:r>
          </w:p>
        </w:tc>
        <w:tc>
          <w:tcPr>
            <w:tcW w:w="654" w:type="dxa"/>
            <w:vAlign w:val="center"/>
          </w:tcPr>
          <w:p>
            <w:pPr>
              <w:jc w:val="center"/>
              <w:rPr>
                <w:noProof/>
                <w:sz w:val="14"/>
              </w:rPr>
            </w:pPr>
            <w:r>
              <w:rPr>
                <w:noProof/>
                <w:sz w:val="14"/>
              </w:rPr>
              <w:t>=5+ 6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noProof/>
                <w:sz w:val="20"/>
              </w:rPr>
            </w:pPr>
          </w:p>
        </w:tc>
        <w:tc>
          <w:tcPr>
            <w:tcW w:w="1214" w:type="dxa"/>
            <w:vAlign w:val="center"/>
          </w:tcPr>
          <w:p>
            <w:pPr>
              <w:spacing w:before="20" w:after="20"/>
              <w:jc w:val="right"/>
              <w:rPr>
                <w:b/>
                <w:noProof/>
                <w:sz w:val="20"/>
              </w:rPr>
            </w:pPr>
            <w:r>
              <w:rPr>
                <w:b/>
                <w:noProof/>
                <w:sz w:val="20"/>
              </w:rPr>
              <w:t>0</w:t>
            </w:r>
          </w:p>
        </w:tc>
      </w:tr>
      <w:tr>
        <w:tc>
          <w:tcPr>
            <w:tcW w:w="3960" w:type="dxa"/>
            <w:shd w:val="thinDiagStripe" w:color="C0C0C0" w:fill="auto"/>
          </w:tcPr>
          <w:p>
            <w:pPr>
              <w:rPr>
                <w:noProof/>
                <w:sz w:val="20"/>
              </w:rPr>
            </w:pPr>
          </w:p>
        </w:tc>
        <w:tc>
          <w:tcPr>
            <w:tcW w:w="1440" w:type="dxa"/>
            <w:vAlign w:val="center"/>
          </w:tcPr>
          <w:p>
            <w:pPr>
              <w:rPr>
                <w:noProof/>
                <w:sz w:val="18"/>
              </w:rPr>
            </w:pPr>
          </w:p>
        </w:tc>
        <w:tc>
          <w:tcPr>
            <w:tcW w:w="654" w:type="dxa"/>
            <w:vAlign w:val="center"/>
          </w:tcPr>
          <w:p>
            <w:pPr>
              <w:jc w:val="center"/>
              <w:rPr>
                <w:noProof/>
                <w:sz w:val="14"/>
              </w:rPr>
            </w:pPr>
          </w:p>
        </w:tc>
        <w:tc>
          <w:tcPr>
            <w:tcW w:w="1026"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b/>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b/>
                <w:noProof/>
                <w:sz w:val="20"/>
              </w:rPr>
            </w:pPr>
          </w:p>
        </w:tc>
        <w:tc>
          <w:tcPr>
            <w:tcW w:w="1214" w:type="dxa"/>
            <w:vAlign w:val="center"/>
          </w:tcPr>
          <w:p>
            <w:pPr>
              <w:spacing w:before="20" w:after="20"/>
              <w:jc w:val="right"/>
              <w:rPr>
                <w:b/>
                <w:noProof/>
                <w:sz w:val="20"/>
              </w:rPr>
            </w:pPr>
          </w:p>
        </w:tc>
      </w:tr>
    </w:tbl>
    <w:p>
      <w:pPr>
        <w:rPr>
          <w:b/>
          <w:noProof/>
          <w:sz w:val="22"/>
          <w:u w:val="single"/>
        </w:rPr>
      </w:pPr>
      <w:r>
        <w:rPr>
          <w:noProof/>
        </w:rPr>
        <w:br/>
      </w:r>
      <w:r>
        <w:rPr>
          <w:noProof/>
        </w:rPr>
        <w:br/>
      </w:r>
    </w:p>
    <w:p>
      <w:pPr>
        <w:spacing w:after="40"/>
        <w:rPr>
          <w:b/>
          <w:noProof/>
          <w:sz w:val="22"/>
          <w:u w:val="single"/>
        </w:rPr>
      </w:pPr>
      <w:r>
        <w:rPr>
          <w:b/>
          <w:noProof/>
          <w:sz w:val="22"/>
          <w:u w:val="single"/>
        </w:rPr>
        <w:t>Följande ska anges om flera rubriker i budgetramen påverkas av förslaget eller initiativet: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386"/>
        <w:gridCol w:w="960"/>
        <w:gridCol w:w="840"/>
        <w:gridCol w:w="840"/>
        <w:gridCol w:w="720"/>
        <w:gridCol w:w="720"/>
        <w:gridCol w:w="960"/>
        <w:gridCol w:w="142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rPr>
              <w:t xml:space="preserve"> TOTALA driftsanslag</w:t>
            </w:r>
          </w:p>
        </w:tc>
        <w:tc>
          <w:tcPr>
            <w:tcW w:w="1440" w:type="dxa"/>
            <w:tcBorders>
              <w:top w:val="single" w:sz="4" w:space="0" w:color="auto"/>
            </w:tcBorders>
            <w:vAlign w:val="center"/>
          </w:tcPr>
          <w:p>
            <w:pPr>
              <w:spacing w:beforeLines="20" w:before="48" w:afterLines="20" w:after="48"/>
              <w:rPr>
                <w:noProof/>
                <w:sz w:val="18"/>
              </w:rPr>
            </w:pPr>
            <w:r>
              <w:rPr>
                <w:noProof/>
                <w:sz w:val="18"/>
              </w:rPr>
              <w:t>Åtaganden</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1386"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b/>
                <w:noProof/>
                <w:sz w:val="20"/>
              </w:rPr>
            </w:pPr>
          </w:p>
        </w:tc>
        <w:tc>
          <w:tcPr>
            <w:tcW w:w="142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Betalningar</w:t>
            </w:r>
          </w:p>
        </w:tc>
        <w:tc>
          <w:tcPr>
            <w:tcW w:w="654" w:type="dxa"/>
            <w:vAlign w:val="center"/>
          </w:tcPr>
          <w:p>
            <w:pPr>
              <w:spacing w:beforeLines="20" w:before="48" w:afterLines="20" w:after="48"/>
              <w:jc w:val="center"/>
              <w:rPr>
                <w:noProof/>
                <w:sz w:val="14"/>
              </w:rPr>
            </w:pPr>
            <w:r>
              <w:rPr>
                <w:noProof/>
                <w:sz w:val="14"/>
              </w:rPr>
              <w:t>(5)</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TOTALA anslag av administrativ natur som finansieras genom ramanslagen för vissa operativa program</w:t>
            </w:r>
          </w:p>
        </w:tc>
        <w:tc>
          <w:tcPr>
            <w:tcW w:w="654" w:type="dxa"/>
            <w:vAlign w:val="center"/>
          </w:tcPr>
          <w:p>
            <w:pPr>
              <w:spacing w:beforeLines="20" w:before="48" w:afterLines="20" w:after="48"/>
              <w:jc w:val="center"/>
              <w:rPr>
                <w:noProof/>
                <w:sz w:val="14"/>
              </w:rPr>
            </w:pPr>
            <w:r>
              <w:rPr>
                <w:noProof/>
                <w:sz w:val="14"/>
              </w:rPr>
              <w:t>(6)</w:t>
            </w:r>
          </w:p>
        </w:tc>
        <w:tc>
          <w:tcPr>
            <w:tcW w:w="1386"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142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rPr>
              <w:t xml:space="preserve">TOTALA anslag för </w:t>
            </w:r>
            <w:r>
              <w:rPr>
                <w:noProof/>
              </w:rPr>
              <w:br/>
            </w:r>
            <w:r>
              <w:rPr>
                <w:b/>
                <w:noProof/>
              </w:rPr>
              <w:t>RUBRIKERNA 1–4</w:t>
            </w:r>
            <w:r>
              <w:rPr>
                <w:noProof/>
              </w:rPr>
              <w:t xml:space="preserve"> </w:t>
            </w:r>
            <w:r>
              <w:rPr>
                <w:noProof/>
              </w:rPr>
              <w:br/>
              <w:t xml:space="preserve">i den fleråriga budgetramen </w:t>
            </w:r>
            <w:r>
              <w:rPr>
                <w:noProof/>
              </w:rPr>
              <w:br/>
              <w:t>(referensbelopp)</w:t>
            </w:r>
          </w:p>
        </w:tc>
        <w:tc>
          <w:tcPr>
            <w:tcW w:w="1440" w:type="dxa"/>
            <w:vAlign w:val="center"/>
          </w:tcPr>
          <w:p>
            <w:pPr>
              <w:rPr>
                <w:noProof/>
                <w:sz w:val="18"/>
              </w:rPr>
            </w:pPr>
            <w:r>
              <w:rPr>
                <w:noProof/>
                <w:sz w:val="18"/>
              </w:rPr>
              <w:t>Åtaganden</w:t>
            </w:r>
          </w:p>
        </w:tc>
        <w:tc>
          <w:tcPr>
            <w:tcW w:w="654" w:type="dxa"/>
            <w:vAlign w:val="center"/>
          </w:tcPr>
          <w:p>
            <w:pPr>
              <w:jc w:val="center"/>
              <w:rPr>
                <w:noProof/>
                <w:sz w:val="14"/>
              </w:rPr>
            </w:pPr>
            <w:r>
              <w:rPr>
                <w:noProof/>
                <w:sz w:val="14"/>
              </w:rPr>
              <w:t>=4+ 6</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Betalningar</w:t>
            </w:r>
          </w:p>
        </w:tc>
        <w:tc>
          <w:tcPr>
            <w:tcW w:w="654" w:type="dxa"/>
            <w:tcBorders>
              <w:bottom w:val="single" w:sz="4" w:space="0" w:color="auto"/>
            </w:tcBorders>
            <w:vAlign w:val="center"/>
          </w:tcPr>
          <w:p>
            <w:pPr>
              <w:jc w:val="center"/>
              <w:rPr>
                <w:noProof/>
                <w:sz w:val="14"/>
              </w:rPr>
            </w:pPr>
            <w:r>
              <w:rPr>
                <w:noProof/>
                <w:sz w:val="14"/>
              </w:rPr>
              <w:t>=5+ 6</w:t>
            </w:r>
          </w:p>
        </w:tc>
        <w:tc>
          <w:tcPr>
            <w:tcW w:w="1386"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960" w:type="dxa"/>
            <w:tcBorders>
              <w:bottom w:val="single" w:sz="4" w:space="0" w:color="auto"/>
            </w:tcBorders>
            <w:vAlign w:val="center"/>
          </w:tcPr>
          <w:p>
            <w:pPr>
              <w:spacing w:before="20" w:after="20"/>
              <w:jc w:val="right"/>
              <w:rPr>
                <w:b/>
                <w:noProof/>
                <w:sz w:val="20"/>
              </w:rPr>
            </w:pPr>
          </w:p>
        </w:tc>
        <w:tc>
          <w:tcPr>
            <w:tcW w:w="1427" w:type="dxa"/>
            <w:tcBorders>
              <w:bottom w:val="single" w:sz="4" w:space="0" w:color="auto"/>
              <w:right w:val="single" w:sz="4" w:space="0" w:color="auto"/>
            </w:tcBorders>
            <w:vAlign w:val="center"/>
          </w:tcPr>
          <w:p>
            <w:pPr>
              <w:spacing w:before="20" w:after="20"/>
              <w:jc w:val="right"/>
              <w:rPr>
                <w:b/>
                <w:noProof/>
                <w:sz w:val="20"/>
              </w:rPr>
            </w:pPr>
            <w:r>
              <w:rPr>
                <w:b/>
                <w:noProof/>
                <w:sz w:val="20"/>
              </w:rPr>
              <w:t>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 xml:space="preserve">Rubrik i den fleråriga </w:t>
            </w:r>
            <w:r>
              <w:rPr>
                <w:noProof/>
              </w:rPr>
              <w:br/>
            </w:r>
            <w:r>
              <w:rPr>
                <w:b/>
                <w:noProof/>
              </w:rPr>
              <w:t xml:space="preserve">budgetramen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”Administrativa utgifter”</w:t>
            </w:r>
          </w:p>
        </w:tc>
      </w:tr>
    </w:tbl>
    <w:p>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 xml:space="preserve">År </w:t>
            </w:r>
            <w:r>
              <w:rPr>
                <w:noProof/>
                <w:sz w:val="20"/>
              </w:rPr>
              <w:br/>
            </w:r>
            <w:r>
              <w:rPr>
                <w:b/>
                <w:noProof/>
                <w:sz w:val="20"/>
              </w:rPr>
              <w:t>n</w:t>
            </w:r>
          </w:p>
        </w:tc>
        <w:tc>
          <w:tcPr>
            <w:tcW w:w="868" w:type="dxa"/>
            <w:vAlign w:val="center"/>
          </w:tcPr>
          <w:p>
            <w:pPr>
              <w:jc w:val="center"/>
              <w:rPr>
                <w:noProof/>
                <w:sz w:val="20"/>
              </w:rPr>
            </w:pPr>
            <w:r>
              <w:rPr>
                <w:noProof/>
                <w:sz w:val="20"/>
              </w:rPr>
              <w:t xml:space="preserve">År </w:t>
            </w:r>
            <w:r>
              <w:rPr>
                <w:noProof/>
                <w:sz w:val="20"/>
              </w:rPr>
              <w:br/>
            </w:r>
            <w:r>
              <w:rPr>
                <w:b/>
                <w:noProof/>
                <w:sz w:val="20"/>
              </w:rPr>
              <w:t>n+1</w:t>
            </w:r>
          </w:p>
        </w:tc>
        <w:tc>
          <w:tcPr>
            <w:tcW w:w="868" w:type="dxa"/>
            <w:vAlign w:val="center"/>
          </w:tcPr>
          <w:p>
            <w:pPr>
              <w:jc w:val="center"/>
              <w:rPr>
                <w:noProof/>
                <w:sz w:val="20"/>
              </w:rPr>
            </w:pPr>
            <w:r>
              <w:rPr>
                <w:noProof/>
              </w:rPr>
              <w:t xml:space="preserve">År </w:t>
            </w:r>
            <w:r>
              <w:rPr>
                <w:noProof/>
              </w:rPr>
              <w:br/>
            </w:r>
            <w:r>
              <w:rPr>
                <w:b/>
                <w:noProof/>
              </w:rPr>
              <w:t>n+2</w:t>
            </w:r>
          </w:p>
        </w:tc>
        <w:tc>
          <w:tcPr>
            <w:tcW w:w="868" w:type="dxa"/>
            <w:vAlign w:val="center"/>
          </w:tcPr>
          <w:p>
            <w:pPr>
              <w:jc w:val="center"/>
              <w:rPr>
                <w:noProof/>
                <w:sz w:val="20"/>
              </w:rPr>
            </w:pPr>
            <w:r>
              <w:rPr>
                <w:noProof/>
              </w:rPr>
              <w:t xml:space="preserve">År </w:t>
            </w:r>
            <w:r>
              <w:rPr>
                <w:noProof/>
              </w:rPr>
              <w:br/>
            </w:r>
            <w:r>
              <w:rPr>
                <w:b/>
                <w:noProof/>
              </w:rPr>
              <w:t>n+3</w:t>
            </w:r>
          </w:p>
        </w:tc>
        <w:tc>
          <w:tcPr>
            <w:tcW w:w="2604" w:type="dxa"/>
            <w:gridSpan w:val="3"/>
            <w:vAlign w:val="center"/>
          </w:tcPr>
          <w:p>
            <w:pPr>
              <w:jc w:val="center"/>
              <w:rPr>
                <w:b/>
                <w:noProof/>
                <w:sz w:val="18"/>
              </w:rPr>
            </w:pPr>
            <w:r>
              <w:rPr>
                <w:noProof/>
                <w:sz w:val="18"/>
              </w:rPr>
              <w:t xml:space="preserve">För in så många år som behövs för att redovisa inverkan på resursanvändningen (jfr punkt 1.6) </w:t>
            </w:r>
          </w:p>
        </w:tc>
        <w:tc>
          <w:tcPr>
            <w:tcW w:w="1777" w:type="dxa"/>
            <w:vAlign w:val="center"/>
          </w:tcPr>
          <w:p>
            <w:pPr>
              <w:jc w:val="center"/>
              <w:rPr>
                <w:b/>
                <w:noProof/>
                <w:sz w:val="20"/>
              </w:rPr>
            </w:pPr>
            <w:r>
              <w:rPr>
                <w:b/>
                <w:noProof/>
                <w:sz w:val="20"/>
              </w:rPr>
              <w:t>TOTALT</w:t>
            </w:r>
          </w:p>
        </w:tc>
      </w:tr>
      <w:tr>
        <w:trPr>
          <w:gridAfter w:val="10"/>
          <w:wAfter w:w="9947" w:type="dxa"/>
        </w:trPr>
        <w:tc>
          <w:tcPr>
            <w:tcW w:w="3960" w:type="dxa"/>
            <w:vAlign w:val="center"/>
          </w:tcPr>
          <w:p>
            <w:pPr>
              <w:spacing w:before="60" w:after="60"/>
              <w:jc w:val="center"/>
              <w:rPr>
                <w:noProof/>
              </w:rPr>
            </w:pPr>
            <w:r>
              <w:rPr>
                <w:noProof/>
                <w:sz w:val="22"/>
              </w:rPr>
              <w:t xml:space="preserve">GD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rPr>
              <w:t xml:space="preserve"> Personalresurser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rPr>
              <w:t xml:space="preserve"> Övriga administrativa utgifter</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rPr>
              <w:t>GD &lt;….&gt; TOTALT</w:t>
            </w:r>
          </w:p>
        </w:tc>
        <w:tc>
          <w:tcPr>
            <w:tcW w:w="2094" w:type="dxa"/>
            <w:gridSpan w:val="2"/>
            <w:vAlign w:val="center"/>
          </w:tcPr>
          <w:p>
            <w:pPr>
              <w:rPr>
                <w:noProof/>
                <w:sz w:val="14"/>
              </w:rPr>
            </w:pPr>
            <w:r>
              <w:rPr>
                <w:noProof/>
                <w:sz w:val="18"/>
              </w:rPr>
              <w:t xml:space="preserve">Anslag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rPr>
              <w:t xml:space="preserve">TOTALA anslag </w:t>
            </w:r>
            <w:r>
              <w:rPr>
                <w:noProof/>
              </w:rPr>
              <w:br/>
            </w:r>
            <w:r>
              <w:rPr>
                <w:b/>
                <w:noProof/>
              </w:rPr>
              <w:t>för RUBRIK 5</w:t>
            </w:r>
            <w:r>
              <w:rPr>
                <w:noProof/>
              </w:rPr>
              <w:t xml:space="preserve"> </w:t>
            </w:r>
            <w:r>
              <w:rPr>
                <w:noProof/>
              </w:rPr>
              <w:br/>
              <w:t>i den fleråriga budgetramen</w:t>
            </w:r>
            <w:r>
              <w:rPr>
                <w:b/>
                <w:noProof/>
                <w:sz w:val="22"/>
              </w:rPr>
              <w:t xml:space="preserve"> </w:t>
            </w:r>
          </w:p>
        </w:tc>
        <w:tc>
          <w:tcPr>
            <w:tcW w:w="2094" w:type="dxa"/>
            <w:vAlign w:val="center"/>
          </w:tcPr>
          <w:p>
            <w:pPr>
              <w:spacing w:before="40" w:after="40"/>
              <w:rPr>
                <w:noProof/>
              </w:rPr>
            </w:pPr>
            <w:r>
              <w:rPr>
                <w:noProof/>
                <w:sz w:val="18"/>
              </w:rPr>
              <w:t>(summa åtaganden = summa betalningar)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rPr>
              <w:t xml:space="preserve">År </w:t>
            </w:r>
            <w:r>
              <w:rPr>
                <w:noProof/>
              </w:rPr>
              <w:br/>
            </w:r>
            <w:r>
              <w:rPr>
                <w:b/>
                <w:noProof/>
              </w:rPr>
              <w:t>n</w:t>
            </w:r>
            <w:r>
              <w:rPr>
                <w:rStyle w:val="FootnoteReference"/>
                <w:b/>
                <w:noProof/>
              </w:rPr>
              <w:footnoteReference w:id="15"/>
            </w:r>
          </w:p>
        </w:tc>
        <w:tc>
          <w:tcPr>
            <w:tcW w:w="868" w:type="dxa"/>
            <w:vAlign w:val="center"/>
          </w:tcPr>
          <w:p>
            <w:pPr>
              <w:jc w:val="center"/>
              <w:rPr>
                <w:noProof/>
                <w:sz w:val="20"/>
              </w:rPr>
            </w:pPr>
            <w:r>
              <w:rPr>
                <w:noProof/>
              </w:rPr>
              <w:t xml:space="preserve">År </w:t>
            </w:r>
            <w:r>
              <w:rPr>
                <w:noProof/>
              </w:rPr>
              <w:br/>
            </w:r>
            <w:r>
              <w:rPr>
                <w:b/>
                <w:noProof/>
              </w:rPr>
              <w:t>n+1</w:t>
            </w:r>
          </w:p>
        </w:tc>
        <w:tc>
          <w:tcPr>
            <w:tcW w:w="868" w:type="dxa"/>
            <w:vAlign w:val="center"/>
          </w:tcPr>
          <w:p>
            <w:pPr>
              <w:jc w:val="center"/>
              <w:rPr>
                <w:noProof/>
                <w:sz w:val="20"/>
              </w:rPr>
            </w:pPr>
            <w:r>
              <w:rPr>
                <w:noProof/>
              </w:rPr>
              <w:t xml:space="preserve">År </w:t>
            </w:r>
            <w:r>
              <w:rPr>
                <w:noProof/>
              </w:rPr>
              <w:br/>
            </w:r>
            <w:r>
              <w:rPr>
                <w:b/>
                <w:noProof/>
              </w:rPr>
              <w:t>n+2</w:t>
            </w:r>
          </w:p>
        </w:tc>
        <w:tc>
          <w:tcPr>
            <w:tcW w:w="868" w:type="dxa"/>
            <w:vAlign w:val="center"/>
          </w:tcPr>
          <w:p>
            <w:pPr>
              <w:jc w:val="center"/>
              <w:rPr>
                <w:noProof/>
                <w:sz w:val="20"/>
              </w:rPr>
            </w:pPr>
            <w:r>
              <w:rPr>
                <w:noProof/>
              </w:rPr>
              <w:t xml:space="preserve">År </w:t>
            </w:r>
            <w:r>
              <w:rPr>
                <w:noProof/>
              </w:rPr>
              <w:br/>
            </w:r>
            <w:r>
              <w:rPr>
                <w:b/>
                <w:noProof/>
              </w:rPr>
              <w:t>n+3</w:t>
            </w:r>
          </w:p>
        </w:tc>
        <w:tc>
          <w:tcPr>
            <w:tcW w:w="2604" w:type="dxa"/>
            <w:gridSpan w:val="3"/>
            <w:vAlign w:val="center"/>
          </w:tcPr>
          <w:p>
            <w:pPr>
              <w:jc w:val="center"/>
              <w:rPr>
                <w:b/>
                <w:noProof/>
                <w:sz w:val="18"/>
              </w:rPr>
            </w:pPr>
            <w:r>
              <w:rPr>
                <w:noProof/>
                <w:sz w:val="18"/>
              </w:rPr>
              <w:t>För in så många år som behövs för att redovisa inverkan på resursanvändningen (jfr punkt 1.6)</w:t>
            </w:r>
          </w:p>
        </w:tc>
        <w:tc>
          <w:tcPr>
            <w:tcW w:w="1777" w:type="dxa"/>
            <w:vAlign w:val="center"/>
          </w:tcPr>
          <w:p>
            <w:pPr>
              <w:jc w:val="center"/>
              <w:rPr>
                <w:b/>
                <w:noProof/>
                <w:sz w:val="20"/>
              </w:rPr>
            </w:pPr>
            <w:r>
              <w:rPr>
                <w:b/>
                <w:noProof/>
                <w:sz w:val="20"/>
              </w:rPr>
              <w:t>TOTALT</w:t>
            </w:r>
          </w:p>
        </w:tc>
      </w:tr>
      <w:tr>
        <w:tc>
          <w:tcPr>
            <w:tcW w:w="3960" w:type="dxa"/>
            <w:vMerge w:val="restart"/>
            <w:shd w:val="clear" w:color="auto" w:fill="C0C0C0"/>
            <w:vAlign w:val="center"/>
          </w:tcPr>
          <w:p>
            <w:pPr>
              <w:jc w:val="center"/>
              <w:rPr>
                <w:b/>
                <w:noProof/>
              </w:rPr>
            </w:pPr>
            <w:r>
              <w:rPr>
                <w:b/>
                <w:noProof/>
              </w:rPr>
              <w:t xml:space="preserve">TOTALA anslag under </w:t>
            </w:r>
            <w:r>
              <w:rPr>
                <w:noProof/>
              </w:rPr>
              <w:br/>
            </w:r>
            <w:r>
              <w:rPr>
                <w:b/>
                <w:noProof/>
              </w:rPr>
              <w:t>RUBRIKERNA 1–5</w:t>
            </w:r>
            <w:r>
              <w:rPr>
                <w:noProof/>
              </w:rPr>
              <w:t xml:space="preserve"> </w:t>
            </w:r>
            <w:r>
              <w:rPr>
                <w:noProof/>
              </w:rPr>
              <w:br/>
              <w:t>i den fleråriga budgetramen</w:t>
            </w:r>
            <w:r>
              <w:rPr>
                <w:b/>
                <w:noProof/>
                <w:sz w:val="22"/>
              </w:rPr>
              <w:t xml:space="preserve"> </w:t>
            </w:r>
          </w:p>
        </w:tc>
        <w:tc>
          <w:tcPr>
            <w:tcW w:w="2094" w:type="dxa"/>
            <w:gridSpan w:val="2"/>
            <w:vAlign w:val="center"/>
          </w:tcPr>
          <w:p>
            <w:pPr>
              <w:rPr>
                <w:noProof/>
                <w:sz w:val="14"/>
              </w:rPr>
            </w:pPr>
            <w:r>
              <w:rPr>
                <w:noProof/>
                <w:sz w:val="18"/>
              </w:rPr>
              <w:t>Åtaganden</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Betalningar</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Beräknad inverkan på driftsanslagen </w:t>
      </w:r>
    </w:p>
    <w:p>
      <w:pPr>
        <w:pStyle w:val="ListDash1"/>
        <w:rPr>
          <w:noProof/>
        </w:rPr>
      </w:pPr>
      <w:r>
        <w:rPr>
          <w:noProof/>
        </w:rPr>
        <w:sym w:font="Wingdings" w:char="F0A8"/>
      </w:r>
      <w:r>
        <w:rPr>
          <w:noProof/>
        </w:rPr>
        <w:tab/>
        <w:t xml:space="preserve">Förslaget/initiativet kräver inte att driftsanslag tas i anspråk </w:t>
      </w:r>
    </w:p>
    <w:p>
      <w:pPr>
        <w:pStyle w:val="ListDash1"/>
        <w:rPr>
          <w:noProof/>
        </w:rPr>
      </w:pPr>
      <w:r>
        <w:rPr>
          <w:noProof/>
        </w:rPr>
        <w:sym w:font="Wingdings" w:char="F078"/>
      </w:r>
      <w:r>
        <w:rPr>
          <w:noProof/>
        </w:rPr>
        <w:tab/>
        <w:t>Förslaget/initiativet kräver att driftsanslag tas i anspråk enligt följande:</w:t>
      </w:r>
    </w:p>
    <w:p>
      <w:pPr>
        <w:jc w:val="right"/>
        <w:rPr>
          <w:noProof/>
          <w:sz w:val="20"/>
        </w:rPr>
      </w:pPr>
      <w:r>
        <w:rPr>
          <w:noProof/>
          <w:sz w:val="20"/>
        </w:rPr>
        <w:t>Åtagandebemyndiganden i miljoner euro (avrundat till tre decimaler)</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Mål- och resultatbeteckning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rPr>
              <w:t xml:space="preserve">År </w:t>
            </w:r>
            <w:r>
              <w:rPr>
                <w:noProof/>
              </w:rPr>
              <w:br/>
            </w:r>
            <w:r>
              <w:rPr>
                <w:b/>
                <w:noProof/>
              </w:rPr>
              <w:t>n</w:t>
            </w:r>
          </w:p>
        </w:tc>
        <w:tc>
          <w:tcPr>
            <w:tcW w:w="1260" w:type="dxa"/>
            <w:gridSpan w:val="2"/>
            <w:vAlign w:val="center"/>
          </w:tcPr>
          <w:p>
            <w:pPr>
              <w:ind w:right="-29"/>
              <w:jc w:val="center"/>
              <w:rPr>
                <w:noProof/>
                <w:sz w:val="18"/>
                <w:szCs w:val="18"/>
              </w:rPr>
            </w:pPr>
            <w:r>
              <w:rPr>
                <w:noProof/>
              </w:rPr>
              <w:t xml:space="preserve">År </w:t>
            </w:r>
            <w:r>
              <w:rPr>
                <w:noProof/>
              </w:rPr>
              <w:br/>
            </w:r>
            <w:r>
              <w:rPr>
                <w:b/>
                <w:noProof/>
              </w:rPr>
              <w:t>n+1</w:t>
            </w:r>
          </w:p>
        </w:tc>
        <w:tc>
          <w:tcPr>
            <w:tcW w:w="1440" w:type="dxa"/>
            <w:gridSpan w:val="2"/>
            <w:vAlign w:val="center"/>
          </w:tcPr>
          <w:p>
            <w:pPr>
              <w:ind w:right="-29"/>
              <w:jc w:val="center"/>
              <w:rPr>
                <w:noProof/>
                <w:sz w:val="18"/>
                <w:szCs w:val="18"/>
              </w:rPr>
            </w:pPr>
            <w:r>
              <w:rPr>
                <w:noProof/>
              </w:rPr>
              <w:t xml:space="preserve">År </w:t>
            </w:r>
            <w:r>
              <w:rPr>
                <w:noProof/>
              </w:rPr>
              <w:br/>
            </w:r>
            <w:r>
              <w:rPr>
                <w:b/>
                <w:noProof/>
              </w:rPr>
              <w:t>n+2</w:t>
            </w:r>
          </w:p>
        </w:tc>
        <w:tc>
          <w:tcPr>
            <w:tcW w:w="1620" w:type="dxa"/>
            <w:gridSpan w:val="3"/>
            <w:vAlign w:val="center"/>
          </w:tcPr>
          <w:p>
            <w:pPr>
              <w:ind w:right="-29"/>
              <w:jc w:val="center"/>
              <w:rPr>
                <w:noProof/>
                <w:sz w:val="18"/>
                <w:szCs w:val="18"/>
              </w:rPr>
            </w:pPr>
            <w:r>
              <w:rPr>
                <w:noProof/>
              </w:rPr>
              <w:t xml:space="preserve">År </w:t>
            </w:r>
            <w:r>
              <w:rPr>
                <w:noProof/>
              </w:rPr>
              <w:br/>
            </w:r>
            <w:r>
              <w:rPr>
                <w:b/>
                <w:noProof/>
              </w:rPr>
              <w:t>n+3</w:t>
            </w:r>
          </w:p>
        </w:tc>
        <w:tc>
          <w:tcPr>
            <w:tcW w:w="3600" w:type="dxa"/>
            <w:gridSpan w:val="6"/>
            <w:vAlign w:val="center"/>
          </w:tcPr>
          <w:p>
            <w:pPr>
              <w:jc w:val="center"/>
              <w:rPr>
                <w:noProof/>
                <w:sz w:val="18"/>
                <w:szCs w:val="18"/>
              </w:rPr>
            </w:pPr>
            <w:r>
              <w:rPr>
                <w:noProof/>
                <w:sz w:val="18"/>
              </w:rPr>
              <w:t>För in så många år som behövs för att redovisa inverkan på resursanvändningen (jfr punkt 1.6)</w:t>
            </w:r>
          </w:p>
        </w:tc>
        <w:tc>
          <w:tcPr>
            <w:tcW w:w="1620" w:type="dxa"/>
            <w:gridSpan w:val="2"/>
            <w:tcBorders>
              <w:left w:val="nil"/>
              <w:bottom w:val="nil"/>
            </w:tcBorders>
            <w:vAlign w:val="center"/>
          </w:tcPr>
          <w:p>
            <w:pPr>
              <w:ind w:right="-29"/>
              <w:jc w:val="center"/>
              <w:rPr>
                <w:noProof/>
                <w:sz w:val="18"/>
                <w:szCs w:val="18"/>
              </w:rPr>
            </w:pPr>
            <w:r>
              <w:rPr>
                <w:b/>
                <w:noProof/>
                <w:sz w:val="18"/>
              </w:rPr>
              <w:t>TOTALT</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RESULTAT</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Typ</w:t>
            </w:r>
            <w:r>
              <w:rPr>
                <w:rStyle w:val="FootnoteReference"/>
                <w:noProof/>
                <w:sz w:val="18"/>
              </w:rPr>
              <w:footnoteReference w:id="16"/>
            </w:r>
          </w:p>
          <w:p>
            <w:pPr>
              <w:spacing w:before="0" w:after="0"/>
              <w:jc w:val="center"/>
              <w:rPr>
                <w:noProof/>
                <w:sz w:val="18"/>
                <w:szCs w:val="18"/>
              </w:rPr>
            </w:pPr>
          </w:p>
        </w:tc>
        <w:tc>
          <w:tcPr>
            <w:tcW w:w="701" w:type="dxa"/>
            <w:vAlign w:val="center"/>
          </w:tcPr>
          <w:p>
            <w:pPr>
              <w:jc w:val="center"/>
              <w:rPr>
                <w:noProof/>
                <w:sz w:val="18"/>
                <w:szCs w:val="18"/>
              </w:rPr>
            </w:pPr>
            <w:r>
              <w:rPr>
                <w:noProof/>
                <w:sz w:val="18"/>
              </w:rPr>
              <w:t>Genomsnittliga kostnader</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NEJ</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NEJ</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NEJ</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NEJ</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NEJ</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NEJ</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NEJ</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Totalt antal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 kostnad</w:t>
            </w:r>
          </w:p>
        </w:tc>
      </w:tr>
      <w:tr>
        <w:trPr>
          <w:jc w:val="center"/>
        </w:trPr>
        <w:tc>
          <w:tcPr>
            <w:tcW w:w="2844" w:type="dxa"/>
            <w:gridSpan w:val="3"/>
            <w:vAlign w:val="center"/>
          </w:tcPr>
          <w:p>
            <w:pPr>
              <w:spacing w:before="60" w:after="60"/>
              <w:ind w:right="-29"/>
              <w:jc w:val="center"/>
              <w:rPr>
                <w:noProof/>
                <w:sz w:val="18"/>
                <w:szCs w:val="18"/>
              </w:rPr>
            </w:pPr>
            <w:r>
              <w:rPr>
                <w:noProof/>
                <w:sz w:val="18"/>
              </w:rPr>
              <w:t>SPECIFIKT MÅL nr 1…</w:t>
            </w:r>
            <w:r>
              <w:rPr>
                <w:rStyle w:val="FootnoteReference"/>
                <w:noProof/>
                <w:sz w:val="18"/>
              </w:rPr>
              <w:footnoteReference w:id="17"/>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Delsumma för specifikt mål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SPECIFIKT MÅL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Delsumma för specifikt mål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TOTALA KOSTNADER</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Beräknad inverkan på anslag av administrativ natur</w:t>
      </w:r>
    </w:p>
    <w:p>
      <w:pPr>
        <w:pStyle w:val="ManualHeading4"/>
        <w:rPr>
          <w:noProof/>
        </w:rPr>
      </w:pPr>
      <w:r>
        <w:rPr>
          <w:noProof/>
        </w:rPr>
        <w:t>3.2.3.1.</w:t>
      </w:r>
      <w:r>
        <w:rPr>
          <w:noProof/>
        </w:rPr>
        <w:tab/>
        <w:t xml:space="preserve">Sammanfattning </w:t>
      </w:r>
    </w:p>
    <w:p>
      <w:pPr>
        <w:pStyle w:val="ListDash1"/>
        <w:rPr>
          <w:noProof/>
        </w:rPr>
      </w:pPr>
      <w:r>
        <w:rPr>
          <w:noProof/>
        </w:rPr>
        <w:sym w:font="Wingdings" w:char="F078"/>
      </w:r>
      <w:r>
        <w:rPr>
          <w:noProof/>
        </w:rPr>
        <w:tab/>
        <w:t xml:space="preserve">Förslaget/initiativet kräver inte att anslag av administrativ natur tas i anspråk </w:t>
      </w:r>
    </w:p>
    <w:p>
      <w:pPr>
        <w:pStyle w:val="ListDash1"/>
        <w:rPr>
          <w:noProof/>
        </w:rPr>
      </w:pPr>
      <w:r>
        <w:rPr>
          <w:noProof/>
        </w:rPr>
        <w:sym w:font="Wingdings" w:char="F0A8"/>
      </w:r>
      <w:r>
        <w:rPr>
          <w:noProof/>
        </w:rPr>
        <w:tab/>
        <w:t>Förslaget/initiativet kräver att anslag av administrativ natur tas i anspråk enligt följande:</w:t>
      </w:r>
    </w:p>
    <w:p>
      <w:pPr>
        <w:rPr>
          <w:noProof/>
          <w:sz w:val="20"/>
        </w:rPr>
      </w:pPr>
      <w:r>
        <w:rPr>
          <w:noProof/>
          <w:sz w:val="20"/>
        </w:rPr>
        <w:t>Miljoner euro (avrundat till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rPr>
              <w:t xml:space="preserve">År </w:t>
            </w:r>
            <w:r>
              <w:rPr>
                <w:noProof/>
              </w:rPr>
              <w:br/>
            </w:r>
            <w:r>
              <w:rPr>
                <w:b/>
                <w:noProof/>
              </w:rPr>
              <w:t>n</w:t>
            </w:r>
            <w:r>
              <w:rPr>
                <w:rStyle w:val="FootnoteReference"/>
                <w:b/>
                <w:noProof/>
              </w:rPr>
              <w:footnoteReference w:id="18"/>
            </w:r>
          </w:p>
        </w:tc>
        <w:tc>
          <w:tcPr>
            <w:tcW w:w="1080" w:type="dxa"/>
            <w:vAlign w:val="center"/>
          </w:tcPr>
          <w:p>
            <w:pPr>
              <w:spacing w:before="60" w:after="60" w:line="200" w:lineRule="exact"/>
              <w:jc w:val="center"/>
              <w:rPr>
                <w:noProof/>
                <w:sz w:val="16"/>
                <w:szCs w:val="16"/>
              </w:rPr>
            </w:pPr>
            <w:r>
              <w:rPr>
                <w:noProof/>
              </w:rPr>
              <w:t xml:space="preserve">År </w:t>
            </w:r>
            <w:r>
              <w:rPr>
                <w:noProof/>
              </w:rPr>
              <w:br/>
            </w:r>
            <w:r>
              <w:rPr>
                <w:b/>
                <w:noProof/>
              </w:rPr>
              <w:t>n+1</w:t>
            </w:r>
          </w:p>
        </w:tc>
        <w:tc>
          <w:tcPr>
            <w:tcW w:w="1080" w:type="dxa"/>
            <w:vAlign w:val="center"/>
          </w:tcPr>
          <w:p>
            <w:pPr>
              <w:spacing w:before="60" w:after="60" w:line="200" w:lineRule="exact"/>
              <w:jc w:val="center"/>
              <w:rPr>
                <w:noProof/>
                <w:sz w:val="16"/>
                <w:szCs w:val="16"/>
              </w:rPr>
            </w:pPr>
            <w:r>
              <w:rPr>
                <w:noProof/>
              </w:rPr>
              <w:t xml:space="preserve">År </w:t>
            </w:r>
            <w:r>
              <w:rPr>
                <w:noProof/>
              </w:rPr>
              <w:br/>
            </w:r>
            <w:r>
              <w:rPr>
                <w:b/>
                <w:noProof/>
              </w:rPr>
              <w:t>n+2</w:t>
            </w:r>
          </w:p>
        </w:tc>
        <w:tc>
          <w:tcPr>
            <w:tcW w:w="1080" w:type="dxa"/>
            <w:vAlign w:val="center"/>
          </w:tcPr>
          <w:p>
            <w:pPr>
              <w:spacing w:before="60" w:after="60" w:line="200" w:lineRule="exact"/>
              <w:jc w:val="center"/>
              <w:rPr>
                <w:noProof/>
                <w:sz w:val="16"/>
                <w:szCs w:val="16"/>
              </w:rPr>
            </w:pPr>
            <w:r>
              <w:rPr>
                <w:noProof/>
              </w:rPr>
              <w:t xml:space="preserve">År </w:t>
            </w:r>
            <w:r>
              <w:rPr>
                <w:noProof/>
              </w:rPr>
              <w:br/>
            </w:r>
            <w:r>
              <w:rPr>
                <w:b/>
                <w:noProof/>
              </w:rPr>
              <w:t>n+3</w:t>
            </w:r>
          </w:p>
        </w:tc>
        <w:tc>
          <w:tcPr>
            <w:tcW w:w="3240" w:type="dxa"/>
            <w:vAlign w:val="center"/>
          </w:tcPr>
          <w:p>
            <w:pPr>
              <w:spacing w:line="200" w:lineRule="exact"/>
              <w:jc w:val="center"/>
              <w:rPr>
                <w:b/>
                <w:noProof/>
                <w:sz w:val="16"/>
                <w:szCs w:val="16"/>
              </w:rPr>
            </w:pPr>
            <w:r>
              <w:rPr>
                <w:noProof/>
                <w:sz w:val="16"/>
              </w:rPr>
              <w:t>För in så många år som behövs för att redovisa inverkan på resursanvändningen (jfr punkt 1.6)</w:t>
            </w:r>
          </w:p>
        </w:tc>
        <w:tc>
          <w:tcPr>
            <w:tcW w:w="1080" w:type="dxa"/>
            <w:vAlign w:val="center"/>
          </w:tcPr>
          <w:p>
            <w:pPr>
              <w:spacing w:before="60" w:after="60" w:line="200" w:lineRule="exact"/>
              <w:jc w:val="center"/>
              <w:rPr>
                <w:b/>
                <w:noProof/>
                <w:sz w:val="16"/>
                <w:szCs w:val="16"/>
              </w:rPr>
            </w:pPr>
            <w:r>
              <w:rPr>
                <w:b/>
                <w:noProof/>
                <w:sz w:val="16"/>
              </w:rPr>
              <w:t>TOTALT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RUBRIK 5 </w:t>
            </w:r>
            <w:r>
              <w:rPr>
                <w:b/>
                <w:noProof/>
                <w:sz w:val="16"/>
              </w:rPr>
              <w:br/>
              <w:t>i den fleråriga budgetramen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Övriga administrativa utgifter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Delsumma RUBRIK 5 </w:t>
            </w:r>
            <w:r>
              <w:rPr>
                <w:b/>
                <w:noProof/>
                <w:sz w:val="16"/>
              </w:rPr>
              <w:br/>
              <w:t xml:space="preserve">i den fleråriga budgetramen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Belopp utanför RUBRIK 5</w:t>
            </w:r>
            <w:r>
              <w:rPr>
                <w:rStyle w:val="FootnoteReference"/>
                <w:b/>
                <w:noProof/>
                <w:sz w:val="16"/>
              </w:rPr>
              <w:footnoteReference w:id="19"/>
            </w:r>
            <w:r>
              <w:rPr>
                <w:b/>
                <w:noProof/>
                <w:sz w:val="16"/>
              </w:rPr>
              <w:t xml:space="preserve"> </w:t>
            </w:r>
            <w:r>
              <w:rPr>
                <w:b/>
                <w:noProof/>
                <w:sz w:val="16"/>
              </w:rPr>
              <w:br/>
              <w:t xml:space="preserve">i den fleråriga budgetramen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Andra utgifter </w:t>
            </w:r>
            <w:r>
              <w:rPr>
                <w:noProof/>
                <w:sz w:val="16"/>
              </w:rPr>
              <w:br/>
              <w:t>av administrativ natur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Delsumma </w:t>
            </w:r>
            <w:r>
              <w:rPr>
                <w:b/>
                <w:noProof/>
                <w:sz w:val="16"/>
              </w:rPr>
              <w:br/>
              <w:t xml:space="preserve">för belopp utanför RUBRIK 5 </w:t>
            </w:r>
            <w:r>
              <w:rPr>
                <w:b/>
                <w:noProof/>
                <w:sz w:val="16"/>
              </w:rPr>
              <w:br/>
              <w:t xml:space="preserve">i den fleråriga budgetramen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Personalbehov och andra administrativa kostnader ska täckas genom anslag inom det generaldirektorat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r>
        <w:rPr>
          <w:noProof/>
        </w:rPr>
        <w:tab/>
      </w:r>
    </w:p>
    <w:p>
      <w:pPr>
        <w:pStyle w:val="ManualHeading4"/>
        <w:rPr>
          <w:bCs/>
          <w:noProof/>
          <w:szCs w:val="24"/>
        </w:rPr>
      </w:pPr>
      <w:r>
        <w:rPr>
          <w:noProof/>
        </w:rPr>
        <w:t>3.2.3.2.</w:t>
      </w:r>
      <w:r>
        <w:rPr>
          <w:noProof/>
        </w:rPr>
        <w:tab/>
        <w:t>Beräknat personalbehov</w:t>
      </w:r>
    </w:p>
    <w:p>
      <w:pPr>
        <w:pStyle w:val="ListDash1"/>
        <w:rPr>
          <w:noProof/>
        </w:rPr>
      </w:pPr>
      <w:r>
        <w:rPr>
          <w:noProof/>
        </w:rPr>
        <w:sym w:font="Wingdings" w:char="F078"/>
      </w:r>
      <w:r>
        <w:rPr>
          <w:noProof/>
        </w:rPr>
        <w:tab/>
        <w:t xml:space="preserve">Förslaget/initiativet kräver inte att personalresurser tas i anspråk </w:t>
      </w:r>
    </w:p>
    <w:p>
      <w:pPr>
        <w:pStyle w:val="ListDash1"/>
        <w:rPr>
          <w:noProof/>
        </w:rPr>
      </w:pPr>
      <w:r>
        <w:rPr>
          <w:noProof/>
        </w:rPr>
        <w:sym w:font="Wingdings" w:char="F0A8"/>
      </w:r>
      <w:r>
        <w:rPr>
          <w:noProof/>
        </w:rPr>
        <w:tab/>
        <w:t>Förslaget/initiativet kräver att personalresurser tas i anspråk enligt följande:</w:t>
      </w:r>
    </w:p>
    <w:p>
      <w:pPr>
        <w:spacing w:after="60"/>
        <w:jc w:val="right"/>
        <w:rPr>
          <w:i/>
          <w:noProof/>
          <w:sz w:val="20"/>
        </w:rPr>
      </w:pPr>
      <w:r>
        <w:rPr>
          <w:i/>
          <w:noProof/>
          <w:sz w:val="20"/>
        </w:rPr>
        <w:t>Beräkningarna ska anges i heltidsekvivalenter</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rPr>
              <w:t xml:space="preserve">År </w:t>
            </w:r>
            <w:r>
              <w:rPr>
                <w:noProof/>
              </w:rPr>
              <w:br/>
            </w:r>
            <w:r>
              <w:rPr>
                <w:b/>
                <w:noProof/>
              </w:rPr>
              <w:t>n</w:t>
            </w:r>
          </w:p>
        </w:tc>
        <w:tc>
          <w:tcPr>
            <w:tcW w:w="318" w:type="pct"/>
            <w:shd w:val="clear" w:color="auto" w:fill="auto"/>
            <w:vAlign w:val="center"/>
          </w:tcPr>
          <w:p>
            <w:pPr>
              <w:spacing w:before="20" w:after="20"/>
              <w:jc w:val="center"/>
              <w:rPr>
                <w:noProof/>
                <w:sz w:val="16"/>
                <w:szCs w:val="16"/>
              </w:rPr>
            </w:pPr>
            <w:r>
              <w:rPr>
                <w:noProof/>
              </w:rPr>
              <w:t xml:space="preserve">År </w:t>
            </w:r>
            <w:r>
              <w:rPr>
                <w:noProof/>
              </w:rPr>
              <w:br/>
            </w:r>
            <w:r>
              <w:rPr>
                <w:b/>
                <w:noProof/>
              </w:rPr>
              <w:t>n+1</w:t>
            </w:r>
          </w:p>
        </w:tc>
        <w:tc>
          <w:tcPr>
            <w:tcW w:w="1891" w:type="pct"/>
            <w:shd w:val="clear" w:color="auto" w:fill="auto"/>
            <w:vAlign w:val="center"/>
          </w:tcPr>
          <w:p>
            <w:pPr>
              <w:spacing w:before="20" w:after="20"/>
              <w:jc w:val="center"/>
              <w:rPr>
                <w:noProof/>
                <w:sz w:val="16"/>
                <w:szCs w:val="16"/>
              </w:rPr>
            </w:pPr>
            <w:r>
              <w:rPr>
                <w:noProof/>
                <w:sz w:val="16"/>
              </w:rPr>
              <w:t xml:space="preserve">År </w:t>
            </w:r>
            <w:r>
              <w:rPr>
                <w:noProof/>
                <w:sz w:val="16"/>
                <w:szCs w:val="16"/>
              </w:rPr>
              <w:br/>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År </w:t>
            </w:r>
            <w:r>
              <w:rPr>
                <w:noProof/>
                <w:sz w:val="16"/>
                <w:szCs w:val="16"/>
              </w:rPr>
              <w:br/>
            </w:r>
            <w:r>
              <w:rPr>
                <w:b/>
                <w:noProof/>
                <w:sz w:val="16"/>
              </w:rPr>
              <w:t>n+3</w:t>
            </w:r>
          </w:p>
        </w:tc>
        <w:tc>
          <w:tcPr>
            <w:tcW w:w="345" w:type="pct"/>
            <w:gridSpan w:val="3"/>
            <w:shd w:val="clear" w:color="auto" w:fill="auto"/>
            <w:vAlign w:val="center"/>
          </w:tcPr>
          <w:p>
            <w:pPr>
              <w:jc w:val="center"/>
              <w:rPr>
                <w:b/>
                <w:noProof/>
                <w:sz w:val="16"/>
                <w:szCs w:val="16"/>
              </w:rPr>
            </w:pPr>
            <w:r>
              <w:rPr>
                <w:noProof/>
                <w:sz w:val="16"/>
              </w:rPr>
              <w:t>För in så många år som behövs för att redovisa inverkan på resursanvändningen (jfr punkt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noProof/>
              </w:rPr>
              <w:t xml:space="preserve"> </w:t>
            </w:r>
            <w:r>
              <w:rPr>
                <w:b/>
                <w:noProof/>
                <w:sz w:val="16"/>
              </w:rPr>
              <w:t>Tjänster som tas upp i tjänsteförteckningen (tjänstemän och tillfälligt anställda)</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(vid huvudkontoret eller vid kommissionens kontor i medlemsstaterna)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(vid delegationer)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(indirekta forskningsåtgärder)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(direkta forskningsåtgärder)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w:t>
            </w:r>
            <w:r>
              <w:rPr>
                <w:b/>
                <w:noProof/>
                <w:sz w:val="16"/>
              </w:rPr>
              <w:t>Extern personal (i heltidsekvivalenter)</w:t>
            </w:r>
            <w:r>
              <w:rPr>
                <w:rStyle w:val="FootnoteReference"/>
                <w:b/>
                <w:noProof/>
                <w:sz w:val="16"/>
              </w:rPr>
              <w:footnoteReference w:id="20"/>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(kontraktsanställda, nationella experter och personal från bemanningsföretag finansierade genom ramanslaget)</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(kontraktsanställda, lokalanställda, nationella experter, vikarier och unga experter som tjänstgör vid delegationerna)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noProof/>
                <w:sz w:val="16"/>
              </w:rPr>
              <w:t>XX 01 04 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vid huvudkontoret</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vid delegationer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05 02 (kontraktsanställda, nationella experter och vikarier som arbetar med indirekta forskningsåtgärder)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(kontraktsanställda, vikarier och nationella experter som arbetar med direkta forskningsåtgärder)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Annan budgetrubrik (ange vilken)</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TOTALT</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motsvarar det politikområde eller den avdelning i budgeten som avses.</w:t>
      </w:r>
    </w:p>
    <w:p>
      <w:pPr>
        <w:pStyle w:val="Text1"/>
        <w:rPr>
          <w:noProof/>
          <w:sz w:val="18"/>
          <w:szCs w:val="18"/>
        </w:rPr>
      </w:pPr>
      <w:r>
        <w:rPr>
          <w:noProof/>
          <w:sz w:val="18"/>
        </w:rPr>
        <w:t>Personalbehoven ska täckas med personal inom generaldirektoratet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Tjänstemän och tillfälligt anställda</w:t>
            </w:r>
          </w:p>
        </w:tc>
        <w:tc>
          <w:tcPr>
            <w:tcW w:w="7200" w:type="dxa"/>
          </w:tcPr>
          <w:p>
            <w:pPr>
              <w:rPr>
                <w:noProof/>
                <w:sz w:val="20"/>
              </w:rPr>
            </w:pPr>
          </w:p>
        </w:tc>
      </w:tr>
      <w:tr>
        <w:tc>
          <w:tcPr>
            <w:tcW w:w="3240" w:type="dxa"/>
          </w:tcPr>
          <w:p>
            <w:pPr>
              <w:spacing w:before="60" w:after="60"/>
              <w:rPr>
                <w:noProof/>
                <w:sz w:val="20"/>
              </w:rPr>
            </w:pPr>
            <w:r>
              <w:rPr>
                <w:noProof/>
                <w:sz w:val="20"/>
              </w:rPr>
              <w:t>Extern personal</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Förenlighet med den gällande fleråriga budgetramen </w:t>
      </w:r>
    </w:p>
    <w:p>
      <w:pPr>
        <w:pStyle w:val="ListDash1"/>
        <w:rPr>
          <w:noProof/>
        </w:rPr>
      </w:pPr>
      <w:r>
        <w:rPr>
          <w:noProof/>
        </w:rPr>
        <w:sym w:font="Wingdings" w:char="F078"/>
      </w:r>
      <w:r>
        <w:rPr>
          <w:noProof/>
        </w:rPr>
        <w:tab/>
        <w:t>Förslaget/initiativet är förenligt med den gällande fleråriga budgetramen</w:t>
      </w:r>
    </w:p>
    <w:p>
      <w:pPr>
        <w:pStyle w:val="ListDash1"/>
        <w:rPr>
          <w:noProof/>
        </w:rPr>
      </w:pPr>
      <w:r>
        <w:rPr>
          <w:noProof/>
        </w:rPr>
        <w:sym w:font="Wingdings" w:char="F0A8"/>
      </w:r>
      <w:r>
        <w:rPr>
          <w:noProof/>
        </w:rPr>
        <w:tab/>
        <w:t>Förslaget/initiativet kräver omfördelningar under den berörda rubriken i den fleråriga budgetramen</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Förklara i förekommande fall vilka ändringar i planeringen som krävs, och ange berörda budgetrubriker och belopp.</w:t>
      </w:r>
    </w:p>
    <w:p>
      <w:pPr>
        <w:pStyle w:val="ListDash1"/>
        <w:rPr>
          <w:noProof/>
        </w:rPr>
      </w:pPr>
      <w:r>
        <w:rPr>
          <w:noProof/>
        </w:rPr>
        <w:sym w:font="Wingdings" w:char="F0A8"/>
      </w:r>
      <w:r>
        <w:rPr>
          <w:noProof/>
        </w:rPr>
        <w:tab/>
        <w:t>Förslaget/initiativet förutsätter att flexibilitetsmekanismen utnyttjas eller att den fleråriga budgetramen revideras.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Beskriv behovet av sådana åtgärder, och ange berörda rubriker i budgetramen, budgetrubriker i den årliga budgeten samt belopp.</w:t>
      </w:r>
    </w:p>
    <w:p>
      <w:pPr>
        <w:pStyle w:val="ManualHeading3"/>
        <w:rPr>
          <w:bCs/>
          <w:noProof/>
          <w:szCs w:val="24"/>
        </w:rPr>
      </w:pPr>
      <w:r>
        <w:rPr>
          <w:noProof/>
        </w:rPr>
        <w:t>3.2.5.</w:t>
      </w:r>
      <w:r>
        <w:rPr>
          <w:noProof/>
        </w:rPr>
        <w:tab/>
        <w:t xml:space="preserve">Bidrag från tredje part </w:t>
      </w:r>
    </w:p>
    <w:p>
      <w:pPr>
        <w:pStyle w:val="ListDash1"/>
        <w:rPr>
          <w:noProof/>
        </w:rPr>
      </w:pPr>
      <w:r>
        <w:rPr>
          <w:noProof/>
        </w:rPr>
        <w:t xml:space="preserve">Det ingår inga bidrag från tredje part i det aktuella förslaget eller initiativet </w:t>
      </w:r>
    </w:p>
    <w:p>
      <w:pPr>
        <w:pStyle w:val="ListDash1"/>
        <w:rPr>
          <w:noProof/>
        </w:rPr>
      </w:pPr>
      <w:r>
        <w:rPr>
          <w:noProof/>
        </w:rPr>
        <w:t>Förslaget eller initiativet kommer att medfinansieras enligt följande:</w:t>
      </w:r>
    </w:p>
    <w:p>
      <w:pPr>
        <w:jc w:val="right"/>
        <w:rPr>
          <w:noProof/>
          <w:sz w:val="20"/>
        </w:rPr>
      </w:pPr>
      <w:r>
        <w:rPr>
          <w:noProof/>
          <w:sz w:val="20"/>
        </w:rPr>
        <w:t>Anslag i miljoner euro (avrundat till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rPr>
              <w:t xml:space="preserve">År </w:t>
            </w:r>
            <w:r>
              <w:rPr>
                <w:noProof/>
              </w:rPr>
              <w:br/>
            </w:r>
            <w:r>
              <w:rPr>
                <w:b/>
                <w:noProof/>
              </w:rPr>
              <w:t>n</w:t>
            </w:r>
          </w:p>
        </w:tc>
        <w:tc>
          <w:tcPr>
            <w:tcW w:w="964" w:type="dxa"/>
            <w:vAlign w:val="center"/>
          </w:tcPr>
          <w:p>
            <w:pPr>
              <w:jc w:val="center"/>
              <w:rPr>
                <w:noProof/>
                <w:sz w:val="20"/>
              </w:rPr>
            </w:pPr>
            <w:r>
              <w:rPr>
                <w:noProof/>
              </w:rPr>
              <w:t xml:space="preserve">År </w:t>
            </w:r>
            <w:r>
              <w:rPr>
                <w:noProof/>
              </w:rPr>
              <w:br/>
            </w:r>
            <w:r>
              <w:rPr>
                <w:b/>
                <w:noProof/>
              </w:rPr>
              <w:t>n+1</w:t>
            </w:r>
          </w:p>
        </w:tc>
        <w:tc>
          <w:tcPr>
            <w:tcW w:w="964" w:type="dxa"/>
            <w:vAlign w:val="center"/>
          </w:tcPr>
          <w:p>
            <w:pPr>
              <w:jc w:val="center"/>
              <w:rPr>
                <w:noProof/>
                <w:sz w:val="20"/>
              </w:rPr>
            </w:pPr>
            <w:r>
              <w:rPr>
                <w:noProof/>
              </w:rPr>
              <w:t xml:space="preserve">År </w:t>
            </w:r>
            <w:r>
              <w:rPr>
                <w:noProof/>
              </w:rPr>
              <w:br/>
            </w:r>
            <w:r>
              <w:rPr>
                <w:b/>
                <w:noProof/>
              </w:rPr>
              <w:t>n+2</w:t>
            </w:r>
          </w:p>
        </w:tc>
        <w:tc>
          <w:tcPr>
            <w:tcW w:w="964" w:type="dxa"/>
            <w:vAlign w:val="center"/>
          </w:tcPr>
          <w:p>
            <w:pPr>
              <w:jc w:val="center"/>
              <w:rPr>
                <w:noProof/>
                <w:sz w:val="20"/>
              </w:rPr>
            </w:pPr>
            <w:r>
              <w:rPr>
                <w:noProof/>
              </w:rPr>
              <w:t xml:space="preserve">År </w:t>
            </w:r>
            <w:r>
              <w:rPr>
                <w:noProof/>
              </w:rPr>
              <w:br/>
            </w:r>
            <w:r>
              <w:rPr>
                <w:b/>
                <w:noProof/>
              </w:rPr>
              <w:t>n+3</w:t>
            </w:r>
          </w:p>
        </w:tc>
        <w:tc>
          <w:tcPr>
            <w:tcW w:w="2892" w:type="dxa"/>
            <w:gridSpan w:val="3"/>
            <w:vAlign w:val="center"/>
          </w:tcPr>
          <w:p>
            <w:pPr>
              <w:jc w:val="center"/>
              <w:rPr>
                <w:b/>
                <w:noProof/>
                <w:sz w:val="20"/>
              </w:rPr>
            </w:pPr>
            <w:r>
              <w:rPr>
                <w:noProof/>
                <w:sz w:val="20"/>
              </w:rPr>
              <w:t>För in så många år som behövs för att redovisa inverkan på resursanvändningen (jfr punkt 1.6)</w:t>
            </w:r>
          </w:p>
        </w:tc>
        <w:tc>
          <w:tcPr>
            <w:tcW w:w="1158" w:type="dxa"/>
            <w:vAlign w:val="center"/>
          </w:tcPr>
          <w:p>
            <w:pPr>
              <w:spacing w:before="60" w:after="60"/>
              <w:jc w:val="center"/>
              <w:rPr>
                <w:noProof/>
                <w:sz w:val="20"/>
              </w:rPr>
            </w:pPr>
            <w:r>
              <w:rPr>
                <w:noProof/>
                <w:sz w:val="20"/>
              </w:rPr>
              <w:t>Totalt</w:t>
            </w:r>
          </w:p>
        </w:tc>
      </w:tr>
      <w:tr>
        <w:trPr>
          <w:cantSplit/>
        </w:trPr>
        <w:tc>
          <w:tcPr>
            <w:tcW w:w="2340" w:type="dxa"/>
          </w:tcPr>
          <w:p>
            <w:pPr>
              <w:rPr>
                <w:noProof/>
              </w:rPr>
            </w:pPr>
            <w:r>
              <w:rPr>
                <w:noProof/>
                <w:sz w:val="20"/>
              </w:rPr>
              <w:t>Ange vilken extern organisation eller annan källa som bidrar till 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TOTALA anslag som tillförs genom medfinansiering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pStyle w:val="ManualHeading2"/>
        <w:rPr>
          <w:bCs/>
          <w:noProof/>
          <w:szCs w:val="24"/>
        </w:rPr>
      </w:pPr>
      <w:r>
        <w:rPr>
          <w:noProof/>
        </w:rPr>
        <w:t>3.3.</w:t>
      </w:r>
      <w:r>
        <w:rPr>
          <w:noProof/>
        </w:rPr>
        <w:tab/>
        <w:t xml:space="preserve">Beräknad inverkan på inkomsterna </w:t>
      </w:r>
    </w:p>
    <w:p>
      <w:pPr>
        <w:pStyle w:val="ListDash1"/>
        <w:rPr>
          <w:noProof/>
        </w:rPr>
      </w:pPr>
      <w:r>
        <w:rPr>
          <w:noProof/>
        </w:rPr>
        <w:sym w:font="Wingdings" w:char="F078"/>
      </w:r>
      <w:r>
        <w:rPr>
          <w:noProof/>
        </w:rPr>
        <w:tab/>
        <w:t>Förslaget/initiativet påverkar inte budgetens inkomstsida.</w:t>
      </w:r>
    </w:p>
    <w:p>
      <w:pPr>
        <w:pStyle w:val="ListDash1"/>
        <w:rPr>
          <w:noProof/>
        </w:rPr>
      </w:pPr>
      <w:r>
        <w:rPr>
          <w:noProof/>
        </w:rPr>
        <w:sym w:font="Wingdings" w:char="F0A8"/>
      </w:r>
      <w:r>
        <w:rPr>
          <w:noProof/>
        </w:rPr>
        <w:tab/>
        <w:t>Förslaget/initiativet påverkar inkomsterna på följande sätt:</w:t>
      </w:r>
    </w:p>
    <w:p>
      <w:pPr>
        <w:pStyle w:val="ListNumberLevel3"/>
        <w:tabs>
          <w:tab w:val="clear" w:pos="2126"/>
        </w:tabs>
        <w:rPr>
          <w:noProof/>
        </w:rPr>
      </w:pPr>
      <w:r>
        <w:rPr>
          <w:noProof/>
        </w:rPr>
        <w:sym w:font="Wingdings" w:char="F0A8"/>
      </w:r>
      <w:r>
        <w:rPr>
          <w:noProof/>
        </w:rPr>
        <w:tab/>
        <w:t xml:space="preserve">Påverkan på egna medel </w:t>
      </w:r>
    </w:p>
    <w:p>
      <w:pPr>
        <w:pStyle w:val="ListNumberLevel3"/>
        <w:tabs>
          <w:tab w:val="clear" w:pos="2126"/>
        </w:tabs>
        <w:rPr>
          <w:noProof/>
        </w:rPr>
      </w:pPr>
      <w:r>
        <w:rPr>
          <w:noProof/>
        </w:rPr>
        <w:sym w:font="Wingdings" w:char="F0A8"/>
      </w:r>
      <w:r>
        <w:rPr>
          <w:noProof/>
        </w:rPr>
        <w:tab/>
        <w:t xml:space="preserve">Påverkan på ”diverse inkomster” </w:t>
      </w:r>
    </w:p>
    <w:p>
      <w:pPr>
        <w:jc w:val="right"/>
        <w:rPr>
          <w:i/>
          <w:noProof/>
          <w:sz w:val="20"/>
        </w:rPr>
      </w:pPr>
      <w:r>
        <w:rPr>
          <w:noProof/>
        </w:rPr>
        <w:t>Miljoner euro (avrundat till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Budgetrubrik i den årliga budgetens inkomstdel:</w:t>
            </w:r>
          </w:p>
        </w:tc>
        <w:tc>
          <w:tcPr>
            <w:tcW w:w="1276" w:type="dxa"/>
            <w:vMerge w:val="restart"/>
            <w:vAlign w:val="center"/>
          </w:tcPr>
          <w:p>
            <w:pPr>
              <w:jc w:val="center"/>
              <w:rPr>
                <w:noProof/>
                <w:sz w:val="18"/>
              </w:rPr>
            </w:pPr>
            <w:r>
              <w:rPr>
                <w:noProof/>
                <w:sz w:val="18"/>
              </w:rPr>
              <w:t>Belopp som förts in för det innevarande budgetåret</w:t>
            </w:r>
          </w:p>
        </w:tc>
        <w:tc>
          <w:tcPr>
            <w:tcW w:w="7200" w:type="dxa"/>
            <w:gridSpan w:val="7"/>
            <w:vAlign w:val="center"/>
          </w:tcPr>
          <w:p>
            <w:pPr>
              <w:jc w:val="center"/>
              <w:rPr>
                <w:noProof/>
                <w:sz w:val="18"/>
              </w:rPr>
            </w:pPr>
            <w:r>
              <w:rPr>
                <w:noProof/>
                <w:sz w:val="18"/>
              </w:rPr>
              <w:t>Förslagets eller initiativets inverkan på inkomsterna</w:t>
            </w:r>
            <w:r>
              <w:rPr>
                <w:rStyle w:val="FootnoteReference"/>
                <w:noProof/>
                <w:sz w:val="18"/>
              </w:rPr>
              <w:footnoteReference w:id="2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rPr>
              <w:t xml:space="preserve">År </w:t>
            </w:r>
            <w:r>
              <w:rPr>
                <w:noProof/>
              </w:rPr>
              <w:br/>
            </w:r>
            <w:r>
              <w:rPr>
                <w:b/>
                <w:noProof/>
              </w:rPr>
              <w:t>n</w:t>
            </w:r>
          </w:p>
        </w:tc>
        <w:tc>
          <w:tcPr>
            <w:tcW w:w="900" w:type="dxa"/>
            <w:vAlign w:val="center"/>
          </w:tcPr>
          <w:p>
            <w:pPr>
              <w:jc w:val="center"/>
              <w:rPr>
                <w:noProof/>
                <w:sz w:val="18"/>
              </w:rPr>
            </w:pPr>
            <w:r>
              <w:rPr>
                <w:noProof/>
              </w:rPr>
              <w:t xml:space="preserve">År </w:t>
            </w:r>
            <w:r>
              <w:rPr>
                <w:noProof/>
              </w:rPr>
              <w:br/>
            </w:r>
            <w:r>
              <w:rPr>
                <w:b/>
                <w:noProof/>
              </w:rPr>
              <w:t>n+1</w:t>
            </w:r>
          </w:p>
        </w:tc>
        <w:tc>
          <w:tcPr>
            <w:tcW w:w="900" w:type="dxa"/>
            <w:vAlign w:val="center"/>
          </w:tcPr>
          <w:p>
            <w:pPr>
              <w:jc w:val="center"/>
              <w:rPr>
                <w:noProof/>
                <w:sz w:val="18"/>
              </w:rPr>
            </w:pPr>
            <w:r>
              <w:rPr>
                <w:noProof/>
              </w:rPr>
              <w:t xml:space="preserve">År </w:t>
            </w:r>
            <w:r>
              <w:rPr>
                <w:noProof/>
              </w:rPr>
              <w:br/>
            </w:r>
            <w:r>
              <w:rPr>
                <w:b/>
                <w:noProof/>
              </w:rPr>
              <w:t>n+2</w:t>
            </w:r>
          </w:p>
        </w:tc>
        <w:tc>
          <w:tcPr>
            <w:tcW w:w="1080" w:type="dxa"/>
            <w:vAlign w:val="center"/>
          </w:tcPr>
          <w:p>
            <w:pPr>
              <w:jc w:val="center"/>
              <w:rPr>
                <w:noProof/>
                <w:sz w:val="18"/>
              </w:rPr>
            </w:pPr>
            <w:r>
              <w:rPr>
                <w:noProof/>
              </w:rPr>
              <w:t xml:space="preserve">År </w:t>
            </w:r>
            <w:r>
              <w:rPr>
                <w:noProof/>
              </w:rPr>
              <w:br/>
            </w:r>
            <w:r>
              <w:rPr>
                <w:b/>
                <w:noProof/>
              </w:rPr>
              <w:t>n+3</w:t>
            </w:r>
          </w:p>
        </w:tc>
        <w:tc>
          <w:tcPr>
            <w:tcW w:w="3240" w:type="dxa"/>
            <w:gridSpan w:val="3"/>
            <w:vAlign w:val="center"/>
          </w:tcPr>
          <w:p>
            <w:pPr>
              <w:jc w:val="center"/>
              <w:rPr>
                <w:b/>
                <w:noProof/>
                <w:sz w:val="18"/>
              </w:rPr>
            </w:pPr>
            <w:r>
              <w:rPr>
                <w:noProof/>
                <w:sz w:val="18"/>
              </w:rPr>
              <w:t>För in så många år som behövs för att redovisa inverkan på resursanvändningen (jfr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Ange vilka budgetrubriker i utgiftsdelen som berörs i de fall där inkomster i diversekategorin kommer att avsättas för särskilda ändamål.</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r>
        <w:rPr>
          <w:noProof/>
          <w:sz w:val="20"/>
        </w:rPr>
        <w:t>Ange med vilken metod inverkan på inkomsterna har beräknats.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Europaparlamentets och rådets förordning (EU) nr 1303/2013 av den 17 december 2013 om fastställande av gemensamma bestämmelser för Europeiska regionala utvecklingsfonden, Europeiska socialfonden, Sammanhållningsfonden, Europeiska jordbruksfonden för landsbygdsutveckling och Europeiska havs- och fiskerifonden, om fastställande av allmänna bestämmelser för Europeiska regionala utvecklingsfonden, Europeiska socialfonden, Sammanhållningsfonden och Europeiska havs- och fiskerifonden samt om upphävande av rådets förordning (EG) nr 1083/2006 (EUT L 347, 20.12.2013, s. 320), senast ändrad genom Europaparlamentets och rådets förordning (EU) 2017/2305 av den 12 december 2017 om ändring av förordning (EU) nr 1303/2013 vad gäller ändringar av medlen för ekonomisk, social och territoriell sammanhållning samt medlen för målet Investering för tillväxt och sysselsättning och målet Europeiskt territoriellt samarbete (EUT L 335, 15.12.2017, s. 1).</w:t>
      </w:r>
    </w:p>
  </w:footnote>
  <w:footnote w:id="2">
    <w:p>
      <w:pPr>
        <w:pStyle w:val="FootnoteText"/>
        <w:rPr>
          <w:lang w:val="fr-FR"/>
        </w:rPr>
      </w:pPr>
      <w:r>
        <w:rPr>
          <w:rStyle w:val="FootnoteReference"/>
        </w:rPr>
        <w:footnoteRef/>
      </w:r>
      <w:r>
        <w:rPr>
          <w:lang w:val="fr-FR"/>
        </w:rPr>
        <w:tab/>
        <w:t>EUT C […], […], s. […].</w:t>
      </w:r>
    </w:p>
  </w:footnote>
  <w:footnote w:id="3">
    <w:p>
      <w:pPr>
        <w:pStyle w:val="FootnoteText"/>
        <w:rPr>
          <w:lang w:val="fr-FR"/>
        </w:rPr>
      </w:pPr>
      <w:r>
        <w:rPr>
          <w:rStyle w:val="FootnoteReference"/>
        </w:rPr>
        <w:footnoteRef/>
      </w:r>
      <w:r>
        <w:rPr>
          <w:lang w:val="fr-FR"/>
        </w:rPr>
        <w:tab/>
        <w:t>EUT C […], […], s. […].</w:t>
      </w:r>
    </w:p>
  </w:footnote>
  <w:footnote w:id="4">
    <w:p>
      <w:pPr>
        <w:pStyle w:val="FootnoteText"/>
      </w:pPr>
      <w:r>
        <w:rPr>
          <w:rStyle w:val="FootnoteReference"/>
        </w:rPr>
        <w:footnoteRef/>
      </w:r>
      <w:r>
        <w:tab/>
        <w:t>Europaparlamentets och rådets förordning (EU) nr 1303/2013 av den 17 december 2013 om fastställande av gemensamma bestämmelser för Europeiska regionala utvecklingsfonden, Europeiska socialfonden, Sammanhållningsfonden, Europeiska jordbruksfonden för landsbygdsutveckling och Europeiska havs- och fiskerifonden, om fastställande av allmänna bestämmelser för Europeiska regionala utvecklingsfonden, Europeiska socialfonden, Sammanhållningsfonden och Europeiska havs- och fiskerifonden samt om upphävande av rådets förordning (EG) nr 1083/2006 (EUT L 347, 20.12.2013, s. 320).</w:t>
      </w:r>
    </w:p>
  </w:footnote>
  <w:footnote w:id="5">
    <w:p>
      <w:pPr>
        <w:pStyle w:val="FootnoteText"/>
      </w:pPr>
      <w:r>
        <w:rPr>
          <w:rStyle w:val="FootnoteReference"/>
        </w:rPr>
        <w:footnoteRef/>
      </w:r>
      <w:r>
        <w:tab/>
        <w:t>Europaparlamentets och rådets förordning (EU) 2017/2305 av den 12 december 2017 om ändring av förordning (EU) nr 1303/2013 vad gäller ändringar av medlen för ekonomisk, social och territoriell sammanhållning samt medlen för målet Investering för tillväxt och sysselsättning och målet Europeiskt territoriellt samarbete (EUT L 335, 15.12.2017, s. 1).</w:t>
      </w:r>
    </w:p>
  </w:footnote>
  <w:footnote w:id="6">
    <w:p>
      <w:pPr>
        <w:pStyle w:val="FootnoteText"/>
      </w:pPr>
      <w:r>
        <w:rPr>
          <w:rStyle w:val="FootnoteReference"/>
        </w:rPr>
        <w:footnoteRef/>
      </w:r>
      <w:r>
        <w:tab/>
        <w:t>EUT L 57, 28.2.2018, s. 1.</w:t>
      </w:r>
    </w:p>
  </w:footnote>
  <w:footnote w:id="7">
    <w:p>
      <w:pPr>
        <w:pStyle w:val="FootnoteText"/>
        <w:rPr>
          <w:szCs w:val="24"/>
        </w:rPr>
      </w:pPr>
      <w:r>
        <w:rPr>
          <w:rStyle w:val="FootnoteReference"/>
        </w:rPr>
        <w:footnoteRef/>
      </w:r>
      <w:r>
        <w:tab/>
        <w:t>Verksamhetsbaserad förvaltning och verksamhetsbaserad budgetering benämns ibland med de interna förkortningarna ABM respektive ABB.</w:t>
      </w:r>
    </w:p>
  </w:footnote>
  <w:footnote w:id="8">
    <w:p>
      <w:pPr>
        <w:pStyle w:val="FootnoteText"/>
        <w:rPr>
          <w:szCs w:val="24"/>
        </w:rPr>
      </w:pPr>
      <w:r>
        <w:rPr>
          <w:rStyle w:val="FootnoteReference"/>
        </w:rPr>
        <w:footnoteRef/>
      </w:r>
      <w:r>
        <w:tab/>
        <w:t>I den mening som avses i artikel 54.2 a eller b i budgetförordningen.</w:t>
      </w:r>
    </w:p>
  </w:footnote>
  <w:footnote w:id="9">
    <w:p>
      <w:pPr>
        <w:pStyle w:val="FootnoteText"/>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1">
        <w:r>
          <w:rPr>
            <w:rStyle w:val="Hyperlink"/>
            <w:sz w:val="18"/>
          </w:rPr>
          <w:t>http://www.cc.cec/budg/man/budgmanag/budgmanag_en.html</w:t>
        </w:r>
      </w:hyperlink>
    </w:p>
  </w:footnote>
  <w:footnote w:id="10">
    <w:p>
      <w:pPr>
        <w:pStyle w:val="FootnoteText"/>
        <w:rPr>
          <w:szCs w:val="24"/>
        </w:rPr>
      </w:pPr>
      <w:r>
        <w:rPr>
          <w:rStyle w:val="FootnoteReference"/>
        </w:rPr>
        <w:footnoteRef/>
      </w:r>
      <w:r>
        <w:tab/>
        <w:t>Differentierade respektive icke-differentierade anslag.</w:t>
      </w:r>
    </w:p>
  </w:footnote>
  <w:footnote w:id="11">
    <w:p>
      <w:pPr>
        <w:pStyle w:val="FootnoteText"/>
        <w:rPr>
          <w:szCs w:val="24"/>
        </w:rPr>
      </w:pPr>
      <w:r>
        <w:rPr>
          <w:rStyle w:val="FootnoteReference"/>
        </w:rPr>
        <w:footnoteRef/>
      </w:r>
      <w:r>
        <w:tab/>
        <w:t xml:space="preserve">Efta: Europeiska frihandelssammanslutningen. </w:t>
      </w:r>
    </w:p>
  </w:footnote>
  <w:footnote w:id="12">
    <w:p>
      <w:pPr>
        <w:pStyle w:val="FootnoteText"/>
        <w:rPr>
          <w:szCs w:val="24"/>
        </w:rPr>
      </w:pPr>
      <w:r>
        <w:rPr>
          <w:rStyle w:val="FootnoteReference"/>
        </w:rPr>
        <w:footnoteRef/>
      </w:r>
      <w:r>
        <w:tab/>
        <w:t>Kandidatländer och i förekommande fall potentiella kandidatländer i västra Balkan.</w:t>
      </w:r>
    </w:p>
  </w:footnote>
  <w:footnote w:id="13">
    <w:p>
      <w:pPr>
        <w:pStyle w:val="FootnoteText"/>
      </w:pPr>
      <w:r>
        <w:rPr>
          <w:rStyle w:val="FootnoteReference"/>
        </w:rPr>
        <w:footnoteRef/>
      </w:r>
      <w:r>
        <w:tab/>
        <w:t>I enlighet med artikel 136 i förordning (EU) nr 1303/2013 ska förhandsfinansieringen motiveras med de utgifter för sysselsättningsinitiativet för unga som deklarerats fram till den 31 december 2018.</w:t>
      </w:r>
    </w:p>
  </w:footnote>
  <w:footnote w:id="14">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15">
    <w:p>
      <w:pPr>
        <w:pStyle w:val="FootnoteText"/>
        <w:rPr>
          <w:szCs w:val="24"/>
        </w:rPr>
      </w:pPr>
      <w:r>
        <w:rPr>
          <w:rStyle w:val="FootnoteReference"/>
        </w:rPr>
        <w:footnoteRef/>
      </w:r>
      <w:r>
        <w:tab/>
        <w:t>Med år n avses det år då förslaget eller initiativet ska börja genomföras.</w:t>
      </w:r>
    </w:p>
  </w:footnote>
  <w:footnote w:id="16">
    <w:p>
      <w:pPr>
        <w:pStyle w:val="FootnoteText"/>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17">
    <w:p>
      <w:pPr>
        <w:pStyle w:val="FootnoteText"/>
        <w:rPr>
          <w:szCs w:val="24"/>
        </w:rPr>
      </w:pPr>
      <w:r>
        <w:rPr>
          <w:rStyle w:val="FootnoteReference"/>
        </w:rPr>
        <w:footnoteRef/>
      </w:r>
      <w:r>
        <w:tab/>
        <w:t xml:space="preserve">Mål som redovisats under punkt 1.4.2: ”Specifikt/specifika mål…”. </w:t>
      </w:r>
    </w:p>
  </w:footnote>
  <w:footnote w:id="18">
    <w:p>
      <w:pPr>
        <w:pStyle w:val="FootnoteText"/>
        <w:rPr>
          <w:szCs w:val="24"/>
        </w:rPr>
      </w:pPr>
      <w:r>
        <w:rPr>
          <w:rStyle w:val="FootnoteReference"/>
        </w:rPr>
        <w:footnoteRef/>
      </w:r>
      <w:r>
        <w:tab/>
        <w:t>Med år n avses det år då förslaget eller initiativet ska börja genomföras.</w:t>
      </w:r>
    </w:p>
  </w:footnote>
  <w:footnote w:id="19">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20">
    <w:p>
      <w:pPr>
        <w:pStyle w:val="FootnoteText"/>
        <w:rPr>
          <w:szCs w:val="24"/>
        </w:rPr>
      </w:pPr>
      <w:r>
        <w:rPr>
          <w:rStyle w:val="FootnoteReference"/>
        </w:rPr>
        <w:footnoteRef/>
      </w:r>
      <w:r>
        <w:tab/>
        <w:t xml:space="preserve">[Denna fotnot förklarar vissa initialförkortningar som inte används i den svenska versionen]. </w:t>
      </w:r>
    </w:p>
  </w:footnote>
  <w:footnote w:id="21">
    <w:p>
      <w:pPr>
        <w:pStyle w:val="FootnoteText"/>
        <w:rPr>
          <w:szCs w:val="24"/>
        </w:rPr>
      </w:pPr>
      <w:r>
        <w:rPr>
          <w:rStyle w:val="FootnoteReference"/>
        </w:rPr>
        <w:footnoteRef/>
      </w:r>
      <w:r>
        <w:tab/>
        <w:t>Särskilt tak för finansiering av extern personal genom driftsanslag (tidigare s.k. BA-poster).</w:t>
      </w:r>
    </w:p>
  </w:footnote>
  <w:footnote w:id="22">
    <w:p>
      <w:pPr>
        <w:pStyle w:val="FootnoteText"/>
        <w:rPr>
          <w:szCs w:val="24"/>
        </w:rPr>
      </w:pPr>
      <w:r>
        <w:rPr>
          <w:rStyle w:val="FootnoteReference"/>
        </w:rPr>
        <w:footnoteRef/>
      </w:r>
      <w:r>
        <w:tab/>
        <w:t>När det gäller traditionella egna medel (tullar och sockeravgifter) ska nettobeloppen anges, dvs. bruttobeloppen minus 25 %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B608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A4FDC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828F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86F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A2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5EE5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00D660"/>
    <w:lvl w:ilvl="0">
      <w:start w:val="1"/>
      <w:numFmt w:val="decimal"/>
      <w:pStyle w:val="ListNumber"/>
      <w:lvlText w:val="%1."/>
      <w:lvlJc w:val="left"/>
      <w:pPr>
        <w:tabs>
          <w:tab w:val="num" w:pos="360"/>
        </w:tabs>
        <w:ind w:left="360" w:hanging="360"/>
      </w:pPr>
    </w:lvl>
  </w:abstractNum>
  <w:abstractNum w:abstractNumId="7">
    <w:nsid w:val="FFFFFF89"/>
    <w:multiLevelType w:val="singleLevel"/>
    <w:tmpl w:val="6F6C06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8"/>
  </w:num>
  <w:num w:numId="11">
    <w:abstractNumId w:val="17"/>
  </w:num>
  <w:num w:numId="12">
    <w:abstractNumId w:val="13"/>
  </w:num>
  <w:num w:numId="13">
    <w:abstractNumId w:val="25"/>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4"/>
  </w:num>
  <w:num w:numId="17">
    <w:abstractNumId w:val="24"/>
  </w:num>
  <w:num w:numId="18">
    <w:abstractNumId w:val="12"/>
  </w:num>
  <w:num w:numId="19">
    <w:abstractNumId w:val="15"/>
  </w:num>
  <w:num w:numId="20">
    <w:abstractNumId w:val="10"/>
  </w:num>
  <w:num w:numId="21">
    <w:abstractNumId w:val="23"/>
  </w:num>
  <w:num w:numId="22">
    <w:abstractNumId w:val="9"/>
  </w:num>
  <w:num w:numId="23">
    <w:abstractNumId w:val="16"/>
  </w:num>
  <w:num w:numId="24">
    <w:abstractNumId w:val="20"/>
  </w:num>
  <w:num w:numId="25">
    <w:abstractNumId w:val="21"/>
  </w:num>
  <w:num w:numId="26">
    <w:abstractNumId w:val="11"/>
  </w:num>
  <w:num w:numId="27">
    <w:abstractNumId w:val="19"/>
  </w:num>
  <w:num w:numId="28">
    <w:abstractNumId w:val="25"/>
  </w:num>
  <w:num w:numId="29">
    <w:abstractNumId w:val="22"/>
  </w:num>
  <w:num w:numId="30">
    <w:abstractNumId w:val="14"/>
  </w:num>
  <w:num w:numId="31">
    <w:abstractNumId w:val="24"/>
  </w:num>
  <w:num w:numId="32">
    <w:abstractNumId w:val="12"/>
  </w:num>
  <w:num w:numId="33">
    <w:abstractNumId w:val="15"/>
  </w:num>
  <w:num w:numId="34">
    <w:abstractNumId w:val="10"/>
  </w:num>
  <w:num w:numId="35">
    <w:abstractNumId w:val="23"/>
  </w:num>
  <w:num w:numId="36">
    <w:abstractNumId w:val="9"/>
  </w:num>
  <w:num w:numId="37">
    <w:abstractNumId w:val="16"/>
  </w:num>
  <w:num w:numId="38">
    <w:abstractNumId w:val="20"/>
  </w:num>
  <w:num w:numId="39">
    <w:abstractNumId w:val="21"/>
  </w:num>
  <w:num w:numId="40">
    <w:abstractNumId w:val="11"/>
  </w:num>
  <w:num w:numId="41">
    <w:abstractNumId w:val="19"/>
  </w:num>
  <w:num w:numId="4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02 08:54: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4A691D5C-57B9-431A-9190-894AB9441C41"/>
    <w:docVar w:name="LW_COVERPAGE_TYPE" w:val="1"/>
    <w:docVar w:name="LW_CROSSREFERENCE" w:val="&lt;UNUSED&gt;"/>
    <w:docVar w:name="LW_DocType" w:val="COM"/>
    <w:docVar w:name="LW_EMISSION" w:val="28.6.2018"/>
    <w:docVar w:name="LW_EMISSION_ISODATE" w:val="2018-06-28"/>
    <w:docVar w:name="LW_EMISSION_LOCATION" w:val="BRX"/>
    <w:docVar w:name="LW_EMISSION_PREFIX" w:val="Bryssel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265"/>
    <w:docVar w:name="LW_REF.II.NEW.CP_YEAR" w:val="2018"/>
    <w:docVar w:name="LW_REF.INST.NEW" w:val="COM"/>
    <w:docVar w:name="LW_REF.INST.NEW_ADOPTED" w:val="final"/>
    <w:docVar w:name="LW_REF.INST.NEW_TEXT" w:val="(2018) 4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ändring av förordning (EU) nr 1303/2013 vad gäller medlen för ekonomisk, social och territoriell sammanhållning samt om rättelse av den förordningen vad gäller medlen för målet Investering för tillväxt och sysselsättning"/>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v-SE"/>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v-SE"/>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34940">
      <w:bodyDiv w:val="1"/>
      <w:marLeft w:val="0"/>
      <w:marRight w:val="0"/>
      <w:marTop w:val="0"/>
      <w:marBottom w:val="0"/>
      <w:divBdr>
        <w:top w:val="none" w:sz="0" w:space="0" w:color="auto"/>
        <w:left w:val="none" w:sz="0" w:space="0" w:color="auto"/>
        <w:bottom w:val="none" w:sz="0" w:space="0" w:color="auto"/>
        <w:right w:val="none" w:sz="0" w:space="0" w:color="auto"/>
      </w:divBdr>
    </w:div>
    <w:div w:id="11753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D279D-8A98-44C9-B752-5458BDF4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28</Pages>
  <Words>4386</Words>
  <Characters>26580</Characters>
  <Application>Microsoft Office Word</Application>
  <DocSecurity>0</DocSecurity>
  <Lines>2215</Lines>
  <Paragraphs>720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2018-04-10T13:51:00Z</cp:lastPrinted>
  <dcterms:created xsi:type="dcterms:W3CDTF">2018-06-29T21:44:00Z</dcterms:created>
  <dcterms:modified xsi:type="dcterms:W3CDTF">2018-07-02T06:54:00Z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