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B8C2C54B-2EF7-4967-ACDA-5302C2BF968C" style="width:451.25pt;height:365.8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EXPOSIÇÃO DE MOTIVOS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CONTEXTO DA 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Razões e objetivos da 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O objetivo da proposta é adaptar os montantes dos recursos disponíveis para o objetivo de Investimento no Crescimento e no Emprego e para o objetivo de Cooperação Territorial Europeia enunciados no artigos 91.º, n.º 1, e no artigo 92.º, n.º 5, do Regulamento (UE) n.º 1303/2013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e a repartição anual das dotações de autorização constantes do anexo VI, a fim de refletir as alterações na programação financeira destinada à Iniciativa para o Emprego dos Jovens («IEJ»). Mais especificamente, de acordo com o orçamento aprovado para 2018, as dotações de autorização para a verba específica para a IEJ devem ser aumentadas num montante de 116,7 milhões de EUR, o que eleva o montante global para 2018 até 350 milhões de EUR. As dotações de autorização para 2020 foram ajustadas para refletir a antecipação para 2018.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Além disso, é necessário corrigir alguns erros no respeitante aos montantes e percentagens relativos aos recursos destinados ao objetivo de Investimento no Crescimento e no Emprego, fixados no artigo 1.º, n.º 2, alínea a), do Regulamento (UE) 2017/2305, que altera o artigo 92.º, n.º 1, do Regulamento (UE) n.º 1303/2013.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Coerência com as disposições existentes da mesma política setorial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presente proposta é o resultado de uma decisão orçamental de 2018.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Coerência com outras políticas da União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A proposta é coerente com outras propostas e iniciativas adotadas pela Comissão Europeia.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BASE JURÍDICA, SUBSIDIARIEDADE E PROPORCIONALIDADE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Base jurídica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revisão reflete a antecipação dos recursos da verba específica destinada à Iniciativa para o Emprego dos Jovens (IEJ) no orçamento da UE para 2018.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Subsidiariedade (no caso de competência não exclusiva)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proposta satisfaz o princípio da subsidiariedade.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Proporcionalidade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proposta limita-se aos ajustamentos técnicos necessários.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lastRenderedPageBreak/>
        <w:t>•</w:t>
      </w:r>
      <w:r>
        <w:rPr>
          <w:noProof/>
        </w:rPr>
        <w:tab/>
        <w:t>Escolha do instrumento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Instrumento proposto: alteração do regulamento existente.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Comissão explorou a margem de manobra permitida pelo quadro jurídico e considera necessário propor alterações ao Regulamento (UE) n.º 1303/2013.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RESULTADOS DAS AVALIAÇÕES </w:t>
      </w:r>
      <w:r>
        <w:rPr>
          <w:i/>
          <w:noProof/>
        </w:rPr>
        <w:t>EX POST</w:t>
      </w:r>
      <w:r>
        <w:rPr>
          <w:noProof/>
        </w:rPr>
        <w:t>, DAS CONSULTAS DAS PARTES INTERESSADAS E DAS AVALIAÇÕES DE IMPACTO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Avaliações </w:t>
      </w:r>
      <w:r>
        <w:rPr>
          <w:i/>
          <w:noProof/>
        </w:rPr>
        <w:t>ex post</w:t>
      </w:r>
      <w:r>
        <w:rPr>
          <w:noProof/>
        </w:rPr>
        <w:t>/balanços de qualidade da legislação existente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Não foi efetuada qualquer avaliação </w:t>
      </w:r>
      <w:r>
        <w:rPr>
          <w:i/>
          <w:noProof/>
        </w:rPr>
        <w:t>ex post</w:t>
      </w:r>
      <w:r>
        <w:rPr>
          <w:noProof/>
        </w:rPr>
        <w:t>/ou balanço de qualidade da legislação existente.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Consultas das partes interessadas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Não foi efetuada consulta de partes interessadas externas.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Recolha e utilização de conhecimentos especializados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Não foi necessário recorrer a peritos externos.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Avaliação de impacto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Não aplicável.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Adequação da regulamentação e simplificação</w:t>
      </w:r>
    </w:p>
    <w:p>
      <w:pPr>
        <w:pStyle w:val="Text1"/>
        <w:ind w:left="0"/>
        <w:rPr>
          <w:noProof/>
        </w:rPr>
      </w:pPr>
      <w:r>
        <w:rPr>
          <w:noProof/>
        </w:rPr>
        <w:t>Não se trata de uma iniciativa no quadro do Programa para a Adequação e a Eficácia da Regulamentação (REFIT).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Direitos fundamentais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proposta não tem implicações na proteção dos direitos fundamentais.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INCIDÊNCIA ORÇAMENTAL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Existem alterações nas dotações de autorização decorrentes da antecipação da verba específica para a IEJ. As dotações de autorização para 2018 devem ser aumentadas em 116,7 milhões de EUR, a preços correntes, e o valor para 2020 deve ser reduzido do mesmo montante. 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OUTROS ELEMENTOS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Planos de execução e acompanhamento, avaliação e prestação de informações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Não aplicável.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Documentos explicativos (para as diretivas)</w:t>
      </w:r>
    </w:p>
    <w:p>
      <w:pPr>
        <w:pStyle w:val="Text1"/>
        <w:ind w:hanging="850"/>
        <w:rPr>
          <w:noProof/>
        </w:rPr>
      </w:pPr>
      <w:r>
        <w:rPr>
          <w:noProof/>
        </w:rPr>
        <w:t>Não aplicável.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Explicação pormenorizada das disposições específicas da 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O objetivo da proposta é adaptar os montantes dos recursos disponíveis para o objetivo de Investimento no Crescimento e no Emprego e para o objetivo de Cooperação Territorial Europeia enunciados no artigos 91.º, n.º 1, e no artigo 92.º, n.º 5, do Regulamento (UE) n.º 1303/2013 e a repartição anual das dotações de autorização constantes do anexo VI, a fim de refletir as alterações na programação financeira destinada à IEJ. Mais especificamente, de acordo com o orçamento aprovado para 2018, as dotações de autorização para a verba específica para a IEJ devem ser aumentadas num montante de 116,7 milhões de EUR, o que eleva o montante global para 2018 até 350 milhões de EUR. As dotações de autorização para 2020 foram ajustadas para refletir a antecipação para 2018.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Além disso, é necessário corrigir alguns erros no respeitante aos montantes e percentagens relativos aos recursos destinados ao objetivo de Investimento no Crescimento e no Emprego, fixados no artigo 1.º, n.º 2, alínea a), do Regulamento (UE) 2017/2305, que altera o artigo 92.º, n.º 1, do Regulamento (UE) n.º 1303/2013.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O artigo 92.º, n.º 1, do Regulamento (UE) n.º 1303/2013, alterado pelo Regulamento (UE) 2017/2305, tem a seguinte redação: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«1. Os recursos destinados ao objetivo de Investimento no Crescimento e no Emprego correspondem a 96,09 % dos recursos globais (ou seja, um montante total de 317 103 114 309 EUR) e repartem-se do seguinte modo: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a) 48,64 % (ou seja, um montante total de 160 498 028 177 EUR) para as regiões menos desenvolvidas;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b) 10,19 % (ou seja, um montante total de 33 621 675 154 EUR) para as regiões em transição;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c) 15,43 % (ou seja, um montante total de 50 914 723 304 EUR) para as regiões mais desenvolvidas;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d) 20,01 % (ou seja, um montante total de 66 029 882 135 EUR), para os Estados-Membros apoiados pelo Fundo de Coesão;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e) 0,42 % (ou seja, um montante total de 1 378 882 914 EUR) sob a forma de financiamento adicional, para as regiões ultraperiféricas identificadas no artigo 349.º do TFUE e para as regiões do nível NUTS 2 que cumpram os critérios estabelecidos no artigo 2.º do Protocolo n.º 6 do Ato de Adesão de 1994.»;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Esta disposição deve ler-se corretamente do seguinte modo e deve, portanto, ser corrigida: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«1. Os recursos destinados ao objetivo de Investimento no Crescimento e no Emprego correspondem a 96,09 % dos recursos globais (ou seja, um montante total de 317 073 545 392 EUR) e repartem-se do seguinte modo: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a) 51,52 % (ou seja, um montante total de 163 359 380 738 EUR) para as regiões menos desenvolvidas;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b) 10,82 % (ou seja, um montante total de 34 319 221 039 EUR) para as regiões em transição;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c) 16,33 % (ou seja, um montante total de 51 773 321 432 EUR) para as regiões mais desenvolvidas;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d) 20,89 % (ou seja, um montante total de 66 236 030 665 EUR) para os Estados-Membros apoiados pelo Fundo de Coesão;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e) 0,44 % (ou seja, um montante total de 1 385 591 518 EUR) sob a forma de financiamento adicional, para as regiões ultraperiféricas identificadas no artigo 349.º do TFUE e para as regiões do nível NUTS 2 que cumpram os critérios estabelecidos no artigo 2.º do Protocolo n.º 6 do Ato de Adesão de 1994.»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2018/0265 (COD)</w:t>
      </w:r>
    </w:p>
    <w:p>
      <w:pPr>
        <w:pStyle w:val="Statut"/>
        <w:rPr>
          <w:noProof/>
        </w:rPr>
      </w:pPr>
      <w:r>
        <w:rPr>
          <w:noProof/>
        </w:rPr>
        <w:t>Proposta de</w:t>
      </w:r>
    </w:p>
    <w:p>
      <w:pPr>
        <w:pStyle w:val="Typedudocument"/>
        <w:rPr>
          <w:noProof/>
        </w:rPr>
      </w:pPr>
      <w:r>
        <w:rPr>
          <w:noProof/>
        </w:rPr>
        <w:t>REGULAMENTO DO PARLAMENTO EUROPEU E DO CONSELHO</w:t>
      </w:r>
    </w:p>
    <w:p>
      <w:pPr>
        <w:pStyle w:val="Titreobjet"/>
        <w:rPr>
          <w:noProof/>
        </w:rPr>
      </w:pPr>
      <w:r>
        <w:rPr>
          <w:noProof/>
        </w:rPr>
        <w:t>que altera o Regulamento (UE) n.º 1303/2013 no que se refere aos recursos destinados à coesão económica, social e territorial e que retifica esse regulamento no que respeita aos recursos destinados ao objetivo de Investimento no Crescimento e no Emprego</w:t>
      </w:r>
    </w:p>
    <w:p>
      <w:pPr>
        <w:pStyle w:val="Institutionquiagit"/>
        <w:rPr>
          <w:noProof/>
          <w:szCs w:val="24"/>
        </w:rPr>
      </w:pPr>
      <w:r>
        <w:rPr>
          <w:noProof/>
        </w:rPr>
        <w:t>O PARLAMENTO EUROPEU E O CONSELHO DA UNIÃO EUROPEIA,</w:t>
      </w:r>
    </w:p>
    <w:p>
      <w:pPr>
        <w:rPr>
          <w:noProof/>
          <w:szCs w:val="24"/>
        </w:rPr>
      </w:pPr>
      <w:r>
        <w:rPr>
          <w:noProof/>
        </w:rPr>
        <w:t xml:space="preserve">Tendo em conta o Tratado sobre o Funcionamento da União Europeia, nomeadamente o artigo 177.º, </w:t>
      </w:r>
    </w:p>
    <w:p>
      <w:pPr>
        <w:rPr>
          <w:noProof/>
          <w:szCs w:val="24"/>
        </w:rPr>
      </w:pPr>
      <w:r>
        <w:rPr>
          <w:noProof/>
        </w:rPr>
        <w:t>Tendo em conta a proposta da Comissão Europeia,</w:t>
      </w:r>
    </w:p>
    <w:p>
      <w:pPr>
        <w:rPr>
          <w:noProof/>
          <w:szCs w:val="24"/>
        </w:rPr>
      </w:pPr>
      <w:r>
        <w:rPr>
          <w:noProof/>
        </w:rPr>
        <w:t>Após transmissão do projeto de ato legislativo aos parlamentos nacionais,</w:t>
      </w:r>
    </w:p>
    <w:p>
      <w:pPr>
        <w:rPr>
          <w:noProof/>
          <w:szCs w:val="24"/>
        </w:rPr>
      </w:pPr>
      <w:r>
        <w:rPr>
          <w:noProof/>
        </w:rPr>
        <w:t>Tendo em conta o parecer do Comité Económico e Social Europeu</w:t>
      </w:r>
      <w:r>
        <w:rPr>
          <w:rStyle w:val="FootnoteReference"/>
          <w:noProof/>
        </w:rPr>
        <w:footnoteReference w:id="2"/>
      </w:r>
      <w:r>
        <w:rPr>
          <w:noProof/>
        </w:rPr>
        <w:t>,</w:t>
      </w:r>
    </w:p>
    <w:p>
      <w:pPr>
        <w:rPr>
          <w:noProof/>
          <w:szCs w:val="24"/>
        </w:rPr>
      </w:pPr>
      <w:r>
        <w:rPr>
          <w:noProof/>
        </w:rPr>
        <w:t>Tendo em conta o parecer do Comité das Regiões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, </w:t>
      </w:r>
    </w:p>
    <w:p>
      <w:pPr>
        <w:rPr>
          <w:noProof/>
          <w:szCs w:val="24"/>
        </w:rPr>
      </w:pPr>
      <w:r>
        <w:rPr>
          <w:noProof/>
        </w:rPr>
        <w:t>Deliberando de acordo com o processo legislativo ordinário,</w:t>
      </w:r>
    </w:p>
    <w:p>
      <w:pPr>
        <w:rPr>
          <w:noProof/>
          <w:szCs w:val="24"/>
        </w:rPr>
      </w:pPr>
      <w:r>
        <w:rPr>
          <w:noProof/>
        </w:rPr>
        <w:t>Considerando o seguinte:</w:t>
      </w:r>
    </w:p>
    <w:p>
      <w:pPr>
        <w:pStyle w:val="ManualConsidrant"/>
        <w:rPr>
          <w:noProof/>
          <w:szCs w:val="24"/>
        </w:rPr>
      </w:pPr>
      <w:r>
        <w:t>(1)</w:t>
      </w:r>
      <w:r>
        <w:tab/>
      </w:r>
      <w:r>
        <w:rPr>
          <w:noProof/>
        </w:rPr>
        <w:t>O Regulamento (UE) n.º 1303/2013 do Parlamento Europeu e do Conselho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estabelece as disposições comuns e gerais relativas aos Fundos Europeus Estruturais e de Investimento. </w:t>
      </w:r>
    </w:p>
    <w:p>
      <w:pPr>
        <w:pStyle w:val="ManualConsidrant"/>
        <w:rPr>
          <w:noProof/>
          <w:szCs w:val="24"/>
        </w:rPr>
      </w:pPr>
      <w:r>
        <w:t>(2)</w:t>
      </w:r>
      <w:r>
        <w:tab/>
      </w:r>
      <w:r>
        <w:rPr>
          <w:noProof/>
        </w:rPr>
        <w:t>O Regulamento (UE) 2017/2305 do Parlamento Europeu e do Conselho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alterou o Regulamento (UE) n.º 1303/2013, entre outros, no que se refere aos recursos afetados à coesão económica, social e territorial.</w:t>
      </w:r>
    </w:p>
    <w:p>
      <w:pPr>
        <w:pStyle w:val="ManualConsidrant"/>
        <w:rPr>
          <w:noProof/>
          <w:szCs w:val="24"/>
        </w:rPr>
      </w:pPr>
      <w:r>
        <w:t>(3)</w:t>
      </w:r>
      <w:r>
        <w:tab/>
      </w:r>
      <w:r>
        <w:rPr>
          <w:noProof/>
        </w:rPr>
        <w:t>O orçamento geral da União Europeia para o exercício de 2018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alterou a programação financeira destinada à Iniciativa para o Emprego dos Jovens («IEJ»), aumentando as dotações de autorização para a verba específica da IEJ em 116,7 milhões de EUR, a preços correntes, o que eleva o montante total das dotações de autorização destinadas à IEJ de 2018 até 350 milhões de EUR a preços correntes. </w:t>
      </w:r>
    </w:p>
    <w:p>
      <w:pPr>
        <w:pStyle w:val="ManualConsidrant"/>
        <w:rPr>
          <w:noProof/>
          <w:szCs w:val="24"/>
        </w:rPr>
      </w:pPr>
      <w:r>
        <w:t>(4)</w:t>
      </w:r>
      <w:r>
        <w:tab/>
      </w:r>
      <w:r>
        <w:rPr>
          <w:noProof/>
        </w:rPr>
        <w:t>O montante das dotações de autorização para 2020 tem de ser reduzido correspondentemente para refletir a antecipação de 2018. O Regulamento (UE) n.º 1388/2013 deve, por conseguinte, ser alterado em conformidade.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Quando o artigo 92.º, n.º 1, do Regulamento (UE) n.º 1303/2013 foi alterado pelo Regulamento (UE) 2017/2305, certos dados financeiros definidos no artigo 1.º, n.º 2, alínea a), do Regulamento (UE) 2017/2305 estavam errados. Esses dados financeiros devem ser substituídos por dados corretos. O Regulamento (UE) n.º 1303/2013 deve, pois, ser retificado em conformidade,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Dada a urgência da alteração dos programas que apoiam a IEJ, o presente regulamento deverá entrar em vigor no dia seguinte ao da sua publicação no </w:t>
      </w:r>
      <w:r>
        <w:rPr>
          <w:i/>
          <w:noProof/>
        </w:rPr>
        <w:t>Jornal Oficial da União Europeia</w:t>
      </w:r>
      <w:r>
        <w:rPr>
          <w:noProof/>
        </w:rPr>
        <w:t>.</w:t>
      </w:r>
    </w:p>
    <w:p>
      <w:pPr>
        <w:pStyle w:val="Formuledadoption"/>
        <w:rPr>
          <w:noProof/>
        </w:rPr>
      </w:pPr>
      <w:r>
        <w:rPr>
          <w:noProof/>
        </w:rPr>
        <w:t>ADOTARAM O PRESENTE REGULAMENTO:</w:t>
      </w:r>
    </w:p>
    <w:p>
      <w:pPr>
        <w:pStyle w:val="Titrearticle"/>
        <w:rPr>
          <w:noProof/>
        </w:rPr>
      </w:pPr>
      <w:r>
        <w:rPr>
          <w:noProof/>
        </w:rPr>
        <w:t>Artigo 1.º</w:t>
      </w:r>
    </w:p>
    <w:p>
      <w:pPr>
        <w:rPr>
          <w:noProof/>
        </w:rPr>
      </w:pPr>
      <w:r>
        <w:rPr>
          <w:noProof/>
        </w:rPr>
        <w:t>O Regulamento (UE) n.º 1303/2013 é alterado do seguinte modo:</w:t>
      </w:r>
    </w:p>
    <w:p>
      <w:pPr>
        <w:pStyle w:val="Point0number"/>
        <w:numPr>
          <w:ilvl w:val="0"/>
          <w:numId w:val="14"/>
        </w:numPr>
        <w:rPr>
          <w:noProof/>
        </w:rPr>
      </w:pPr>
      <w:r>
        <w:rPr>
          <w:noProof/>
        </w:rPr>
        <w:t>No artigo 91.º, o n.º 1 passa a ter a seguinte redação:</w:t>
      </w:r>
    </w:p>
    <w:p>
      <w:pPr>
        <w:pStyle w:val="Text1"/>
        <w:rPr>
          <w:noProof/>
        </w:rPr>
      </w:pPr>
      <w:r>
        <w:rPr>
          <w:noProof/>
        </w:rPr>
        <w:t>«1. Os recursos para a coesão económica, social e territorial disponíveis para as autorizações orçamentais para o período de 2014 - 2020 ascendem a 329 982 345 366 EUR a preços de 2011, em conformidade com a repartição anual indicada no anexo VI, dos quais 325 938 694 233 EUR representam os recursos globais atribuídos ao FEDER, ao FSE e ao Fundo de Coesão, e 4 043 651 133 EUR representam a verba específica destinada à IEJ. Para efeitos de programação e subsequente inclusão no orçamento da União, o montante dos recursos para a coesão económica, social e territorial é indexado a uma taxa anual de 2 %.»;</w:t>
      </w:r>
    </w:p>
    <w:p>
      <w:pPr>
        <w:pStyle w:val="Point0number"/>
        <w:rPr>
          <w:noProof/>
        </w:rPr>
      </w:pPr>
      <w:r>
        <w:rPr>
          <w:noProof/>
        </w:rPr>
        <w:t>No artigo 92.º, o n.º 5 passa a ter a seguinte redação:</w:t>
      </w:r>
    </w:p>
    <w:p>
      <w:pPr>
        <w:pStyle w:val="Text1"/>
        <w:rPr>
          <w:noProof/>
        </w:rPr>
      </w:pPr>
      <w:r>
        <w:rPr>
          <w:noProof/>
        </w:rPr>
        <w:t>«5. Os recursos destinados à IEJ ascendem a 4 043 651 133 EUR a título da verba específica destinada à IEJ e a, pelo menos, 4 043 651 133 EUR a título do investimento do FSE especificamente orientado para esse objetivo.»;</w:t>
      </w:r>
    </w:p>
    <w:p>
      <w:pPr>
        <w:pStyle w:val="Point0number"/>
        <w:rPr>
          <w:noProof/>
        </w:rPr>
      </w:pPr>
      <w:r>
        <w:rPr>
          <w:noProof/>
        </w:rPr>
        <w:t>O anexo VI é substituído pelo texto que consta do anexo do presente regulamento.</w:t>
      </w:r>
    </w:p>
    <w:p>
      <w:pPr>
        <w:pStyle w:val="Titrearticle"/>
        <w:rPr>
          <w:noProof/>
        </w:rPr>
      </w:pPr>
      <w:r>
        <w:rPr>
          <w:noProof/>
        </w:rPr>
        <w:t>Artigo 2.º</w:t>
      </w:r>
    </w:p>
    <w:p>
      <w:pPr>
        <w:rPr>
          <w:noProof/>
        </w:rPr>
      </w:pPr>
      <w:r>
        <w:rPr>
          <w:noProof/>
        </w:rPr>
        <w:t>O Regulamento (UE) n.º 1303/2013 é retificado do seguinte modo:</w:t>
      </w:r>
    </w:p>
    <w:p>
      <w:pPr>
        <w:rPr>
          <w:noProof/>
        </w:rPr>
      </w:pPr>
      <w:r>
        <w:rPr>
          <w:noProof/>
        </w:rPr>
        <w:t>No artigo 92.º, o n.º 1 passa a ter a seguinte redação:</w:t>
      </w:r>
    </w:p>
    <w:p>
      <w:pPr>
        <w:pStyle w:val="Text1"/>
        <w:rPr>
          <w:noProof/>
        </w:rPr>
      </w:pPr>
      <w:r>
        <w:rPr>
          <w:noProof/>
        </w:rPr>
        <w:t>«1. Os recursos destinados ao objetivo de Investimento no Crescimento e no Emprego ascendem a 96,09 % dos recursos globais (ou seja, um montante total de 317 073 545 392 EUR) e repartem-se do seguinte modo:</w:t>
      </w:r>
    </w:p>
    <w:p>
      <w:pPr>
        <w:pStyle w:val="Text1"/>
        <w:rPr>
          <w:noProof/>
        </w:rPr>
      </w:pPr>
      <w:r>
        <w:rPr>
          <w:noProof/>
        </w:rPr>
        <w:t>a) 51,52 % (ou seja, um montante total de 163 359 380 738 EUR) para as regiões menos desenvolvidas;</w:t>
      </w:r>
    </w:p>
    <w:p>
      <w:pPr>
        <w:pStyle w:val="Text1"/>
        <w:rPr>
          <w:noProof/>
        </w:rPr>
      </w:pPr>
      <w:r>
        <w:rPr>
          <w:noProof/>
        </w:rPr>
        <w:t>b) 10,82 % (ou seja, um montante total de 34 319 221 039 EUR) para as regiões em transição;</w:t>
      </w:r>
    </w:p>
    <w:p>
      <w:pPr>
        <w:pStyle w:val="Text1"/>
        <w:rPr>
          <w:noProof/>
        </w:rPr>
      </w:pPr>
      <w:r>
        <w:rPr>
          <w:noProof/>
        </w:rPr>
        <w:t>c) 16,33 % (ou seja, um montante total de 51 773 321 432 EUR) para as regiões mais desenvolvidas;</w:t>
      </w:r>
    </w:p>
    <w:p>
      <w:pPr>
        <w:pStyle w:val="Text1"/>
        <w:rPr>
          <w:noProof/>
        </w:rPr>
      </w:pPr>
      <w:r>
        <w:rPr>
          <w:noProof/>
        </w:rPr>
        <w:t>d) 20,89 % (ou seja, um montante total de 66 236 030 665 EUR) para os Estados-Membros apoiados pelo Fundo de Coesão;</w:t>
      </w:r>
    </w:p>
    <w:p>
      <w:pPr>
        <w:pStyle w:val="Text1"/>
        <w:rPr>
          <w:noProof/>
        </w:rPr>
      </w:pPr>
      <w:r>
        <w:rPr>
          <w:noProof/>
        </w:rPr>
        <w:t>e) 0,44 % (ou seja, um montante total de 1 385 591 518 EUR) sob a forma de financiamento adicional, para as regiões ultraperiféricas identificadas no artigo 349.º do TFUE e para as regiões do nível NUTS 2 que cumpram os critérios estabelecidos no artigo 2.º do Protocolo n.º 6 do Ato de Adesão de 1994.».</w:t>
      </w:r>
    </w:p>
    <w:p>
      <w:pPr>
        <w:pStyle w:val="Titrearticle"/>
        <w:rPr>
          <w:noProof/>
        </w:rPr>
      </w:pPr>
      <w:r>
        <w:rPr>
          <w:noProof/>
        </w:rPr>
        <w:t>Artigo 3.º</w:t>
      </w:r>
    </w:p>
    <w:p>
      <w:pPr>
        <w:rPr>
          <w:noProof/>
        </w:rPr>
      </w:pPr>
      <w:r>
        <w:rPr>
          <w:noProof/>
        </w:rPr>
        <w:t xml:space="preserve">O presente regulamento entra em vigor no dia seguinte ao da sua publicação no </w:t>
      </w:r>
      <w:r>
        <w:rPr>
          <w:i/>
          <w:noProof/>
        </w:rPr>
        <w:t>Jornal Oficial da União Europeia</w:t>
      </w:r>
      <w:r>
        <w:rPr>
          <w:noProof/>
        </w:rPr>
        <w:t>.</w:t>
      </w:r>
    </w:p>
    <w:p>
      <w:pPr>
        <w:pStyle w:val="Applicationdirecte"/>
        <w:rPr>
          <w:noProof/>
        </w:rPr>
      </w:pPr>
      <w:r>
        <w:rPr>
          <w:noProof/>
        </w:rPr>
        <w:t>O presente regulamento é obrigatório em todos os seus elementos e diretamente aplicável em todos os Estados-Membros.</w:t>
      </w:r>
    </w:p>
    <w:p>
      <w:pPr>
        <w:pStyle w:val="Fait"/>
        <w:rPr>
          <w:noProof/>
        </w:rPr>
      </w:pPr>
      <w:r>
        <w:t>Feito em Bruxelas, em</w:t>
      </w:r>
    </w:p>
    <w:p>
      <w:pPr>
        <w:pStyle w:val="Institutionquisigne"/>
        <w:rPr>
          <w:noProof/>
        </w:rPr>
      </w:pPr>
      <w:r>
        <w:rPr>
          <w:noProof/>
        </w:rPr>
        <w:t>Pelo Parlamento Europeu</w:t>
      </w:r>
      <w:r>
        <w:rPr>
          <w:noProof/>
        </w:rPr>
        <w:tab/>
        <w:t>Pelo Conselho</w:t>
      </w:r>
    </w:p>
    <w:p>
      <w:pPr>
        <w:pStyle w:val="Personnequisigne"/>
        <w:rPr>
          <w:noProof/>
        </w:rPr>
      </w:pPr>
      <w:r>
        <w:rPr>
          <w:noProof/>
        </w:rPr>
        <w:t>O Presidente</w:t>
      </w:r>
      <w:r>
        <w:rPr>
          <w:noProof/>
        </w:rPr>
        <w:tab/>
        <w:t>O Presidente</w:t>
      </w:r>
    </w:p>
    <w:p>
      <w:pPr>
        <w:rPr>
          <w:noProof/>
        </w:rPr>
      </w:pPr>
      <w:r>
        <w:rPr>
          <w:noProof/>
        </w:rPr>
        <w:br w:type="page"/>
      </w:r>
    </w:p>
    <w:p>
      <w:pPr>
        <w:pStyle w:val="Fichefinanciretitre"/>
        <w:rPr>
          <w:noProof/>
        </w:rPr>
      </w:pPr>
      <w:r>
        <w:rPr>
          <w:noProof/>
        </w:rPr>
        <w:t xml:space="preserve">FICHA FINANCEIRA LEGISLATIVA 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CONTEXTO DA PROPOSTA/INICIATIVA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1.1.</w:t>
      </w:r>
      <w:r>
        <w:rPr>
          <w:noProof/>
        </w:rPr>
        <w:tab/>
      </w:r>
      <w:r>
        <w:rPr>
          <w:b w:val="0"/>
          <w:noProof/>
        </w:rPr>
        <w:t xml:space="preserve">Denominação da proposta/iniciativa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1.2.</w:t>
      </w:r>
      <w:r>
        <w:rPr>
          <w:noProof/>
        </w:rPr>
        <w:tab/>
      </w:r>
      <w:r>
        <w:rPr>
          <w:b w:val="0"/>
          <w:noProof/>
        </w:rPr>
        <w:t>Domínio(s) de intervenção abrangido(s) segundo a estrutura ABM/ABB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1.3.</w:t>
      </w:r>
      <w:r>
        <w:rPr>
          <w:noProof/>
        </w:rPr>
        <w:tab/>
      </w:r>
      <w:r>
        <w:rPr>
          <w:b w:val="0"/>
          <w:noProof/>
        </w:rPr>
        <w:t xml:space="preserve">Natureza da proposta/iniciativa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1.4.</w:t>
      </w:r>
      <w:r>
        <w:rPr>
          <w:noProof/>
        </w:rPr>
        <w:tab/>
      </w:r>
      <w:r>
        <w:rPr>
          <w:b w:val="0"/>
          <w:noProof/>
        </w:rPr>
        <w:t xml:space="preserve">Objetivo(s)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1.5.</w:t>
      </w:r>
      <w:r>
        <w:rPr>
          <w:noProof/>
        </w:rPr>
        <w:tab/>
      </w:r>
      <w:r>
        <w:rPr>
          <w:b w:val="0"/>
          <w:noProof/>
        </w:rPr>
        <w:t xml:space="preserve">Justificação da proposta/iniciativa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1.6.</w:t>
      </w:r>
      <w:r>
        <w:rPr>
          <w:noProof/>
        </w:rPr>
        <w:tab/>
      </w:r>
      <w:r>
        <w:rPr>
          <w:b w:val="0"/>
          <w:noProof/>
        </w:rPr>
        <w:t xml:space="preserve">Duração da ação e impacto financeiro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1.7.</w:t>
      </w:r>
      <w:r>
        <w:rPr>
          <w:noProof/>
        </w:rPr>
        <w:tab/>
      </w:r>
      <w:r>
        <w:rPr>
          <w:b w:val="0"/>
          <w:noProof/>
        </w:rPr>
        <w:t xml:space="preserve">Modalidade(s) de gestão planeada(s)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MEDIDAS DE GESTÃO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2.1.</w:t>
      </w:r>
      <w:r>
        <w:rPr>
          <w:noProof/>
        </w:rPr>
        <w:tab/>
      </w:r>
      <w:r>
        <w:rPr>
          <w:b w:val="0"/>
          <w:noProof/>
        </w:rPr>
        <w:t xml:space="preserve">Disposições em matéria de acompanhamento e prestação de informações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2.2.</w:t>
      </w:r>
      <w:r>
        <w:rPr>
          <w:noProof/>
        </w:rPr>
        <w:tab/>
      </w:r>
      <w:r>
        <w:rPr>
          <w:b w:val="0"/>
          <w:noProof/>
        </w:rPr>
        <w:t xml:space="preserve">Sistema de gestão e de controlo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2.3.</w:t>
      </w:r>
      <w:r>
        <w:rPr>
          <w:noProof/>
        </w:rPr>
        <w:tab/>
      </w:r>
      <w:r>
        <w:rPr>
          <w:b w:val="0"/>
          <w:noProof/>
        </w:rPr>
        <w:t xml:space="preserve">Medidas de prevenção de fraudes e irregularidades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IMPACTO FINANCEIRO ESTIMADO DA PROPOSTA/INICIATIVA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3.1.</w:t>
      </w:r>
      <w:r>
        <w:rPr>
          <w:noProof/>
        </w:rPr>
        <w:tab/>
      </w:r>
      <w:r>
        <w:rPr>
          <w:b w:val="0"/>
          <w:noProof/>
        </w:rPr>
        <w:t xml:space="preserve">Rubrica(s) do quadro financeiro plurianual e rubrica(s) orçamental(is) de despesas envolvida(s) </w:t>
      </w:r>
    </w:p>
    <w:p>
      <w:pPr>
        <w:pStyle w:val="ManualHeading2"/>
        <w:rPr>
          <w:noProof/>
        </w:rPr>
      </w:pPr>
      <w:r>
        <w:rPr>
          <w:noProof/>
        </w:rPr>
        <w:tab/>
      </w:r>
      <w:r>
        <w:rPr>
          <w:b w:val="0"/>
          <w:noProof/>
        </w:rPr>
        <w:t>3.2.</w:t>
      </w:r>
      <w:r>
        <w:rPr>
          <w:noProof/>
        </w:rPr>
        <w:tab/>
      </w:r>
      <w:r>
        <w:rPr>
          <w:b w:val="0"/>
          <w:noProof/>
        </w:rPr>
        <w:t>Impacto estimado nas despesas</w:t>
      </w:r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r>
        <w:rPr>
          <w:noProof/>
        </w:rPr>
        <w:tab/>
        <w:t>3.2.1.</w:t>
      </w:r>
      <w:r>
        <w:rPr>
          <w:noProof/>
        </w:rPr>
        <w:tab/>
        <w:t xml:space="preserve">Síntese do impacto estimado nas despesas </w:t>
      </w:r>
    </w:p>
    <w:p>
      <w:pPr>
        <w:pStyle w:val="ManualHeading3"/>
        <w:rPr>
          <w:noProof/>
        </w:rPr>
      </w:pPr>
      <w:r>
        <w:rPr>
          <w:noProof/>
        </w:rPr>
        <w:tab/>
        <w:t>3.2.2.</w:t>
      </w:r>
      <w:r>
        <w:rPr>
          <w:noProof/>
        </w:rPr>
        <w:tab/>
        <w:t xml:space="preserve">Impacto estimado nas dotações operacionais </w:t>
      </w:r>
    </w:p>
    <w:p>
      <w:pPr>
        <w:pStyle w:val="ManualHeading3"/>
        <w:rPr>
          <w:noProof/>
        </w:rPr>
      </w:pPr>
      <w:r>
        <w:rPr>
          <w:noProof/>
        </w:rPr>
        <w:tab/>
        <w:t>3.2.3.</w:t>
      </w:r>
      <w:r>
        <w:rPr>
          <w:noProof/>
        </w:rPr>
        <w:tab/>
        <w:t>Impacto estimado nas dotações de natureza administrativa</w:t>
      </w:r>
    </w:p>
    <w:p>
      <w:pPr>
        <w:pStyle w:val="ManualHeading3"/>
        <w:rPr>
          <w:noProof/>
        </w:rPr>
      </w:pPr>
      <w:r>
        <w:rPr>
          <w:noProof/>
        </w:rPr>
        <w:tab/>
        <w:t>3.2.4.</w:t>
      </w:r>
      <w:r>
        <w:rPr>
          <w:noProof/>
        </w:rPr>
        <w:tab/>
        <w:t>Compatibilidade com o atual quadro financeiro plurianual</w:t>
      </w:r>
    </w:p>
    <w:p>
      <w:pPr>
        <w:pStyle w:val="ManualHeading3"/>
        <w:rPr>
          <w:noProof/>
        </w:rPr>
      </w:pPr>
      <w:r>
        <w:rPr>
          <w:noProof/>
        </w:rPr>
        <w:tab/>
        <w:t>3.2.5.</w:t>
      </w:r>
      <w:r>
        <w:rPr>
          <w:noProof/>
        </w:rPr>
        <w:tab/>
        <w:t xml:space="preserve">Participação de terceiros no financiamento </w:t>
      </w:r>
    </w:p>
    <w:p>
      <w:pPr>
        <w:pStyle w:val="ManualHeading2"/>
        <w:jc w:val="left"/>
        <w:rPr>
          <w:b w:val="0"/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</w:rPr>
        <w:tab/>
      </w:r>
      <w:r>
        <w:rPr>
          <w:b w:val="0"/>
          <w:noProof/>
        </w:rPr>
        <w:t>3.3.</w:t>
      </w:r>
      <w:r>
        <w:rPr>
          <w:noProof/>
        </w:rPr>
        <w:tab/>
      </w:r>
      <w:r>
        <w:rPr>
          <w:b w:val="0"/>
          <w:noProof/>
        </w:rPr>
        <w:t>Impacto estimado nas receitas</w:t>
      </w:r>
    </w:p>
    <w:p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FICHA FINANCEIRA LEGISLATIVA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CONTEXTO DA PROPOSTA/INICIATIVA </w:t>
      </w:r>
    </w:p>
    <w:p>
      <w:pPr>
        <w:pStyle w:val="ManualHeading2"/>
        <w:rPr>
          <w:noProof/>
        </w:rPr>
      </w:pPr>
      <w:r>
        <w:rPr>
          <w:noProof/>
        </w:rPr>
        <w:t>1.1.</w:t>
      </w:r>
      <w:r>
        <w:rPr>
          <w:noProof/>
        </w:rPr>
        <w:tab/>
        <w:t xml:space="preserve">Denominação da proposta/iniciativa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Proposta de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REGULAMENTO DO PARLAMENTO EUROPEU E DO CONSELHO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que altera o Regulamento (UE) n.º 1303/2013 no que se refere aos recursos para a coesão económica, social e territorial e que retifica esse regulamento no que respeita aos recursos destinados ao objetivo de Investimento no Crescimento e no Emprego</w:t>
      </w:r>
    </w:p>
    <w:p>
      <w:pPr>
        <w:pStyle w:val="ManualHeading2"/>
        <w:rPr>
          <w:noProof/>
          <w:szCs w:val="24"/>
        </w:rPr>
      </w:pPr>
      <w:r>
        <w:rPr>
          <w:noProof/>
        </w:rPr>
        <w:t>1.2.</w:t>
      </w:r>
      <w:r>
        <w:rPr>
          <w:noProof/>
        </w:rPr>
        <w:tab/>
        <w:t>Domínio(s) de intervenção abrangido(s) segundo a estrutura ABM/ABB</w:t>
      </w:r>
      <w:r>
        <w:rPr>
          <w:rStyle w:val="FootnoteReference"/>
          <w:noProof/>
        </w:rPr>
        <w:footnoteReference w:id="7"/>
      </w:r>
      <w:r>
        <w:rPr>
          <w:i/>
          <w:noProof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4 Emprego, assuntos sociais e inclusão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04 02 60 – Fundo Social Europeu – Regiões menos desenvolvidas – Objetivo de Investimento no Crescimento e no Emprego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04 02 61 – Fundo Social Europeu – Regiões em transição – Objetivo de Investimento no Crescimento e no Emprego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04 02 62 – Fundo Social Europeu – Regiões mais desenvolvidas – Objetivo de Investimento no Crescimento e no Emprego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04 02 64 – Iniciativa para o Emprego dos Jovens (IEJ)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13 Política Regional e Urbana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13 03 60 – Fundo Europeu de Desenvolvimento Regional (FEDER) – Regiões menos desenvolvidas – Objetivo de Investimento no Crescimento e no Emprego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13 03 61 – Fundo Europeu de Desenvolvimento Regional (FEDER) – Regiões em transição – Objetivo de Investimento no Crescimento e no Emprego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13 03 62 – Fundo Europeu de Desenvolvimento Regional (FEDER) – Regiões mais desenvolvidas – Objetivo de Investimento no Crescimento e no Emprego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13 03 63 – Fundo Europeu de Desenvolvimento Regional (FEDER) – Dotação adicional para as regiões ultraperiféricas e escassamente povoadas – Objetivo de Investimento no Crescimento e no Emprego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13 03 64 01 – Fundo Europeu de Desenvolvimento Regional (FEDER) – Cooperação Territorial Europeia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13 04 60 – Fundo de Coesão – Objetivo de Investimento no Crescimento e no Emprego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1.3.</w:t>
      </w:r>
      <w:r>
        <w:rPr>
          <w:noProof/>
        </w:rPr>
        <w:tab/>
        <w:t xml:space="preserve">Natureza da proposta/iniciativa </w:t>
      </w:r>
    </w:p>
    <w:p>
      <w:pPr>
        <w:pStyle w:val="Text1"/>
        <w:rPr>
          <w:b/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b/>
          <w:i/>
          <w:noProof/>
          <w:sz w:val="22"/>
        </w:rPr>
        <w:t xml:space="preserve"> </w:t>
      </w:r>
      <w:r>
        <w:rPr>
          <w:noProof/>
        </w:rPr>
        <w:t xml:space="preserve">A proposta/iniciativa refere-se a </w:t>
      </w:r>
      <w:r>
        <w:rPr>
          <w:b/>
          <w:noProof/>
        </w:rPr>
        <w:t>uma nova ação</w:t>
      </w:r>
      <w:r>
        <w:rPr>
          <w:b/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A proposta/iniciativa refere-se a </w:t>
      </w:r>
      <w:r>
        <w:rPr>
          <w:b/>
          <w:noProof/>
        </w:rPr>
        <w:t>uma nova ação na sequência de um projeto-piloto/ação preparatória</w:t>
      </w:r>
      <w:r>
        <w:rPr>
          <w:rStyle w:val="FootnoteReference"/>
          <w:b/>
          <w:noProof/>
        </w:rPr>
        <w:footnoteReference w:id="8"/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7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A proposta/iniciativa refere-se à </w:t>
      </w:r>
      <w:r>
        <w:rPr>
          <w:b/>
          <w:noProof/>
        </w:rPr>
        <w:t>prorrogação de uma ação existente</w:t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A proposta/iniciativa refere-se a </w:t>
      </w:r>
      <w:r>
        <w:rPr>
          <w:b/>
          <w:noProof/>
        </w:rPr>
        <w:t>uma ação reorientada para uma nova ação</w:t>
      </w:r>
      <w:r>
        <w:rPr>
          <w:noProof/>
        </w:rPr>
        <w:t xml:space="preserve"> 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1.4.</w:t>
      </w:r>
      <w:r>
        <w:rPr>
          <w:noProof/>
        </w:rPr>
        <w:tab/>
        <w:t>Objetivo(s)</w:t>
      </w:r>
    </w:p>
    <w:p>
      <w:pPr>
        <w:pStyle w:val="ManualHeading3"/>
        <w:rPr>
          <w:noProof/>
        </w:rPr>
      </w:pPr>
      <w:r>
        <w:rPr>
          <w:noProof/>
        </w:rPr>
        <w:t>1.4.1.</w:t>
      </w:r>
      <w:r>
        <w:rPr>
          <w:noProof/>
        </w:rPr>
        <w:tab/>
        <w:t xml:space="preserve">Objetivo(s) estratégico(s) plurianual(is) da Comissão visado(s) pela proposta/iniciativa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N/D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1.4.2.</w:t>
      </w:r>
      <w:r>
        <w:rPr>
          <w:noProof/>
        </w:rPr>
        <w:tab/>
        <w:t xml:space="preserve">Objetivo(s) específico(s) e atividade(s) ABM/ABB em causa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Objetivo específico n.º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N/D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Atividade(s) ABM/ABB em causa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N/D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1.4.3.</w:t>
      </w:r>
      <w:r>
        <w:rPr>
          <w:noProof/>
        </w:rPr>
        <w:tab/>
        <w:t>Resultados e impacto esperados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Especificar os efeitos que a proposta/iniciativa poderá ter nos beneficiários/na população visada.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N/D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1.4.4.</w:t>
      </w:r>
      <w:r>
        <w:rPr>
          <w:noProof/>
        </w:rPr>
        <w:tab/>
        <w:t xml:space="preserve">Indicadores de resultados e de impacto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Especificar os indicadores que permitem acompanhar a execução da proposta/iniciativa.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N/D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1.5.</w:t>
      </w:r>
      <w:r>
        <w:rPr>
          <w:noProof/>
        </w:rPr>
        <w:tab/>
        <w:t xml:space="preserve">Justificação da proposta/iniciativa </w:t>
      </w:r>
    </w:p>
    <w:p>
      <w:pPr>
        <w:pStyle w:val="ManualHeading3"/>
        <w:rPr>
          <w:noProof/>
        </w:rPr>
      </w:pPr>
      <w:r>
        <w:rPr>
          <w:noProof/>
        </w:rPr>
        <w:t>1.5.1.</w:t>
      </w:r>
      <w:r>
        <w:rPr>
          <w:noProof/>
        </w:rPr>
        <w:tab/>
        <w:t xml:space="preserve">Necessidade(s) a satisfazer a curto ou a longo prazo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N/D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1.5.2.</w:t>
      </w:r>
      <w:r>
        <w:rPr>
          <w:noProof/>
        </w:rPr>
        <w:tab/>
        <w:t>Valor acrescentado da participação da UE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N/D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1.5.3.</w:t>
      </w:r>
      <w:r>
        <w:rPr>
          <w:noProof/>
        </w:rPr>
        <w:tab/>
        <w:t>Lições tiradas de experiências anteriores semelhantes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N/D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1.5.4.</w:t>
      </w:r>
      <w:r>
        <w:rPr>
          <w:noProof/>
        </w:rPr>
        <w:tab/>
        <w:t>Compatibilidade e eventual sinergia com outros instrumentos adequados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N/D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1.6.</w:t>
      </w:r>
      <w:r>
        <w:rPr>
          <w:noProof/>
        </w:rPr>
        <w:tab/>
        <w:t xml:space="preserve">Duração da ação e impacto financeiro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noProof/>
        </w:rPr>
        <w:t xml:space="preserve">Proposta/iniciativa de </w:t>
      </w:r>
      <w:r>
        <w:rPr>
          <w:b/>
          <w:noProof/>
        </w:rPr>
        <w:t xml:space="preserve">duração limitada </w:t>
      </w:r>
    </w:p>
    <w:p>
      <w:pPr>
        <w:pStyle w:val="ListDash2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Proposta/iniciativa em vigor entre 1.1.2017 e 31.12.2023</w:t>
      </w:r>
    </w:p>
    <w:p>
      <w:pPr>
        <w:pStyle w:val="ListDash2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Impacto financeiro em 2017 - 2020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noProof/>
        </w:rPr>
        <w:t xml:space="preserve">Proposta/iniciativa de </w:t>
      </w:r>
      <w:r>
        <w:rPr>
          <w:b/>
          <w:noProof/>
        </w:rPr>
        <w:t>duração ilimitada</w:t>
      </w:r>
    </w:p>
    <w:p>
      <w:pPr>
        <w:pStyle w:val="ListDash1"/>
        <w:rPr>
          <w:noProof/>
        </w:rPr>
      </w:pPr>
      <w:r>
        <w:rPr>
          <w:noProof/>
        </w:rPr>
        <w:t>Aplicação com um período de arranque progressivo entre AAAA e AAAA,</w:t>
      </w:r>
    </w:p>
    <w:p>
      <w:pPr>
        <w:pStyle w:val="ListDash1"/>
        <w:rPr>
          <w:noProof/>
        </w:rPr>
      </w:pPr>
      <w:r>
        <w:rPr>
          <w:noProof/>
        </w:rPr>
        <w:t>seguido de um período de funcionamento pleno.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1.7.</w:t>
      </w:r>
      <w:r>
        <w:rPr>
          <w:noProof/>
        </w:rPr>
        <w:tab/>
        <w:t>Modalidade(s) de gestão planeada(s)</w:t>
      </w:r>
      <w:r>
        <w:rPr>
          <w:rStyle w:val="FootnoteReference"/>
          <w:noProof/>
        </w:rPr>
        <w:footnoteReference w:id="9"/>
      </w:r>
      <w:r>
        <w:rPr>
          <w:rStyle w:val="FootnoteReference"/>
          <w:noProof/>
        </w:rPr>
        <w:t xml:space="preserve">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Gestão direta</w:t>
      </w:r>
      <w:r>
        <w:rPr>
          <w:noProof/>
        </w:rPr>
        <w:t xml:space="preserve"> pela Comissão</w:t>
      </w:r>
    </w:p>
    <w:p>
      <w:pPr>
        <w:pStyle w:val="ListDash2"/>
        <w:rPr>
          <w:rFonts w:cs="EUAlbertina"/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por intermédio dos seus serviços, incluindo o pessoal nas delegações da União;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pelas agências de execução </w:t>
      </w:r>
    </w:p>
    <w:p>
      <w:pPr>
        <w:pStyle w:val="Text1"/>
        <w:rPr>
          <w:noProof/>
        </w:rPr>
      </w:pPr>
      <w:r>
        <w:rPr>
          <w:noProof/>
        </w:rPr>
        <w:sym w:font="Wingdings" w:char="F078"/>
      </w:r>
      <w:r>
        <w:rPr>
          <w:b/>
          <w:i/>
          <w:noProof/>
        </w:rPr>
        <w:t xml:space="preserve"> </w:t>
      </w:r>
      <w:r>
        <w:rPr>
          <w:b/>
          <w:noProof/>
        </w:rPr>
        <w:t>Gestão partilhada</w:t>
      </w:r>
      <w:r>
        <w:rPr>
          <w:noProof/>
        </w:rPr>
        <w:t xml:space="preserve"> com os Estados-Membros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Gestão indireta</w:t>
      </w:r>
      <w:r>
        <w:rPr>
          <w:noProof/>
        </w:rPr>
        <w:t>, confiando-se tarefas de execução orçamental: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 países terceiros ou a organismos por estes designados;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 organizações internacionais e respetivas agências (a especificar);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ao BEI e ao Fundo Europeu de Investimento;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aos organismos referidos nos artigos 208.º e 209.º do Regulamento Financeiro;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 organismos de direito público;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 organismos regidos pelo direito privado com uma missão de serviço público, na medida em que prestem garantias financeiras adequadas;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 organismos regidos pelo direito privado de um Estado-Membro com a responsabilidade pela execução de uma parceria público-privada e que prestem garantias financeiras adequadas;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às pessoas encarregadas da execução de ações específicas no quadro da PESC por força do título V do Tratado da União Europeia, identificadas no ato de base pertinente.</w:t>
      </w:r>
    </w:p>
    <w:p>
      <w:pPr>
        <w:pStyle w:val="ListDash2"/>
        <w:rPr>
          <w:i/>
          <w:noProof/>
          <w:sz w:val="18"/>
          <w:u w:val="single"/>
        </w:rPr>
      </w:pPr>
      <w:r>
        <w:rPr>
          <w:i/>
          <w:noProof/>
          <w:sz w:val="18"/>
        </w:rPr>
        <w:t>Se for indicada mais de uma modalidade de gestão, queira especificar na secção «Observações».</w:t>
      </w:r>
    </w:p>
    <w:p>
      <w:pPr>
        <w:rPr>
          <w:noProof/>
        </w:rPr>
      </w:pPr>
      <w:r>
        <w:rPr>
          <w:noProof/>
        </w:rPr>
        <w:t xml:space="preserve">Observações: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N/D</w:t>
      </w:r>
    </w:p>
    <w:p>
      <w:pPr>
        <w:pStyle w:val="ManualHeading1"/>
        <w:rPr>
          <w:bCs/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 xml:space="preserve">MEDIDAS DE GESTÃO </w:t>
      </w:r>
    </w:p>
    <w:p>
      <w:pPr>
        <w:pStyle w:val="ManualHeading2"/>
        <w:rPr>
          <w:noProof/>
        </w:rPr>
      </w:pPr>
      <w:r>
        <w:rPr>
          <w:noProof/>
        </w:rPr>
        <w:t>2.1.</w:t>
      </w:r>
      <w:r>
        <w:rPr>
          <w:noProof/>
        </w:rPr>
        <w:tab/>
        <w:t xml:space="preserve">Disposições em matéria de acompanhamento e apresentação de relatórios </w:t>
      </w:r>
    </w:p>
    <w:p>
      <w:pPr>
        <w:pStyle w:val="Text1"/>
        <w:rPr>
          <w:i/>
          <w:noProof/>
          <w:sz w:val="20"/>
          <w:u w:val="single"/>
        </w:rPr>
      </w:pPr>
      <w:r>
        <w:rPr>
          <w:i/>
          <w:noProof/>
          <w:sz w:val="20"/>
        </w:rPr>
        <w:t>Especificar a periodicidade e as condições.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N/D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2.2.</w:t>
      </w:r>
      <w:r>
        <w:rPr>
          <w:noProof/>
        </w:rPr>
        <w:tab/>
        <w:t xml:space="preserve">Sistema de gestão e de controlo </w:t>
      </w:r>
    </w:p>
    <w:p>
      <w:pPr>
        <w:pStyle w:val="ManualHeading3"/>
        <w:rPr>
          <w:noProof/>
        </w:rPr>
      </w:pPr>
      <w:r>
        <w:rPr>
          <w:noProof/>
        </w:rPr>
        <w:t>2.2.1.</w:t>
      </w:r>
      <w:r>
        <w:rPr>
          <w:noProof/>
        </w:rPr>
        <w:tab/>
        <w:t xml:space="preserve">Risco(s) identificado(s)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N/D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2.2.2.</w:t>
      </w:r>
      <w:r>
        <w:rPr>
          <w:noProof/>
        </w:rPr>
        <w:tab/>
        <w:t>Informações sobre o sistema de controlo interno criado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N/D</w:t>
      </w:r>
    </w:p>
    <w:p>
      <w:pPr>
        <w:pStyle w:val="ManualHeading3"/>
        <w:rPr>
          <w:noProof/>
        </w:rPr>
      </w:pPr>
      <w:r>
        <w:rPr>
          <w:noProof/>
        </w:rPr>
        <w:t>2.2.3.</w:t>
      </w:r>
      <w:r>
        <w:rPr>
          <w:noProof/>
        </w:rPr>
        <w:tab/>
        <w:t xml:space="preserve">Estimativa dos custos e benefícios dos controlos e avaliação do nível previsto de risco de erro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N/D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2.3.</w:t>
      </w:r>
      <w:r>
        <w:rPr>
          <w:noProof/>
        </w:rPr>
        <w:tab/>
        <w:t xml:space="preserve">Medidas de prevenção de fraudes e irregularidades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Especificar as medidas de prevenção e de proteção existentes ou previstas.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N/D</w:t>
      </w:r>
    </w:p>
    <w:p>
      <w:pPr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1"/>
        <w:rPr>
          <w:bCs/>
          <w:noProof/>
          <w:szCs w:val="24"/>
        </w:rPr>
      </w:pPr>
      <w:r>
        <w:rPr>
          <w:noProof/>
        </w:rPr>
        <w:t>3.</w:t>
      </w:r>
      <w:r>
        <w:rPr>
          <w:noProof/>
        </w:rPr>
        <w:tab/>
        <w:t xml:space="preserve">IMPACTO FINANCEIRO ESTIMADO DA PROPOSTA/INICIATIVA </w:t>
      </w:r>
    </w:p>
    <w:p>
      <w:pPr>
        <w:pStyle w:val="ManualHeading2"/>
        <w:rPr>
          <w:noProof/>
        </w:rPr>
      </w:pPr>
      <w:r>
        <w:rPr>
          <w:noProof/>
        </w:rPr>
        <w:t>3.1.</w:t>
      </w:r>
      <w:r>
        <w:rPr>
          <w:noProof/>
        </w:rPr>
        <w:tab/>
        <w:t xml:space="preserve">Rubrica(s) do quadro financeiro plurianual e rubrica(s) orçamental(is) de despesas envolvida(s) </w:t>
      </w:r>
    </w:p>
    <w:p>
      <w:pPr>
        <w:pStyle w:val="ListBullet1"/>
        <w:rPr>
          <w:noProof/>
        </w:rPr>
      </w:pPr>
      <w:r>
        <w:rPr>
          <w:noProof/>
        </w:rPr>
        <w:t xml:space="preserve">Atuais rubricas orçamentais </w:t>
      </w:r>
    </w:p>
    <w:p>
      <w:pPr>
        <w:pStyle w:val="Text1"/>
        <w:rPr>
          <w:noProof/>
        </w:rPr>
      </w:pPr>
      <w:r>
        <w:rPr>
          <w:noProof/>
          <w:u w:val="single"/>
        </w:rPr>
        <w:t>Segundo a ordem</w:t>
      </w:r>
      <w:r>
        <w:rPr>
          <w:noProof/>
        </w:rPr>
        <w:t xml:space="preserve"> das rubricas do quadro financeiro plurianual e das respetivas rubricas orçamentais.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3840"/>
        <w:gridCol w:w="1080"/>
        <w:gridCol w:w="956"/>
        <w:gridCol w:w="1080"/>
        <w:gridCol w:w="956"/>
        <w:gridCol w:w="1448"/>
      </w:tblGrid>
      <w:tr>
        <w:tc>
          <w:tcPr>
            <w:tcW w:w="120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Rubrica do quadro financeiro plurianual</w:t>
            </w:r>
          </w:p>
        </w:tc>
        <w:tc>
          <w:tcPr>
            <w:tcW w:w="384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Rubrica orçamental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Tipo de</w:t>
            </w:r>
            <w:r>
              <w:rPr>
                <w:noProof/>
              </w:rPr>
              <w:br/>
            </w:r>
            <w:r>
              <w:rPr>
                <w:noProof/>
                <w:sz w:val="18"/>
              </w:rPr>
              <w:t>despesa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Participação </w:t>
            </w:r>
          </w:p>
        </w:tc>
      </w:tr>
      <w:tr>
        <w:tc>
          <w:tcPr>
            <w:tcW w:w="1200" w:type="dxa"/>
            <w:vMerge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840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Número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[Designação ……………………...……………]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DD/DND</w:t>
            </w:r>
            <w:r>
              <w:rPr>
                <w:rStyle w:val="FootnoteReference"/>
                <w:noProof/>
                <w:sz w:val="18"/>
              </w:rPr>
              <w:footnoteReference w:id="10"/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dos países EFTA</w:t>
            </w:r>
            <w:r>
              <w:rPr>
                <w:rStyle w:val="FootnoteReference"/>
                <w:noProof/>
                <w:sz w:val="18"/>
              </w:rPr>
              <w:footnoteReference w:id="11"/>
            </w:r>
          </w:p>
          <w:p>
            <w:pPr>
              <w:spacing w:before="0" w:after="0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dos países candidatos</w:t>
            </w:r>
            <w:r>
              <w:rPr>
                <w:rStyle w:val="FootnoteReference"/>
                <w:noProof/>
                <w:sz w:val="18"/>
              </w:rPr>
              <w:footnoteReference w:id="12"/>
            </w:r>
          </w:p>
          <w:p>
            <w:pPr>
              <w:spacing w:before="0" w:after="0"/>
              <w:jc w:val="center"/>
              <w:rPr>
                <w:noProof/>
                <w:sz w:val="1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de países terceiros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na aceção do artigo 21.º, n.º 2, alínea b), do Regulamento Financeiro </w:t>
            </w:r>
          </w:p>
        </w:tc>
      </w:tr>
      <w:tr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  <w:r>
              <w:rPr>
                <w:noProof/>
              </w:rPr>
              <w:t>1 Cresci-mento inteligen-te e inclusivo</w:t>
            </w:r>
          </w:p>
        </w:tc>
        <w:tc>
          <w:tcPr>
            <w:tcW w:w="3840" w:type="dxa"/>
            <w:vAlign w:val="center"/>
          </w:tcPr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60 – Fundo Social Europeu – Regiões menos desenvolvidas – Objetivo de Investimento no Crescimento e no Emprego</w:t>
            </w: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61 – Fundo Social Europeu – Regiões em transição – Objetivo de Investimento no Crescimento e no Emprego</w:t>
            </w: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62 – Fundo Social Europeu – Regiões mais desenvolvidas – Objetivo de Investimento no Crescimento e no Emprego</w:t>
            </w: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64 – Iniciativa para o Emprego dos Jovens (IEJ)</w:t>
            </w: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13 03 60 – Fundo Europeu de Desenvolvimento Regional (FEDER) – Regiões menos desenvolvidas – Objetivo de Investimento no Crescimento e no Emprego </w:t>
            </w: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13 03 61 – Fundo Europeu de Desenvolvimento Regional (FEDER) – Regiões em transição – Objetivo de Investimento no Crescimento e no Emprego </w:t>
            </w: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13 03 62 – Fundo Europeu de Desenvolvimento Regional (FEDER) – Regiões mais desenvolvidas – Objetivo de Investimento no Crescimento e no Emprego </w:t>
            </w:r>
          </w:p>
          <w:p>
            <w:pPr>
              <w:spacing w:after="60"/>
              <w:rPr>
                <w:bCs/>
                <w:iCs/>
                <w:noProof/>
              </w:rPr>
            </w:pPr>
            <w:r>
              <w:rPr>
                <w:noProof/>
              </w:rPr>
              <w:t>13 03 63 – Fundo Europeu de Desenvolvimento Regional (FEDER) – Dotação adicional para as regiões ultraperiféricas e escassamente povoadas – Objetivo de Investimento no Crescimento e no Emprego</w:t>
            </w:r>
          </w:p>
          <w:p>
            <w:pPr>
              <w:spacing w:after="60"/>
              <w:rPr>
                <w:bCs/>
                <w:iCs/>
                <w:noProof/>
              </w:rPr>
            </w:pPr>
            <w:r>
              <w:rPr>
                <w:noProof/>
              </w:rPr>
              <w:t>13 03 64 01 – Fundo Europeu de Desenvolvimento Regional (FEDER) – Cooperação Territorial Europeia</w:t>
            </w: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13 04 60 – Fundo de Coesão – Objetivo de Investimento no Crescimento e no Emprego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  <w:r>
              <w:rPr>
                <w:noProof/>
              </w:rPr>
              <w:t>Dif.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NÃO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NÃO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NÃO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NÃO</w:t>
            </w:r>
          </w:p>
        </w:tc>
      </w:tr>
    </w:tbl>
    <w:p>
      <w:pPr>
        <w:rPr>
          <w:noProof/>
        </w:rPr>
      </w:pPr>
    </w:p>
    <w:p>
      <w:pPr>
        <w:pStyle w:val="ListBullet1"/>
        <w:rPr>
          <w:noProof/>
        </w:rPr>
      </w:pPr>
      <w:r>
        <w:rPr>
          <w:noProof/>
        </w:rPr>
        <w:t xml:space="preserve">Novas rubricas orçamentais necessárias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u w:val="single"/>
        </w:rPr>
        <w:t>Segundo a ordem</w:t>
      </w:r>
      <w:r>
        <w:rPr>
          <w:i/>
          <w:noProof/>
        </w:rPr>
        <w:t xml:space="preserve"> das rubricas do quadro financeiro plurianual e das respetivas rubricas orçamentais.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448"/>
      </w:tblGrid>
      <w:tr>
        <w:tc>
          <w:tcPr>
            <w:tcW w:w="108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Rubrica do quadro financeiro plurianual</w:t>
            </w:r>
          </w:p>
        </w:tc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Rubrica orçamental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Tipo de</w:t>
            </w:r>
            <w:r>
              <w:rPr>
                <w:noProof/>
              </w:rPr>
              <w:br/>
            </w:r>
            <w:r>
              <w:rPr>
                <w:noProof/>
                <w:sz w:val="18"/>
              </w:rPr>
              <w:t>despesa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Participação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960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Número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[Designação ……………………...……………]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DD/DND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dos países EFTA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dos países candidatos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de países terceiros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na aceção do artigo 21.º, n.º 2, alínea b), do Regulamento Financeiro 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before="60"/>
              <w:rPr>
                <w:noProof/>
              </w:rPr>
            </w:pPr>
            <w:r>
              <w:rPr>
                <w:noProof/>
              </w:rPr>
              <w:t>[XX.YY.YY.YY]</w:t>
            </w:r>
          </w:p>
          <w:p>
            <w:pPr>
              <w:spacing w:after="60"/>
              <w:rPr>
                <w:noProof/>
                <w:color w:val="0000FF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SIM/NÃO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  <w:sz w:val="18"/>
              </w:rPr>
            </w:pPr>
            <w:r>
              <w:rPr>
                <w:noProof/>
              </w:rPr>
              <w:t>SIM/NÃO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color w:val="0000FF"/>
                <w:sz w:val="18"/>
              </w:rPr>
            </w:pPr>
            <w:r>
              <w:rPr>
                <w:noProof/>
              </w:rPr>
              <w:t>SIM/NÃO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SIM/NÃO</w:t>
            </w:r>
          </w:p>
        </w:tc>
      </w:tr>
    </w:tbl>
    <w:p>
      <w:pPr>
        <w:pStyle w:val="Institutionquisigne"/>
        <w:rPr>
          <w:noProof/>
        </w:rPr>
        <w:sect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3.2.</w:t>
      </w:r>
      <w:r>
        <w:rPr>
          <w:noProof/>
        </w:rPr>
        <w:tab/>
        <w:t xml:space="preserve">Impacto estimado nas despesas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As dotações de autorização para a verba específica destinada à IEJ para 2018 devem ser aumentadas em 116,7 milhões de EUR, a preços correntes, e o valor para 2020 deve ser reduzido do mesmo montante.  As dotações de pagamento foram ajustadas em conformidade. </w:t>
      </w:r>
    </w:p>
    <w:p>
      <w:pPr>
        <w:pStyle w:val="ManualHeading3"/>
        <w:rPr>
          <w:noProof/>
          <w:u w:val="single"/>
        </w:rPr>
      </w:pPr>
      <w:r>
        <w:rPr>
          <w:noProof/>
        </w:rPr>
        <w:t>3.2.1.</w:t>
      </w:r>
      <w:r>
        <w:rPr>
          <w:noProof/>
        </w:rPr>
        <w:tab/>
        <w:t xml:space="preserve">Síntese do impacto estimado nas despesas 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 xml:space="preserve">Preços correntes, em EUR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1"/>
        <w:gridCol w:w="1080"/>
        <w:gridCol w:w="7817"/>
      </w:tblGrid>
      <w:tr>
        <w:trPr>
          <w:jc w:val="center"/>
        </w:trPr>
        <w:tc>
          <w:tcPr>
            <w:tcW w:w="5351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Rubrica do quadro financeiro</w:t>
            </w:r>
            <w:r>
              <w:rPr>
                <w:noProof/>
              </w:rPr>
              <w:br/>
            </w:r>
            <w:r>
              <w:rPr>
                <w:b/>
                <w:noProof/>
              </w:rPr>
              <w:t xml:space="preserve">plurianual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Número</w:t>
            </w:r>
          </w:p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1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Crescimento inteligente e inclusivo</w:t>
            </w:r>
          </w:p>
        </w:tc>
      </w:tr>
    </w:tbl>
    <w:p>
      <w:pPr>
        <w:rPr>
          <w:noProof/>
          <w:sz w:val="16"/>
        </w:rPr>
      </w:pPr>
    </w:p>
    <w:tbl>
      <w:tblPr>
        <w:tblW w:w="144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3119"/>
        <w:gridCol w:w="425"/>
        <w:gridCol w:w="709"/>
        <w:gridCol w:w="708"/>
        <w:gridCol w:w="709"/>
        <w:gridCol w:w="1276"/>
        <w:gridCol w:w="1276"/>
        <w:gridCol w:w="1275"/>
        <w:gridCol w:w="1276"/>
        <w:gridCol w:w="1518"/>
      </w:tblGrid>
      <w:tr>
        <w:tc>
          <w:tcPr>
            <w:tcW w:w="2203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 xml:space="preserve">DG: </w:t>
            </w:r>
            <w:r>
              <w:rPr>
                <w:noProof/>
              </w:rPr>
              <w:t xml:space="preserve">EMPL, REGIO </w:t>
            </w:r>
          </w:p>
        </w:tc>
        <w:tc>
          <w:tcPr>
            <w:tcW w:w="3119" w:type="dxa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2014</w:t>
            </w:r>
          </w:p>
        </w:tc>
        <w:tc>
          <w:tcPr>
            <w:tcW w:w="708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2015</w:t>
            </w:r>
          </w:p>
        </w:tc>
        <w:tc>
          <w:tcPr>
            <w:tcW w:w="70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2016</w:t>
            </w:r>
          </w:p>
        </w:tc>
        <w:tc>
          <w:tcPr>
            <w:tcW w:w="127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2017</w:t>
            </w:r>
          </w:p>
        </w:tc>
        <w:tc>
          <w:tcPr>
            <w:tcW w:w="127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2018</w:t>
            </w:r>
            <w:r>
              <w:rPr>
                <w:rStyle w:val="FootnoteReference"/>
                <w:noProof/>
              </w:rPr>
              <w:footnoteReference w:id="13"/>
            </w:r>
          </w:p>
        </w:tc>
        <w:tc>
          <w:tcPr>
            <w:tcW w:w="127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2019</w:t>
            </w:r>
          </w:p>
        </w:tc>
        <w:tc>
          <w:tcPr>
            <w:tcW w:w="127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2020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rPr>
          <w:trHeight w:val="213"/>
        </w:trPr>
        <w:tc>
          <w:tcPr>
            <w:tcW w:w="5747" w:type="dxa"/>
            <w:gridSpan w:val="3"/>
            <w:vAlign w:val="center"/>
          </w:tcPr>
          <w:p>
            <w:pPr>
              <w:spacing w:before="20" w:after="20"/>
              <w:rPr>
                <w:noProof/>
                <w:sz w:val="21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Dotações operacionais </w:t>
            </w:r>
          </w:p>
        </w:tc>
        <w:tc>
          <w:tcPr>
            <w:tcW w:w="709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277"/>
        </w:trPr>
        <w:tc>
          <w:tcPr>
            <w:tcW w:w="2203" w:type="dxa"/>
            <w:vAlign w:val="center"/>
          </w:tcPr>
          <w:p>
            <w:pPr>
              <w:spacing w:before="60"/>
              <w:rPr>
                <w:noProof/>
                <w:sz w:val="21"/>
              </w:rPr>
            </w:pPr>
            <w:r>
              <w:rPr>
                <w:noProof/>
                <w:sz w:val="21"/>
              </w:rPr>
              <w:t>1b: Coesão Económica, Social e Territorial</w:t>
            </w:r>
          </w:p>
          <w:p>
            <w:pPr>
              <w:spacing w:before="60"/>
              <w:rPr>
                <w:noProof/>
              </w:rPr>
            </w:pPr>
            <w:r>
              <w:rPr>
                <w:noProof/>
                <w:sz w:val="21"/>
              </w:rPr>
              <w:t>Fundo Europeu de Desenvolvimento Regional, Fundo Social Europeu, Fundo de Coesão</w:t>
            </w:r>
          </w:p>
        </w:tc>
        <w:tc>
          <w:tcPr>
            <w:tcW w:w="3119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Autorizações </w:t>
            </w: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60 – Fundo Social Europeu – Regiões menos desenvolvidas – Objetivo de Investimento no Crescimento e no Emprego</w:t>
            </w: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61 – Fundo Social Europeu – Regiões em transição – Objetivo de Investimento no Crescimento e no Emprego</w:t>
            </w: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04 02 62 – Fundo Social Europeu – Regiões mais desenvolvidas – Objetivo de Investimento no Crescimento e no Emprego </w:t>
            </w: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64 – Iniciativa para o Emprego dos Jovens (IEJ)</w:t>
            </w: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13 03 60 – Fundo Europeu de Desenvolvimento Regional (FEDER) – Regiões menos desenvolvidas – Objetivo de Investimento no Crescimento e no Emprego </w:t>
            </w: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13 03 61 – Fundo Europeu de Desenvolvimento Regional (FEDER) – Regiões em transição – Objetivo de Investimento no Crescimento e no Emprego </w:t>
            </w: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13 03 62 – Fundo Europeu de Desenvolvimento Regional (FEDER) – Regiões mais desenvolvidas – Objetivo de Investimento no Crescimento e no Emprego </w:t>
            </w: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after="60"/>
              <w:rPr>
                <w:noProof/>
                <w:sz w:val="18"/>
              </w:rPr>
            </w:pPr>
            <w:r>
              <w:rPr>
                <w:noProof/>
              </w:rPr>
              <w:t>13 04 60 – Fundo de Coesão – Objetivo de Investimento no Crescimento e no Emprego</w:t>
            </w: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before="20" w:after="20"/>
              <w:rPr>
                <w:noProof/>
                <w:sz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(1)</w:t>
            </w: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237 320 881 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251 466 089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87 329 881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500 000 000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237 320 880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251 466 089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87 329 881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-26 071 285</w:t>
            </w: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242 067 299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256 495 412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89 076 479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350 000 000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242 067 299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256 495 411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89 076 479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-26 592 711</w:t>
            </w: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246 908 645 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261 625 320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90 858 008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233 333 333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246 908 645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261 625 320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90 858 009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-27 124 565</w:t>
            </w: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251 846 817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266 857 826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92 675 169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116 666 667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251 846 645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266 857 826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92 675 168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-27 667 056</w:t>
            </w:r>
          </w:p>
        </w:tc>
        <w:tc>
          <w:tcPr>
            <w:tcW w:w="1518" w:type="dxa"/>
            <w:vAlign w:val="center"/>
          </w:tcPr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978 143 642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1 036 444 647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359 939 537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1 200 000 000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978 143 469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1 036 444 646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359 939 537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-107 455 617</w:t>
            </w:r>
          </w:p>
        </w:tc>
      </w:tr>
    </w:tbl>
    <w:p>
      <w:pPr>
        <w:rPr>
          <w:noProof/>
        </w:rPr>
      </w:pPr>
      <w:r>
        <w:rPr>
          <w:noProof/>
        </w:rPr>
        <w:br w:type="page"/>
      </w:r>
    </w:p>
    <w:p>
      <w:pPr>
        <w:rPr>
          <w:noProof/>
        </w:rPr>
      </w:pPr>
    </w:p>
    <w:p>
      <w:pPr>
        <w:rPr>
          <w:noProof/>
        </w:rPr>
      </w:pPr>
    </w:p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3077"/>
        <w:gridCol w:w="42"/>
        <w:gridCol w:w="425"/>
        <w:gridCol w:w="567"/>
        <w:gridCol w:w="709"/>
        <w:gridCol w:w="567"/>
        <w:gridCol w:w="1417"/>
        <w:gridCol w:w="1418"/>
        <w:gridCol w:w="1417"/>
        <w:gridCol w:w="1418"/>
        <w:gridCol w:w="1417"/>
      </w:tblGrid>
      <w:tr>
        <w:trPr>
          <w:trHeight w:val="85"/>
        </w:trPr>
        <w:tc>
          <w:tcPr>
            <w:tcW w:w="2203" w:type="dxa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</w:rPr>
              <w:br w:type="page"/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Pagamentos </w:t>
            </w: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60 – Fundo Social Europeu – Regiões menos desenvolvidas – Objetivo de Investimento no Crescimento e no Emprego</w:t>
            </w: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61 – Fundo Social Europeu – Regiões em transição – Objetivo de Investimento no Crescimento e no Emprego</w:t>
            </w: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04 02 62 – Fundo Social Europeu – Regiões mais desenvolvidas – Objetivo de Investimento no Crescimento e no Emprego </w:t>
            </w: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64 – Iniciativa para o Emprego dos Jovens (IEJ)</w:t>
            </w: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13 03 60 – Fundo Europeu de Desenvolvimento Regional (FEDER) – Regiões menos desenvolvidas – Objetivo de Investimento no Crescimento e no Emprego </w:t>
            </w: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13 03 61 – Fundo Europeu de Desenvolvimento Regional (FEDER) – Regiões em transição – Objetivo de Investimento no Crescimento e no Emprego </w:t>
            </w: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13 03 62 – Fundo Europeu de Desenvolvimento Regional (FEDER) – Regiões mais desenvolvidas – Objetivo de Investimento no Crescimento e no Emprego </w:t>
            </w: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bCs/>
                <w:iCs/>
                <w:noProof/>
              </w:rPr>
            </w:pPr>
            <w:r>
              <w:rPr>
                <w:noProof/>
              </w:rPr>
              <w:t>13 03 63 – Fundo Europeu de Desenvolvimento Regional (FEDER) – Dotação adicional para as regiões ultraperiféricas e escassamente povoadas – Objetivo de Investimento no Crescimento e no Emprego</w:t>
            </w:r>
          </w:p>
          <w:p>
            <w:pPr>
              <w:spacing w:after="60"/>
              <w:rPr>
                <w:bCs/>
                <w:iCs/>
                <w:noProof/>
              </w:rPr>
            </w:pPr>
          </w:p>
          <w:p>
            <w:pPr>
              <w:spacing w:after="60"/>
              <w:rPr>
                <w:bCs/>
                <w:iCs/>
                <w:noProof/>
              </w:rPr>
            </w:pPr>
            <w:r>
              <w:rPr>
                <w:noProof/>
              </w:rPr>
              <w:t>13 03 64 01 – Fundo Europeu de Desenvolvimento Regional (FEDER) – Cooperação Territorial Europeia</w:t>
            </w:r>
          </w:p>
          <w:p>
            <w:pPr>
              <w:spacing w:after="60"/>
              <w:rPr>
                <w:bCs/>
                <w:iCs/>
                <w:noProof/>
              </w:rPr>
            </w:pPr>
          </w:p>
          <w:p>
            <w:pPr>
              <w:spacing w:after="60"/>
              <w:rPr>
                <w:noProof/>
                <w:sz w:val="18"/>
              </w:rPr>
            </w:pPr>
            <w:r>
              <w:rPr>
                <w:noProof/>
              </w:rPr>
              <w:t>13 04 60 – Fundo de Coesão – Objetivo de Investimento no Crescimento e no Emprego</w:t>
            </w:r>
          </w:p>
        </w:tc>
        <w:tc>
          <w:tcPr>
            <w:tcW w:w="425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(2)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85 000 000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25 285 013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26 792 094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9 304 437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329 000 000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25 285 013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26 792 094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9 304 437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-2 777 728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50 887 923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53 921 033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18 725 854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231 000 000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50 887 923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53 921 033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18 725 854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-5 590 378</w:t>
            </w:r>
          </w:p>
        </w:tc>
        <w:tc>
          <w:tcPr>
            <w:tcW w:w="141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108 495 693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114 962 440</w:t>
            </w: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39 924 494</w:t>
            </w: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175 000 000</w:t>
            </w: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108 495 693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114 962 440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39 924 493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-11 918 977</w:t>
            </w: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184 668 629</w:t>
            </w: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195 675 567</w:t>
            </w: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67 954 785</w:t>
            </w: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820 000 000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184 668 629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195 675 567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67 954 785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-20 287 083</w:t>
            </w:r>
          </w:p>
        </w:tc>
      </w:tr>
      <w:tr>
        <w:trPr>
          <w:trHeight w:val="231"/>
        </w:trPr>
        <w:tc>
          <w:tcPr>
            <w:tcW w:w="5747" w:type="dxa"/>
            <w:gridSpan w:val="4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1"/>
              </w:rPr>
              <w:t>Dotações de natureza administrativa financiadas a partir da dotação de programas específicos</w:t>
            </w:r>
            <w:r>
              <w:rPr>
                <w:rStyle w:val="FootnoteReference"/>
                <w:noProof/>
                <w:sz w:val="21"/>
              </w:rPr>
              <w:footnoteReference w:id="14"/>
            </w:r>
            <w:r>
              <w:rPr>
                <w:noProof/>
                <w:sz w:val="21"/>
              </w:rPr>
              <w:t xml:space="preserve"> </w:t>
            </w:r>
          </w:p>
          <w:p>
            <w:pPr>
              <w:spacing w:before="0" w:after="0"/>
              <w:rPr>
                <w:noProof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319"/>
        </w:trPr>
        <w:tc>
          <w:tcPr>
            <w:tcW w:w="2203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0"/>
              </w:rPr>
              <w:t>N/D</w:t>
            </w:r>
          </w:p>
        </w:tc>
        <w:tc>
          <w:tcPr>
            <w:tcW w:w="3077" w:type="dxa"/>
            <w:vAlign w:val="center"/>
          </w:tcPr>
          <w:p>
            <w:pPr>
              <w:spacing w:before="40" w:after="40"/>
              <w:jc w:val="right"/>
              <w:rPr>
                <w:noProof/>
                <w:sz w:val="18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(3)</w:t>
            </w:r>
          </w:p>
        </w:tc>
        <w:tc>
          <w:tcPr>
            <w:tcW w:w="567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2203" w:type="dxa"/>
            <w:vMerge w:val="restart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TOTAL das dotações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>para a DG</w:t>
            </w:r>
            <w:r>
              <w:rPr>
                <w:noProof/>
              </w:rPr>
              <w:t xml:space="preserve"> EMPL, REGIO </w:t>
            </w:r>
          </w:p>
        </w:tc>
        <w:tc>
          <w:tcPr>
            <w:tcW w:w="3077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Autorizações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=1+1a +3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1 626 162 416</w:t>
            </w:r>
          </w:p>
        </w:tc>
        <w:tc>
          <w:tcPr>
            <w:tcW w:w="141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1 498 685 668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1 404 992 715</w:t>
            </w:r>
          </w:p>
        </w:tc>
        <w:tc>
          <w:tcPr>
            <w:tcW w:w="141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1 311 759 062</w:t>
            </w: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5 841 599 861</w:t>
            </w:r>
          </w:p>
        </w:tc>
      </w:tr>
      <w:tr>
        <w:tc>
          <w:tcPr>
            <w:tcW w:w="2203" w:type="dxa"/>
            <w:vMerge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3077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Pagamentos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=2+2a</w:t>
            </w:r>
          </w:p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+3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85 000 000</w:t>
            </w:r>
          </w:p>
        </w:tc>
        <w:tc>
          <w:tcPr>
            <w:tcW w:w="141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448 985 360</w:t>
            </w: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472 479 242</w:t>
            </w:r>
          </w:p>
        </w:tc>
        <w:tc>
          <w:tcPr>
            <w:tcW w:w="141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689 846 276</w:t>
            </w: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1 696 310 879</w:t>
            </w:r>
          </w:p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  <w:sz w:val="16"/>
        </w:rPr>
      </w:pPr>
    </w:p>
    <w:p>
      <w:pPr>
        <w:rPr>
          <w:noProof/>
          <w:sz w:val="16"/>
        </w:rPr>
      </w:pPr>
    </w:p>
    <w:p>
      <w:pPr>
        <w:rPr>
          <w:noProof/>
        </w:rPr>
      </w:pPr>
    </w:p>
    <w:tbl>
      <w:tblPr>
        <w:tblW w:w="14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1026"/>
        <w:gridCol w:w="1320"/>
        <w:gridCol w:w="891"/>
        <w:gridCol w:w="1066"/>
        <w:gridCol w:w="1200"/>
        <w:gridCol w:w="480"/>
        <w:gridCol w:w="1173"/>
        <w:gridCol w:w="1214"/>
      </w:tblGrid>
      <w:tr>
        <w:trPr>
          <w:trHeight w:val="277"/>
        </w:trPr>
        <w:tc>
          <w:tcPr>
            <w:tcW w:w="3960" w:type="dxa"/>
            <w:vMerge w:val="restart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TOTAL das dotações operacionais </w:t>
            </w: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Autorizações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102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891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06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20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48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173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</w:tr>
      <w:tr>
        <w:tc>
          <w:tcPr>
            <w:tcW w:w="3960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Pagamentos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102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TOTAL das dotações de natureza administrativa financiadas a partir da dotação de programas específicos 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102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  <w:tc>
          <w:tcPr>
            <w:tcW w:w="891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  <w:tc>
          <w:tcPr>
            <w:tcW w:w="106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  <w:tc>
          <w:tcPr>
            <w:tcW w:w="120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  <w:tc>
          <w:tcPr>
            <w:tcW w:w="48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  <w:tc>
          <w:tcPr>
            <w:tcW w:w="1173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</w:tr>
      <w:tr>
        <w:tc>
          <w:tcPr>
            <w:tcW w:w="3960" w:type="dxa"/>
            <w:vMerge w:val="restart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TOTAL das dotações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>da RUBRICA 1</w:t>
            </w:r>
            <w:r>
              <w:rPr>
                <w:noProof/>
              </w:rPr>
              <w:br/>
            </w:r>
            <w:r>
              <w:rPr>
                <w:noProof/>
                <w:sz w:val="22"/>
              </w:rPr>
              <w:t>do quadro financeiro plurianual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Autorizações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=4+ 6</w:t>
            </w:r>
          </w:p>
        </w:tc>
        <w:tc>
          <w:tcPr>
            <w:tcW w:w="102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891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06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20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48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173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</w:tr>
      <w:tr>
        <w:tc>
          <w:tcPr>
            <w:tcW w:w="3960" w:type="dxa"/>
            <w:vMerge/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Pagamentos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=5+ 6</w:t>
            </w:r>
          </w:p>
        </w:tc>
        <w:tc>
          <w:tcPr>
            <w:tcW w:w="102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</w:tr>
      <w:tr>
        <w:tc>
          <w:tcPr>
            <w:tcW w:w="3960" w:type="dxa"/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b/>
          <w:noProof/>
          <w:sz w:val="22"/>
          <w:u w:val="single"/>
        </w:rPr>
      </w:pPr>
      <w:r>
        <w:rPr>
          <w:noProof/>
        </w:rPr>
        <w:br/>
      </w:r>
      <w:r>
        <w:rPr>
          <w:noProof/>
        </w:rPr>
        <w:br/>
      </w:r>
    </w:p>
    <w:p>
      <w:pPr>
        <w:spacing w:after="40"/>
        <w:rPr>
          <w:b/>
          <w:noProof/>
          <w:sz w:val="22"/>
          <w:u w:val="single"/>
        </w:rPr>
      </w:pPr>
      <w:r>
        <w:rPr>
          <w:b/>
          <w:noProof/>
          <w:sz w:val="22"/>
          <w:u w:val="single"/>
        </w:rPr>
        <w:t>Se o impacto da proposta/iniciativa incidir sobre mais de uma rubrica:</w:t>
      </w:r>
    </w:p>
    <w:tbl>
      <w:tblPr>
        <w:tblW w:w="0" w:type="auto"/>
        <w:tblInd w:w="-25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1386"/>
        <w:gridCol w:w="960"/>
        <w:gridCol w:w="840"/>
        <w:gridCol w:w="840"/>
        <w:gridCol w:w="720"/>
        <w:gridCol w:w="720"/>
        <w:gridCol w:w="960"/>
        <w:gridCol w:w="1427"/>
      </w:tblGrid>
      <w:tr>
        <w:trPr>
          <w:trHeight w:val="277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</w:tcBorders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TOTAL das dotações operacionais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Autorizações</w:t>
            </w: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Pagamentos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138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TOTAL das dotações de natureza administrativa financiadas a partir da dotação de programas específicos 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138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TOTAL das dotações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>das RUBRICAS 1 a 4</w:t>
            </w:r>
            <w:r>
              <w:rPr>
                <w:noProof/>
              </w:rPr>
              <w:br/>
            </w:r>
            <w:r>
              <w:rPr>
                <w:noProof/>
                <w:sz w:val="22"/>
              </w:rPr>
              <w:t>do quadro financeiro plurianual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(Montante de referência)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Autorizações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=4+ 6</w:t>
            </w:r>
          </w:p>
        </w:tc>
        <w:tc>
          <w:tcPr>
            <w:tcW w:w="138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Pagamentos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=5+ 6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</w:tr>
    </w:tbl>
    <w:p>
      <w:pPr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</w:rPr>
              <w:t>Rubrica do quadro financeiro</w:t>
            </w:r>
            <w:r>
              <w:rPr>
                <w:noProof/>
              </w:rPr>
              <w:br/>
            </w:r>
            <w:r>
              <w:rPr>
                <w:b/>
                <w:noProof/>
              </w:rPr>
              <w:t xml:space="preserve">plurianual </w:t>
            </w:r>
          </w:p>
        </w:tc>
        <w:tc>
          <w:tcPr>
            <w:tcW w:w="1080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b/>
                <w:noProof/>
                <w:sz w:val="22"/>
              </w:rPr>
              <w:t>5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>«Despesas administrativas»</w:t>
            </w: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Em milhões de EUR (três casas decimais)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 xml:space="preserve">Inserir os anos necessários para mostrar a duração do impacto (ver ponto 1.6) 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rPr>
          <w:gridAfter w:val="10"/>
          <w:wAfter w:w="9947" w:type="dxa"/>
        </w:trPr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 xml:space="preserve">DG: </w:t>
            </w:r>
            <w:r>
              <w:rPr>
                <w:noProof/>
              </w:rPr>
              <w:t>&lt;…….&gt;</w:t>
            </w:r>
          </w:p>
        </w:tc>
      </w:tr>
      <w:tr>
        <w:trPr>
          <w:trHeight w:val="313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Recursos humanos 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trHeight w:val="351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Outras despesas administrativas 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TOTAL DG </w:t>
            </w:r>
            <w:r>
              <w:rPr>
                <w:noProof/>
              </w:rPr>
              <w:t>&lt;…….&gt;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 xml:space="preserve">Dotações 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09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TOTAL das dotações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>da RUBRICA 5</w:t>
            </w:r>
            <w:r>
              <w:rPr>
                <w:noProof/>
              </w:rPr>
              <w:br/>
            </w:r>
            <w:r>
              <w:rPr>
                <w:noProof/>
                <w:sz w:val="22"/>
              </w:rPr>
              <w:t>do quadro financeiro plurianual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vAlign w:val="center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  <w:sz w:val="18"/>
              </w:rPr>
              <w:t>(Total das autorizações = total dos pagamentos)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Em milhões de EUR (três casas decimais)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</w:t>
            </w:r>
            <w:r>
              <w:rPr>
                <w:rStyle w:val="FootnoteReference"/>
                <w:b/>
                <w:noProof/>
                <w:sz w:val="20"/>
              </w:rPr>
              <w:footnoteReference w:id="15"/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Inserir os anos necessários para mostrar a duração do impacto (ver ponto 1.6)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c>
          <w:tcPr>
            <w:tcW w:w="3960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TOTAL das dotações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>das RUBRICAS 1 a 5</w:t>
            </w:r>
            <w:r>
              <w:rPr>
                <w:noProof/>
              </w:rPr>
              <w:br/>
            </w:r>
            <w:r>
              <w:rPr>
                <w:noProof/>
                <w:sz w:val="22"/>
              </w:rPr>
              <w:t>do quadro financeiro plurianual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Autorizações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shd w:val="clear" w:color="auto" w:fill="C0C0C0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Pagamentos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</w:rPr>
        <w:sectPr>
          <w:headerReference w:type="default" r:id="rId18"/>
          <w:footerReference w:type="default" r:id="rId19"/>
          <w:headerReference w:type="first" r:id="rId20"/>
          <w:footerReference w:type="first" r:id="rId21"/>
          <w:pgSz w:w="16840" w:h="11907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3.2.2.</w:t>
      </w:r>
      <w:r>
        <w:rPr>
          <w:noProof/>
        </w:rPr>
        <w:tab/>
        <w:t xml:space="preserve">Impacto estimado nas dotações operacionais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A proposta/iniciativa não acarreta a utilização de dotações operacionais 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A proposta/iniciativa acarreta a utilização de dotações operacionais, tal como explicitado seguidamente: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Dotações de autorização em milhões de EUR (três casas decimais)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720"/>
        <w:gridCol w:w="701"/>
        <w:gridCol w:w="504"/>
        <w:gridCol w:w="720"/>
        <w:gridCol w:w="540"/>
        <w:gridCol w:w="720"/>
        <w:gridCol w:w="720"/>
        <w:gridCol w:w="720"/>
        <w:gridCol w:w="900"/>
        <w:gridCol w:w="51"/>
        <w:gridCol w:w="669"/>
        <w:gridCol w:w="540"/>
        <w:gridCol w:w="648"/>
        <w:gridCol w:w="432"/>
        <w:gridCol w:w="720"/>
        <w:gridCol w:w="540"/>
        <w:gridCol w:w="720"/>
        <w:gridCol w:w="720"/>
        <w:gridCol w:w="900"/>
      </w:tblGrid>
      <w:tr>
        <w:trPr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Indicar os objetivos e as realizações </w:t>
            </w:r>
          </w:p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sym w:font="Wingdings" w:char="F0F2"/>
            </w:r>
          </w:p>
        </w:tc>
        <w:tc>
          <w:tcPr>
            <w:tcW w:w="720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left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Ano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Ano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N+1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Ano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N+2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Ano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Inserir os anos necessários para mostrar a duração do impacto (ver ponto 1.6)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TOTAL</w:t>
            </w:r>
          </w:p>
        </w:tc>
      </w:tr>
      <w:tr>
        <w:trPr>
          <w:jc w:val="center"/>
        </w:trPr>
        <w:tc>
          <w:tcPr>
            <w:tcW w:w="1423" w:type="dxa"/>
            <w:vMerge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185" w:type="dxa"/>
            <w:gridSpan w:val="19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REALIZAÇÕES</w:t>
            </w:r>
          </w:p>
        </w:tc>
      </w:tr>
      <w:tr>
        <w:trPr>
          <w:cantSplit/>
          <w:trHeight w:val="1134"/>
          <w:jc w:val="center"/>
        </w:trPr>
        <w:tc>
          <w:tcPr>
            <w:tcW w:w="1423" w:type="dxa"/>
            <w:vMerge/>
            <w:vAlign w:val="center"/>
          </w:tcPr>
          <w:p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Tipo</w:t>
            </w:r>
            <w:r>
              <w:rPr>
                <w:rStyle w:val="FootnoteReference"/>
                <w:noProof/>
                <w:sz w:val="18"/>
              </w:rPr>
              <w:footnoteReference w:id="16"/>
            </w:r>
          </w:p>
          <w:p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Custo médio</w:t>
            </w:r>
          </w:p>
        </w:tc>
        <w:tc>
          <w:tcPr>
            <w:tcW w:w="504" w:type="dxa"/>
            <w:tcBorders>
              <w:left w:val="nil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N.º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Custo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N.º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Custo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N.º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Custo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N.º</w:t>
            </w: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Custo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N.º</w:t>
            </w:r>
          </w:p>
        </w:tc>
        <w:tc>
          <w:tcPr>
            <w:tcW w:w="648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Custo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N.º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Custo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N.º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Custo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N.º Total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Custo total</w:t>
            </w:r>
          </w:p>
        </w:tc>
      </w:tr>
      <w:tr>
        <w:trPr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OBJETIVO ESPECÍFICO N.º 1</w:t>
            </w:r>
            <w:r>
              <w:rPr>
                <w:rStyle w:val="FootnoteReference"/>
                <w:noProof/>
                <w:sz w:val="18"/>
              </w:rPr>
              <w:footnoteReference w:id="17"/>
            </w:r>
            <w:r>
              <w:rPr>
                <w:noProof/>
                <w:sz w:val="18"/>
              </w:rPr>
              <w:t xml:space="preserve"> 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Realização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Realização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Realização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Subtotal objetivo específico n.º 1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OBJETIVO ESPECÍFICO N.º 2 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Realização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Subtotal objetivo específico n.º 2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CUSTO TOTAL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</w:tbl>
    <w:p>
      <w:pPr>
        <w:rPr>
          <w:noProof/>
        </w:rPr>
        <w:sectPr>
          <w:pgSz w:w="16840" w:h="11907" w:orient="landscape" w:code="9"/>
          <w:pgMar w:top="1134" w:right="1418" w:bottom="567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3.2.3.</w:t>
      </w:r>
      <w:r>
        <w:rPr>
          <w:noProof/>
        </w:rPr>
        <w:tab/>
        <w:t>Impacto estimado nas dotações de natureza administrativa</w:t>
      </w:r>
    </w:p>
    <w:p>
      <w:pPr>
        <w:pStyle w:val="ManualHeading4"/>
        <w:rPr>
          <w:noProof/>
        </w:rPr>
      </w:pPr>
      <w:r>
        <w:rPr>
          <w:noProof/>
        </w:rPr>
        <w:t>3.2.3.1.</w:t>
      </w:r>
      <w:r>
        <w:rPr>
          <w:noProof/>
        </w:rPr>
        <w:tab/>
        <w:t xml:space="preserve">Síntese 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 xml:space="preserve">A proposta/iniciativa não acarreta a utilização de dotações de natureza administrativa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A proposta/iniciativa acarreta a utilização de dotações de natureza administrativa, tal como explicitado seguidamente:</w:t>
      </w:r>
    </w:p>
    <w:p>
      <w:pPr>
        <w:rPr>
          <w:noProof/>
          <w:sz w:val="20"/>
        </w:rPr>
      </w:pPr>
      <w:r>
        <w:rPr>
          <w:noProof/>
          <w:sz w:val="20"/>
        </w:rPr>
        <w:t>Em milhões de EUR (três casas decimais)</w:t>
      </w: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3240"/>
        <w:gridCol w:w="1080"/>
      </w:tblGrid>
      <w:tr>
        <w:trPr>
          <w:trHeight w:val="585"/>
        </w:trPr>
        <w:tc>
          <w:tcPr>
            <w:tcW w:w="1980" w:type="dxa"/>
          </w:tcPr>
          <w:p>
            <w:pPr>
              <w:spacing w:before="60" w:after="60" w:line="2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Ano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 xml:space="preserve">N </w:t>
            </w:r>
            <w:r>
              <w:rPr>
                <w:rStyle w:val="FootnoteReference"/>
                <w:b/>
                <w:noProof/>
                <w:sz w:val="16"/>
              </w:rPr>
              <w:footnoteReference w:id="18"/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Ano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N+1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Ano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Ano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N+3</w:t>
            </w:r>
          </w:p>
        </w:tc>
        <w:tc>
          <w:tcPr>
            <w:tcW w:w="3240" w:type="dxa"/>
            <w:vAlign w:val="center"/>
          </w:tcPr>
          <w:p>
            <w:pPr>
              <w:spacing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Inserir os anos necessários para mostrar a duração do impacto (ver ponto 1.6)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RUBRICA 5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do quadro financeiro plurianual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Recursos humanos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Outras despesas administrativas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Subtotal RUBRICA 5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 xml:space="preserve">do quadro financeiro plurianual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com exclusão da RUBRICA 5</w:t>
            </w:r>
            <w:r>
              <w:rPr>
                <w:rStyle w:val="FootnoteReference"/>
                <w:b/>
                <w:noProof/>
                <w:sz w:val="16"/>
              </w:rPr>
              <w:footnoteReference w:id="19"/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 xml:space="preserve">do quadro financeiro plurianual </w:t>
            </w:r>
          </w:p>
          <w:p>
            <w:pPr>
              <w:spacing w:before="0" w:after="0" w:line="200" w:lineRule="exact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Recursos humanos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Outras despesas</w:t>
            </w:r>
            <w:r>
              <w:rPr>
                <w:noProof/>
              </w:rPr>
              <w:br/>
            </w:r>
            <w:r>
              <w:rPr>
                <w:noProof/>
                <w:sz w:val="16"/>
              </w:rPr>
              <w:t>de natureza administrativa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Subtotal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com exclusão da RUBRICA 5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 xml:space="preserve">do quadro financeiro plurianual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rPr>
          <w:noProof/>
          <w:sz w:val="18"/>
        </w:rPr>
        <w:sectPr>
          <w:headerReference w:type="default" r:id="rId22"/>
          <w:footerReference w:type="default" r:id="rId23"/>
          <w:headerReference w:type="first" r:id="rId24"/>
          <w:footerReference w:type="first" r:id="rId25"/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  <w:sz w:val="18"/>
        </w:rPr>
        <w:t>As dotações necessárias para recursos humanos e outras despesas de natureza administrativa serão cobertas pelas dotações da DG já afetadas à gestão da ação e/ou reafetadas internamente a nível da DG, complementadas, se necessário, por eventuais dotações adicionais que sejam concedidas à DG gestora no âmbito do processo anual de atribuição e tendo em conta as limitações orçamentais.</w:t>
      </w:r>
      <w:r>
        <w:rPr>
          <w:noProof/>
        </w:rPr>
        <w:tab/>
      </w:r>
    </w:p>
    <w:p>
      <w:pPr>
        <w:pStyle w:val="ManualHeading4"/>
        <w:rPr>
          <w:bCs/>
          <w:noProof/>
          <w:szCs w:val="24"/>
        </w:rPr>
      </w:pPr>
      <w:r>
        <w:rPr>
          <w:noProof/>
        </w:rPr>
        <w:t>3.2.3.2.</w:t>
      </w:r>
      <w:r>
        <w:rPr>
          <w:noProof/>
        </w:rPr>
        <w:tab/>
        <w:t>Necessidades estimadas de recursos humanos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 xml:space="preserve">A proposta/iniciativa não acarreta a utilização de recursos humanos.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A proposta/iniciativa acarreta a utilização de recursos humanos, tal como explicitado seguidamente:</w:t>
      </w:r>
    </w:p>
    <w:p>
      <w:pPr>
        <w:spacing w:after="60"/>
        <w:jc w:val="right"/>
        <w:rPr>
          <w:i/>
          <w:noProof/>
          <w:sz w:val="20"/>
        </w:rPr>
      </w:pPr>
      <w:r>
        <w:rPr>
          <w:i/>
          <w:noProof/>
          <w:sz w:val="20"/>
        </w:rPr>
        <w:t>As estimativas devem ser expressas em termos de equivalente a tempo completo</w:t>
      </w:r>
    </w:p>
    <w:tbl>
      <w:tblPr>
        <w:tblW w:w="554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952"/>
        <w:gridCol w:w="1954"/>
        <w:gridCol w:w="655"/>
        <w:gridCol w:w="655"/>
        <w:gridCol w:w="3894"/>
        <w:gridCol w:w="465"/>
        <w:gridCol w:w="237"/>
        <w:gridCol w:w="237"/>
        <w:gridCol w:w="236"/>
      </w:tblGrid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</w:tcPr>
          <w:p>
            <w:pPr>
              <w:pStyle w:val="Text1"/>
              <w:spacing w:before="40" w:after="40"/>
              <w:ind w:left="0"/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Ano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Ano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N+1</w:t>
            </w: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Ano </w:t>
            </w:r>
            <w:r>
              <w:rPr>
                <w:b/>
                <w:noProof/>
                <w:sz w:val="16"/>
              </w:rPr>
              <w:t>N+2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Ano </w:t>
            </w:r>
            <w:r>
              <w:rPr>
                <w:b/>
                <w:noProof/>
                <w:sz w:val="16"/>
              </w:rPr>
              <w:t>N+3</w:t>
            </w:r>
          </w:p>
        </w:tc>
        <w:tc>
          <w:tcPr>
            <w:tcW w:w="34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Inserir os anos necessários para mostrar a duração do impacto (ver ponto 1.6)</w:t>
            </w: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4424" w:type="pct"/>
            <w:gridSpan w:val="5"/>
            <w:shd w:val="clear" w:color="auto" w:fill="auto"/>
          </w:tcPr>
          <w:p>
            <w:pPr>
              <w:spacing w:before="20" w:after="20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Lugares do quadro do pessoal (funcionários e agentes temporários)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4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01 (na sede e nos gabinetes de representação da Comissão)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02 (nas delegações)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05 01 (investigação indireta)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01 (investigação direta)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After w:val="4"/>
          <w:wAfter w:w="570" w:type="pct"/>
          <w:trHeight w:val="248"/>
          <w:jc w:val="center"/>
        </w:trPr>
        <w:tc>
          <w:tcPr>
            <w:tcW w:w="4430" w:type="pct"/>
            <w:gridSpan w:val="6"/>
            <w:shd w:val="clear" w:color="auto" w:fill="auto"/>
            <w:vAlign w:val="center"/>
          </w:tcPr>
          <w:p>
            <w:pPr>
              <w:pStyle w:val="Text1"/>
              <w:spacing w:before="60" w:after="60"/>
              <w:ind w:left="0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Pessoal externo (em equivalente a tempo completo: ETC)</w:t>
            </w:r>
            <w:r>
              <w:rPr>
                <w:rStyle w:val="FootnoteReference"/>
                <w:b/>
                <w:noProof/>
                <w:sz w:val="16"/>
              </w:rPr>
              <w:footnoteReference w:id="20"/>
            </w:r>
          </w:p>
          <w:p>
            <w:pPr>
              <w:pStyle w:val="Text1"/>
              <w:spacing w:before="0" w:after="0"/>
              <w:ind w:left="0"/>
              <w:jc w:val="left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01 (AC, PND e TT da «dotação global»)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02 (AC, AL, PND, TT e JPD nas delegações)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948" w:type="pct"/>
            <w:vMerge w:val="restar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01 04 </w:t>
            </w:r>
            <w:r>
              <w:rPr>
                <w:b/>
                <w:noProof/>
                <w:sz w:val="16"/>
              </w:rPr>
              <w:t>yy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rStyle w:val="FootnoteReference"/>
                <w:b/>
                <w:i/>
                <w:noProof/>
                <w:sz w:val="16"/>
              </w:rPr>
              <w:footnoteReference w:id="21"/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- na sede</w:t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948" w:type="pct"/>
            <w:vMerge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- nas delegações 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05 02 (AC, PND e TT - Investigação indireta)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02 (AC, PND e TT - Investigação direta)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Outras rubricas orçamentais (especificar)</w:t>
            </w: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89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pStyle w:val="Text1"/>
        <w:spacing w:before="60" w:after="60"/>
        <w:ind w:left="851"/>
        <w:rPr>
          <w:noProof/>
          <w:sz w:val="18"/>
          <w:szCs w:val="18"/>
        </w:rPr>
      </w:pPr>
      <w:r>
        <w:rPr>
          <w:b/>
          <w:noProof/>
          <w:sz w:val="18"/>
        </w:rPr>
        <w:t>XX</w:t>
      </w:r>
      <w:r>
        <w:rPr>
          <w:noProof/>
          <w:sz w:val="18"/>
        </w:rPr>
        <w:t xml:space="preserve"> constitui o domínio de intervenção ou o título orçamental em causa.</w:t>
      </w:r>
    </w:p>
    <w:p>
      <w:pPr>
        <w:pStyle w:val="Text1"/>
        <w:rPr>
          <w:noProof/>
          <w:sz w:val="18"/>
          <w:szCs w:val="18"/>
        </w:rPr>
      </w:pPr>
      <w:r>
        <w:rPr>
          <w:noProof/>
          <w:sz w:val="18"/>
        </w:rPr>
        <w:t>As necessidades de recursos humanos serão cobertas pelos efetivos da DG já afetados à gestão da ação e/ou reafetados internamente a nível da DG, complementados, caso necessário, por eventuais dotações adicionais que sejam atribuídas à DG gestora no quadro do processo anual de atribuição e no limite das disponibilidades orçamentais.</w:t>
      </w:r>
    </w:p>
    <w:p>
      <w:pPr>
        <w:rPr>
          <w:noProof/>
          <w:sz w:val="20"/>
        </w:rPr>
      </w:pPr>
      <w:r>
        <w:rPr>
          <w:noProof/>
          <w:sz w:val="20"/>
        </w:rPr>
        <w:t>Descrição das tarefas a executar:</w:t>
      </w:r>
    </w:p>
    <w:tbl>
      <w:tblPr>
        <w:tblW w:w="1044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200"/>
      </w:tblGrid>
      <w:tr>
        <w:tc>
          <w:tcPr>
            <w:tcW w:w="324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Funcionários e agentes temporários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  <w:tr>
        <w:tc>
          <w:tcPr>
            <w:tcW w:w="3240" w:type="dxa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Pessoal externo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</w:tbl>
    <w:p>
      <w:pPr>
        <w:rPr>
          <w:noProof/>
        </w:rPr>
        <w:sectPr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3.2.4.</w:t>
      </w:r>
      <w:r>
        <w:rPr>
          <w:noProof/>
        </w:rPr>
        <w:tab/>
        <w:t xml:space="preserve">Compatibilidade com o atual quadro financeiro plurianual 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A proposta/iniciativa é compatível com o atual quadro financeiro plurianual.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A proposta/iniciativa requer uma reprogramação da rubrica pertinente do quadro financeiro plurianual.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Explicitar a reprogramação necessária, especificando as rubricas orçamentais em causa e as quantias correspondentes.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A proposta/iniciativa requer a mobilização do instrumento de flexibilidade ou a revisão do quadro financeiro plurianual.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Explicitar as necessidades, especificando as rubricas orçamentais em causa e as quantias correspondentes.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3.2.5.</w:t>
      </w:r>
      <w:r>
        <w:rPr>
          <w:noProof/>
        </w:rPr>
        <w:tab/>
        <w:t xml:space="preserve">Participação de terceiros no financiamento </w:t>
      </w:r>
    </w:p>
    <w:p>
      <w:pPr>
        <w:pStyle w:val="ListDash1"/>
        <w:rPr>
          <w:noProof/>
        </w:rPr>
      </w:pPr>
      <w:r>
        <w:rPr>
          <w:noProof/>
        </w:rPr>
        <w:t xml:space="preserve">A proposta/iniciativa não prevê o cofinanciamento por terceiros. </w:t>
      </w:r>
    </w:p>
    <w:p>
      <w:pPr>
        <w:pStyle w:val="ListDash1"/>
        <w:rPr>
          <w:noProof/>
        </w:rPr>
      </w:pPr>
      <w:r>
        <w:rPr>
          <w:noProof/>
        </w:rPr>
        <w:t>A proposta/iniciativa prevê o cofinanciamento estimado seguinte: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Dotações em milhões de EUR (três casas decimais)</w:t>
      </w:r>
    </w:p>
    <w:tbl>
      <w:tblPr>
        <w:tblW w:w="1024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64"/>
        <w:gridCol w:w="964"/>
        <w:gridCol w:w="964"/>
        <w:gridCol w:w="964"/>
        <w:gridCol w:w="964"/>
        <w:gridCol w:w="964"/>
        <w:gridCol w:w="964"/>
        <w:gridCol w:w="1158"/>
      </w:tblGrid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Inserir os anos necessários para mostrar a duração do impacto (ver ponto 1.6)</w:t>
            </w: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Total</w:t>
            </w:r>
          </w:p>
        </w:tc>
      </w:tr>
      <w:tr>
        <w:trPr>
          <w:cantSplit/>
        </w:trPr>
        <w:tc>
          <w:tcPr>
            <w:tcW w:w="2340" w:type="dxa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Especificar o organismo de cofinanciamento</w:t>
            </w:r>
            <w:r>
              <w:rPr>
                <w:i/>
                <w:noProof/>
                <w:sz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TOTAL das dotações cofinanciadas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</w:tbl>
    <w:p>
      <w:pPr>
        <w:pStyle w:val="ManualHeading2"/>
        <w:rPr>
          <w:bCs/>
          <w:noProof/>
          <w:szCs w:val="24"/>
        </w:rPr>
      </w:pPr>
      <w:r>
        <w:rPr>
          <w:noProof/>
        </w:rPr>
        <w:t>3.3.</w:t>
      </w:r>
      <w:r>
        <w:rPr>
          <w:noProof/>
        </w:rPr>
        <w:tab/>
        <w:t xml:space="preserve">Impacto estimado nas receitas 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A proposta/iniciativa não tem impacto financeiro nas receitas.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A proposta/iniciativa tem o impacto financeiro a seguir descrito:</w:t>
      </w:r>
    </w:p>
    <w:p>
      <w:pPr>
        <w:pStyle w:val="ListNumberLevel3"/>
        <w:tabs>
          <w:tab w:val="clear" w:pos="2126"/>
        </w:tabs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nos recursos próprios </w:t>
      </w:r>
    </w:p>
    <w:p>
      <w:pPr>
        <w:pStyle w:val="ListNumberLevel3"/>
        <w:tabs>
          <w:tab w:val="clear" w:pos="2126"/>
        </w:tabs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nas receitas diversas </w:t>
      </w:r>
    </w:p>
    <w:p>
      <w:pPr>
        <w:jc w:val="right"/>
        <w:rPr>
          <w:i/>
          <w:noProof/>
          <w:sz w:val="20"/>
        </w:rPr>
      </w:pPr>
      <w:r>
        <w:rPr>
          <w:noProof/>
        </w:rPr>
        <w:t>Em milhões de EUR (três casas decimais)</w:t>
      </w:r>
    </w:p>
    <w:tbl>
      <w:tblPr>
        <w:tblW w:w="10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1276"/>
        <w:gridCol w:w="1080"/>
        <w:gridCol w:w="900"/>
        <w:gridCol w:w="900"/>
        <w:gridCol w:w="1080"/>
        <w:gridCol w:w="1080"/>
        <w:gridCol w:w="1080"/>
        <w:gridCol w:w="1080"/>
      </w:tblGrid>
      <w:tr>
        <w:trPr>
          <w:trHeight w:val="388"/>
        </w:trPr>
        <w:tc>
          <w:tcPr>
            <w:tcW w:w="2144" w:type="dxa"/>
            <w:vMerge w:val="restart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Rubrica orçamental das receitas: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Dotações disponíveis para o exercício em curso</w:t>
            </w:r>
          </w:p>
        </w:tc>
        <w:tc>
          <w:tcPr>
            <w:tcW w:w="7200" w:type="dxa"/>
            <w:gridSpan w:val="7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Impacto da proposta/iniciativa</w:t>
            </w:r>
            <w:r>
              <w:rPr>
                <w:rStyle w:val="FootnoteReference"/>
                <w:noProof/>
                <w:sz w:val="18"/>
              </w:rPr>
              <w:footnoteReference w:id="22"/>
            </w:r>
          </w:p>
        </w:tc>
      </w:tr>
      <w:tr>
        <w:trPr>
          <w:trHeight w:val="388"/>
        </w:trPr>
        <w:tc>
          <w:tcPr>
            <w:tcW w:w="2144" w:type="dxa"/>
            <w:vMerge/>
          </w:tcPr>
          <w:p>
            <w:pPr>
              <w:spacing w:before="40" w:after="40"/>
              <w:rPr>
                <w:noProof/>
                <w:sz w:val="18"/>
              </w:rPr>
            </w:pPr>
          </w:p>
        </w:tc>
        <w:tc>
          <w:tcPr>
            <w:tcW w:w="1276" w:type="dxa"/>
            <w:vMerge/>
          </w:tcPr>
          <w:p>
            <w:pPr>
              <w:spacing w:beforeLines="40" w:before="96" w:afterLines="40" w:after="96"/>
              <w:rPr>
                <w:i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Ano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Ano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Ano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Ano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Inserir os anos necessários para mostrar a duração do impacto (ver ponto 1.6)</w:t>
            </w:r>
          </w:p>
        </w:tc>
      </w:tr>
      <w:tr>
        <w:trPr>
          <w:trHeight w:val="388"/>
        </w:trPr>
        <w:tc>
          <w:tcPr>
            <w:tcW w:w="2144" w:type="dxa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Artigo ………….</w:t>
            </w:r>
          </w:p>
        </w:tc>
        <w:tc>
          <w:tcPr>
            <w:tcW w:w="1276" w:type="dxa"/>
          </w:tcPr>
          <w:p>
            <w:pPr>
              <w:spacing w:beforeLines="40" w:before="96" w:afterLines="40" w:after="96"/>
              <w:jc w:val="center"/>
              <w:rPr>
                <w:i/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</w:tr>
    </w:tbl>
    <w:p>
      <w:pPr>
        <w:pStyle w:val="Text1"/>
        <w:rPr>
          <w:noProof/>
          <w:sz w:val="20"/>
        </w:rPr>
      </w:pPr>
      <w:r>
        <w:rPr>
          <w:noProof/>
          <w:sz w:val="20"/>
        </w:rPr>
        <w:t>Relativamente às diversas receitas «afetadas», especificar a(s) rubrica(s) orçamental(is) de despesas envolvida(s).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Text1"/>
        <w:rPr>
          <w:noProof/>
        </w:rPr>
      </w:pPr>
      <w:r>
        <w:rPr>
          <w:noProof/>
          <w:sz w:val="20"/>
        </w:rPr>
        <w:t>Especificar o método de cálculo do impacto nas receitas.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Regulamento (UE) n.º 1303/2013 do Parlamento Europeu e do Conselho, de 17 de dezembro de 2013, que estabelece disposições comuns relativas ao Fundo Europeu de Desenvolvimento Regional, ao Fundo Social Europeu, ao Fundo de Coesão, ao Fundo Europeu Agrícola de Desenvolvimento Rural e ao Fundo Europeu dos Assuntos Marítimos e das Pescas, que estabelece disposições gerais relativas ao Fundo Europeu de Desenvolvimento Regional, ao Fundo Social Europeu, ao Fundo de Coesão e ao Fundo Europeu dos Assuntos Marítimos e das Pescas e que revoga o Regulamento (CE) n.º 1083/2006 do Conselho (JO L 347 de 20.12.2013, p. 320), com a última redação que lhe foi dada pelo Regulamento (UE) 2017/2305 do Parlamento Europeu e do Conselho, de 12 de dezembro de 2017, que altera o Regulamento (UE) n.º 1303/2013 no que se refere às alterações dos recursos para a coesão económica, social e territorial e dos recursos destinados ao objetivo de Investimento no Crescimento e no Emprego e ao objetivo de Cooperação Territorial Europeia (JO L 335 de 15.12.2017, p. 1).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JO C […] de […], p. […].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JO C […] de […], p. […].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Regulamento (UE) n.º 1303/2013 do Parlamento Europeu e do Conselho, de 17 de dezembro de 2013, que estabelece disposições comuns relativas ao Fundo Europeu de Desenvolvimento Regional, ao Fundo Social Europeu, ao Fundo de Coesão, ao Fundo Europeu Agrícola de Desenvolvimento Rural e ao Fundo Europeu dos Assuntos Marítimos e das Pescas, que estabelece disposições gerais relativas ao Fundo Europeu de Desenvolvimento Regional, ao Fundo Social Europeu, ao Fundo de Coesão e ao Fundo Europeu dos Assuntos Marítimos e das Pescas, e que revoga o Regulamento (CE) n.º 1083/2006 do Conselho (JO L 347 de 20.12.2013, p. 320).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Regulamento (UE) 2017/2305, do Parlamento Europeu e do Conselho, de 12 de dezembro de 2017, que altera o Regulamento (UE) n.º 1303/2013 no que se refere às alterações dos recursos para a coesão económica, social e territorial e dos recursos destinados ao objetivo de Investimento no Crescimento e no Emprego e ao objetivo de Cooperação Territorial Europeia (JO L 335 de 15.12.2017, p. 1).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JO L 57 de 28.2.2018, p. 1.</w:t>
      </w:r>
    </w:p>
  </w:footnote>
  <w:footnote w:id="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ABM (</w:t>
      </w:r>
      <w:r>
        <w:rPr>
          <w:i/>
        </w:rPr>
        <w:t>activity based management</w:t>
      </w:r>
      <w:r>
        <w:t>): gestão por atividades; ABB (</w:t>
      </w:r>
      <w:r>
        <w:rPr>
          <w:i/>
        </w:rPr>
        <w:t>activity based budgeting</w:t>
      </w:r>
      <w:r>
        <w:t>): orçamentação por atividades.</w:t>
      </w:r>
    </w:p>
  </w:footnote>
  <w:footnote w:id="8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Conforme referido no artigo 54.º, n.º 2, alíneas a) ou b), do Regulamento Financeiro.</w:t>
      </w:r>
    </w:p>
  </w:footnote>
  <w:footnote w:id="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As explicações sobre as modalidades de gestão e as referências ao Regulamento Financeiro estão disponíveis no sítio BudgWeb: </w:t>
      </w:r>
      <w:hyperlink r:id="rId1">
        <w:r>
          <w:rPr>
            <w:rStyle w:val="Hyperlink"/>
            <w:sz w:val="18"/>
          </w:rPr>
          <w:t>http://www.cc.cec/budg/man/budgmanag/budgmanag_en.html</w:t>
        </w:r>
      </w:hyperlink>
    </w:p>
  </w:footnote>
  <w:footnote w:id="10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DD = dotações diferenciadas/DND = dotações não diferenciadas.</w:t>
      </w:r>
    </w:p>
  </w:footnote>
  <w:footnote w:id="1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EFTA: Associação Europeia de Comércio Livre. </w:t>
      </w:r>
    </w:p>
  </w:footnote>
  <w:footnote w:id="12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Países candidatos e, se for caso disso, países candidatos potenciais dos Balcãs Ocidentais.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Em conformidade com o artigo 136.º do Regulamento (UE) n.º 1303/2013, o pré-financiamento deve ser validado (apurado) com as despesas da IEJ declaradas até 31.12.2018.</w:t>
      </w:r>
    </w:p>
  </w:footnote>
  <w:footnote w:id="14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Assistência técnica e/ou administrativa e despesas de apoio à execução de programas e/ou ações da UE (antigas rubricas «BA»), bem como investigação indireta e investigação direta.</w:t>
      </w:r>
    </w:p>
  </w:footnote>
  <w:footnote w:id="15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O ano N é o do início da aplicação da proposta/iniciativa.</w:t>
      </w:r>
    </w:p>
  </w:footnote>
  <w:footnote w:id="16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As realizações dizem respeito aos produtos fornecidos e aos serviços prestados (exemplo: número de intercâmbios de estudantes financiados, número de quilómetros de estradas construídas, etc.).</w:t>
      </w:r>
    </w:p>
  </w:footnote>
  <w:footnote w:id="1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Tal como descrito no ponto 1.4.2. «Objetivo(s) específico(s)…». </w:t>
      </w:r>
    </w:p>
  </w:footnote>
  <w:footnote w:id="18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O ano N é o do início da aplicação da proposta/iniciativa.</w:t>
      </w:r>
    </w:p>
  </w:footnote>
  <w:footnote w:id="1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Assistência técnica e/ou administrativa e despesas de apoio à execução de programas e/ou ações da UE (antigas rubricas «BA»), bem como investigação indireta e investigação direta.</w:t>
      </w:r>
    </w:p>
  </w:footnote>
  <w:footnote w:id="20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AC = agente contratual; AL = agente local; PND = perito nacional destacado; TT = trabalhador temporário; JPD = jovem perito nas delegações. </w:t>
      </w:r>
    </w:p>
  </w:footnote>
  <w:footnote w:id="2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Sublimite para o pessoal externo coberto pelas dotações operacionais (antigas rubricas «BA»).</w:t>
      </w:r>
    </w:p>
  </w:footnote>
  <w:footnote w:id="22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No que diz respeito aos recursos próprios tradicionais (direitos aduaneiros e quotizações sobre o açúcar), as quantias indicadas devem ser apresentadas em termos líquidos, isto é, quantias brutas após dedução de 25 % a título de despesas de cobrança.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EB608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AA4FD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7828F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786F2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7FA20A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35EE5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C00D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F6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2D820C1F"/>
    <w:multiLevelType w:val="singleLevel"/>
    <w:tmpl w:val="7896AADE"/>
    <w:name w:val="List Dash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8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9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1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8"/>
  </w:num>
  <w:num w:numId="11">
    <w:abstractNumId w:val="17"/>
  </w:num>
  <w:num w:numId="12">
    <w:abstractNumId w:val="13"/>
  </w:num>
  <w:num w:numId="13">
    <w:abstractNumId w:val="25"/>
    <w:lvlOverride w:ilvl="0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4"/>
  </w:num>
  <w:num w:numId="17">
    <w:abstractNumId w:val="24"/>
  </w:num>
  <w:num w:numId="18">
    <w:abstractNumId w:val="12"/>
  </w:num>
  <w:num w:numId="19">
    <w:abstractNumId w:val="15"/>
  </w:num>
  <w:num w:numId="20">
    <w:abstractNumId w:val="10"/>
  </w:num>
  <w:num w:numId="21">
    <w:abstractNumId w:val="23"/>
  </w:num>
  <w:num w:numId="22">
    <w:abstractNumId w:val="9"/>
  </w:num>
  <w:num w:numId="23">
    <w:abstractNumId w:val="16"/>
  </w:num>
  <w:num w:numId="24">
    <w:abstractNumId w:val="20"/>
  </w:num>
  <w:num w:numId="25">
    <w:abstractNumId w:val="21"/>
  </w:num>
  <w:num w:numId="26">
    <w:abstractNumId w:val="11"/>
  </w:num>
  <w:num w:numId="27">
    <w:abstractNumId w:val="19"/>
  </w:num>
  <w:num w:numId="28">
    <w:abstractNumId w:val="25"/>
  </w:num>
  <w:num w:numId="29">
    <w:abstractNumId w:val="22"/>
  </w:num>
  <w:num w:numId="30">
    <w:abstractNumId w:val="14"/>
  </w:num>
  <w:num w:numId="31">
    <w:abstractNumId w:val="24"/>
  </w:num>
  <w:num w:numId="32">
    <w:abstractNumId w:val="12"/>
  </w:num>
  <w:num w:numId="33">
    <w:abstractNumId w:val="15"/>
  </w:num>
  <w:num w:numId="34">
    <w:abstractNumId w:val="10"/>
  </w:num>
  <w:num w:numId="35">
    <w:abstractNumId w:val="23"/>
  </w:num>
  <w:num w:numId="36">
    <w:abstractNumId w:val="9"/>
  </w:num>
  <w:num w:numId="37">
    <w:abstractNumId w:val="16"/>
  </w:num>
  <w:num w:numId="38">
    <w:abstractNumId w:val="20"/>
  </w:num>
  <w:num w:numId="39">
    <w:abstractNumId w:val="21"/>
  </w:num>
  <w:num w:numId="40">
    <w:abstractNumId w:val="11"/>
  </w:num>
  <w:num w:numId="41">
    <w:abstractNumId w:val="19"/>
  </w:num>
  <w:num w:numId="42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7-02 08:54:2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FigNum" w:val="1"/>
    <w:docVar w:name="LW_CORRIGENDUM" w:val="&lt;UNUSED&gt;"/>
    <w:docVar w:name="LW_COVERPAGE_EXISTS" w:val="True"/>
    <w:docVar w:name="LW_COVERPAGE_GUID" w:val="B8C2C54B-2EF7-4967-ACDA-5302C2BF968C"/>
    <w:docVar w:name="LW_COVERPAGE_TYPE" w:val="1"/>
    <w:docVar w:name="LW_CROSSREFERENCE" w:val="&lt;UNUSED&gt;"/>
    <w:docVar w:name="LW_DocType" w:val="COM"/>
    <w:docVar w:name="LW_EMISSION" w:val="28.6.2018"/>
    <w:docVar w:name="LW_EMISSION_ISODATE" w:val="2018-06-28"/>
    <w:docVar w:name="LW_EMISSION_LOCATION" w:val="BRX"/>
    <w:docVar w:name="LW_EMISSION_PREFIX" w:val="Bruxelas, "/>
    <w:docVar w:name="LW_EMISSION_SUFFIX" w:val="&lt;EMPTY&gt;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&lt;UNUSED&gt;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65"/>
    <w:docVar w:name="LW_REF.II.NEW.CP_YEAR" w:val="2018"/>
    <w:docVar w:name="LW_REF.INST.NEW" w:val="COM"/>
    <w:docVar w:name="LW_REF.INST.NEW_ADOPTED" w:val="final"/>
    <w:docVar w:name="LW_REF.INST.NEW_TEXT" w:val="(2018) 49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de"/>
    <w:docVar w:name="LW_SUPERTITRE" w:val="&lt;UNUSED&gt;"/>
    <w:docVar w:name="LW_TITRE.OBJ.CP" w:val="que altera o Regulamento (UE) n.º 1303/2013 no que se refere aos recursos destinados à coesão económica, social e territorial e que retifica esse regulamento no que respeita aos recursos destinados ao objetivo de Investimento no Crescimento e no Emprego"/>
    <w:docVar w:name="LW_TYPE.DOC.CP" w:val="REGULAMENTO DO PARLAMENTO EUROPEU E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pt-PT"/>
    </w:rPr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Number">
    <w:name w:val="List Number"/>
    <w:basedOn w:val="Normal"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ListBullet1">
    <w:name w:val="List Bullet 1"/>
    <w:basedOn w:val="Normal"/>
    <w:pPr>
      <w:numPr>
        <w:numId w:val="9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10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11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</w:rPr>
  </w:style>
  <w:style w:type="paragraph" w:customStyle="1" w:styleId="doc-ti">
    <w:name w:val="doc-ti"/>
    <w:basedOn w:val="Normal"/>
    <w:pPr>
      <w:spacing w:before="240"/>
      <w:jc w:val="center"/>
    </w:pPr>
    <w:rPr>
      <w:rFonts w:eastAsia="Times New Roman"/>
      <w:b/>
      <w:bCs/>
    </w:rPr>
  </w:style>
  <w:style w:type="paragraph" w:customStyle="1" w:styleId="ListDash">
    <w:name w:val="List Dash"/>
    <w:basedOn w:val="Normal"/>
    <w:pPr>
      <w:numPr>
        <w:numId w:val="12"/>
      </w:numPr>
    </w:pPr>
    <w:rPr>
      <w:rFonts w:eastAsia="Times New Roman"/>
      <w:szCs w:val="20"/>
    </w:rPr>
  </w:style>
  <w:style w:type="character" w:customStyle="1" w:styleId="super">
    <w:name w:val="super"/>
    <w:basedOn w:val="DefaultParagraphFont"/>
    <w:rPr>
      <w:sz w:val="17"/>
      <w:szCs w:val="17"/>
      <w:vertAlign w:val="superscript"/>
    </w:rPr>
  </w:style>
  <w:style w:type="paragraph" w:customStyle="1" w:styleId="normal2">
    <w:name w:val="normal2"/>
    <w:basedOn w:val="Normal"/>
    <w:pPr>
      <w:spacing w:after="0" w:line="312" w:lineRule="atLeast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old">
    <w:name w:val="bold"/>
    <w:basedOn w:val="DefaultParagraphFont"/>
    <w:rPr>
      <w:b/>
      <w:bCs/>
    </w:rPr>
  </w:style>
  <w:style w:type="paragraph" w:customStyle="1" w:styleId="ti-grseq-12">
    <w:name w:val="ti-grseq-12"/>
    <w:basedOn w:val="Normal"/>
    <w:pPr>
      <w:spacing w:before="240" w:line="312" w:lineRule="atLeast"/>
    </w:pPr>
    <w:rPr>
      <w:rFonts w:eastAsia="Times New Roman"/>
      <w:b/>
      <w:bCs/>
      <w:szCs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9"/>
      </w:numPr>
    </w:pPr>
  </w:style>
  <w:style w:type="paragraph" w:customStyle="1" w:styleId="Tiret1">
    <w:name w:val="Tiret 1"/>
    <w:basedOn w:val="Point1"/>
    <w:pPr>
      <w:numPr>
        <w:numId w:val="30"/>
      </w:numPr>
    </w:pPr>
  </w:style>
  <w:style w:type="paragraph" w:customStyle="1" w:styleId="Tiret2">
    <w:name w:val="Tiret 2"/>
    <w:basedOn w:val="Point2"/>
    <w:pPr>
      <w:numPr>
        <w:numId w:val="31"/>
      </w:numPr>
    </w:pPr>
  </w:style>
  <w:style w:type="paragraph" w:customStyle="1" w:styleId="Tiret3">
    <w:name w:val="Tiret 3"/>
    <w:basedOn w:val="Point3"/>
    <w:pPr>
      <w:numPr>
        <w:numId w:val="32"/>
      </w:numPr>
    </w:pPr>
  </w:style>
  <w:style w:type="paragraph" w:customStyle="1" w:styleId="Tiret4">
    <w:name w:val="Tiret 4"/>
    <w:basedOn w:val="Point4"/>
    <w:pPr>
      <w:numPr>
        <w:numId w:val="3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6"/>
      </w:numPr>
    </w:pPr>
  </w:style>
  <w:style w:type="paragraph" w:customStyle="1" w:styleId="Point1number">
    <w:name w:val="Point 1 (number)"/>
    <w:basedOn w:val="Normal"/>
    <w:pPr>
      <w:numPr>
        <w:ilvl w:val="2"/>
        <w:numId w:val="36"/>
      </w:numPr>
    </w:pPr>
  </w:style>
  <w:style w:type="paragraph" w:customStyle="1" w:styleId="Point2number">
    <w:name w:val="Point 2 (number)"/>
    <w:basedOn w:val="Normal"/>
    <w:pPr>
      <w:numPr>
        <w:ilvl w:val="4"/>
        <w:numId w:val="36"/>
      </w:numPr>
    </w:pPr>
  </w:style>
  <w:style w:type="paragraph" w:customStyle="1" w:styleId="Point3number">
    <w:name w:val="Point 3 (number)"/>
    <w:basedOn w:val="Normal"/>
    <w:pPr>
      <w:numPr>
        <w:ilvl w:val="6"/>
        <w:numId w:val="36"/>
      </w:numPr>
    </w:pPr>
  </w:style>
  <w:style w:type="paragraph" w:customStyle="1" w:styleId="Point0letter">
    <w:name w:val="Point 0 (letter)"/>
    <w:basedOn w:val="Normal"/>
    <w:pPr>
      <w:numPr>
        <w:ilvl w:val="1"/>
        <w:numId w:val="36"/>
      </w:numPr>
    </w:pPr>
  </w:style>
  <w:style w:type="paragraph" w:customStyle="1" w:styleId="Point1letter">
    <w:name w:val="Point 1 (letter)"/>
    <w:basedOn w:val="Normal"/>
    <w:pPr>
      <w:numPr>
        <w:ilvl w:val="3"/>
        <w:numId w:val="36"/>
      </w:numPr>
    </w:pPr>
  </w:style>
  <w:style w:type="paragraph" w:customStyle="1" w:styleId="Point2letter">
    <w:name w:val="Point 2 (letter)"/>
    <w:basedOn w:val="Normal"/>
    <w:pPr>
      <w:numPr>
        <w:ilvl w:val="5"/>
        <w:numId w:val="36"/>
      </w:numPr>
    </w:pPr>
  </w:style>
  <w:style w:type="paragraph" w:customStyle="1" w:styleId="Point3letter">
    <w:name w:val="Point 3 (letter)"/>
    <w:basedOn w:val="Normal"/>
    <w:pPr>
      <w:numPr>
        <w:ilvl w:val="7"/>
        <w:numId w:val="36"/>
      </w:numPr>
    </w:pPr>
  </w:style>
  <w:style w:type="paragraph" w:customStyle="1" w:styleId="Point4letter">
    <w:name w:val="Point 4 (letter)"/>
    <w:basedOn w:val="Normal"/>
    <w:pPr>
      <w:numPr>
        <w:ilvl w:val="8"/>
        <w:numId w:val="36"/>
      </w:numPr>
    </w:pPr>
  </w:style>
  <w:style w:type="paragraph" w:customStyle="1" w:styleId="Bullet0">
    <w:name w:val="Bullet 0"/>
    <w:basedOn w:val="Normal"/>
    <w:pPr>
      <w:numPr>
        <w:numId w:val="37"/>
      </w:numPr>
    </w:pPr>
  </w:style>
  <w:style w:type="paragraph" w:customStyle="1" w:styleId="Bullet1">
    <w:name w:val="Bullet 1"/>
    <w:basedOn w:val="Normal"/>
    <w:pPr>
      <w:numPr>
        <w:numId w:val="38"/>
      </w:numPr>
    </w:pPr>
  </w:style>
  <w:style w:type="paragraph" w:customStyle="1" w:styleId="Bullet2">
    <w:name w:val="Bullet 2"/>
    <w:basedOn w:val="Normal"/>
    <w:pPr>
      <w:numPr>
        <w:numId w:val="39"/>
      </w:numPr>
    </w:pPr>
  </w:style>
  <w:style w:type="paragraph" w:customStyle="1" w:styleId="Bullet3">
    <w:name w:val="Bullet 3"/>
    <w:basedOn w:val="Normal"/>
    <w:pPr>
      <w:numPr>
        <w:numId w:val="40"/>
      </w:numPr>
    </w:pPr>
  </w:style>
  <w:style w:type="paragraph" w:customStyle="1" w:styleId="Bullet4">
    <w:name w:val="Bullet 4"/>
    <w:basedOn w:val="Normal"/>
    <w:pPr>
      <w:numPr>
        <w:numId w:val="4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pt-PT"/>
    </w:rPr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Number">
    <w:name w:val="List Number"/>
    <w:basedOn w:val="Normal"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ListBullet1">
    <w:name w:val="List Bullet 1"/>
    <w:basedOn w:val="Normal"/>
    <w:pPr>
      <w:numPr>
        <w:numId w:val="9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10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11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</w:rPr>
  </w:style>
  <w:style w:type="paragraph" w:customStyle="1" w:styleId="doc-ti">
    <w:name w:val="doc-ti"/>
    <w:basedOn w:val="Normal"/>
    <w:pPr>
      <w:spacing w:before="240"/>
      <w:jc w:val="center"/>
    </w:pPr>
    <w:rPr>
      <w:rFonts w:eastAsia="Times New Roman"/>
      <w:b/>
      <w:bCs/>
    </w:rPr>
  </w:style>
  <w:style w:type="paragraph" w:customStyle="1" w:styleId="ListDash">
    <w:name w:val="List Dash"/>
    <w:basedOn w:val="Normal"/>
    <w:pPr>
      <w:numPr>
        <w:numId w:val="12"/>
      </w:numPr>
    </w:pPr>
    <w:rPr>
      <w:rFonts w:eastAsia="Times New Roman"/>
      <w:szCs w:val="20"/>
    </w:rPr>
  </w:style>
  <w:style w:type="character" w:customStyle="1" w:styleId="super">
    <w:name w:val="super"/>
    <w:basedOn w:val="DefaultParagraphFont"/>
    <w:rPr>
      <w:sz w:val="17"/>
      <w:szCs w:val="17"/>
      <w:vertAlign w:val="superscript"/>
    </w:rPr>
  </w:style>
  <w:style w:type="paragraph" w:customStyle="1" w:styleId="normal2">
    <w:name w:val="normal2"/>
    <w:basedOn w:val="Normal"/>
    <w:pPr>
      <w:spacing w:after="0" w:line="312" w:lineRule="atLeast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old">
    <w:name w:val="bold"/>
    <w:basedOn w:val="DefaultParagraphFont"/>
    <w:rPr>
      <w:b/>
      <w:bCs/>
    </w:rPr>
  </w:style>
  <w:style w:type="paragraph" w:customStyle="1" w:styleId="ti-grseq-12">
    <w:name w:val="ti-grseq-12"/>
    <w:basedOn w:val="Normal"/>
    <w:pPr>
      <w:spacing w:before="240" w:line="312" w:lineRule="atLeast"/>
    </w:pPr>
    <w:rPr>
      <w:rFonts w:eastAsia="Times New Roman"/>
      <w:b/>
      <w:bCs/>
      <w:szCs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9"/>
      </w:numPr>
    </w:pPr>
  </w:style>
  <w:style w:type="paragraph" w:customStyle="1" w:styleId="Tiret1">
    <w:name w:val="Tiret 1"/>
    <w:basedOn w:val="Point1"/>
    <w:pPr>
      <w:numPr>
        <w:numId w:val="30"/>
      </w:numPr>
    </w:pPr>
  </w:style>
  <w:style w:type="paragraph" w:customStyle="1" w:styleId="Tiret2">
    <w:name w:val="Tiret 2"/>
    <w:basedOn w:val="Point2"/>
    <w:pPr>
      <w:numPr>
        <w:numId w:val="31"/>
      </w:numPr>
    </w:pPr>
  </w:style>
  <w:style w:type="paragraph" w:customStyle="1" w:styleId="Tiret3">
    <w:name w:val="Tiret 3"/>
    <w:basedOn w:val="Point3"/>
    <w:pPr>
      <w:numPr>
        <w:numId w:val="32"/>
      </w:numPr>
    </w:pPr>
  </w:style>
  <w:style w:type="paragraph" w:customStyle="1" w:styleId="Tiret4">
    <w:name w:val="Tiret 4"/>
    <w:basedOn w:val="Point4"/>
    <w:pPr>
      <w:numPr>
        <w:numId w:val="3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6"/>
      </w:numPr>
    </w:pPr>
  </w:style>
  <w:style w:type="paragraph" w:customStyle="1" w:styleId="Point1number">
    <w:name w:val="Point 1 (number)"/>
    <w:basedOn w:val="Normal"/>
    <w:pPr>
      <w:numPr>
        <w:ilvl w:val="2"/>
        <w:numId w:val="36"/>
      </w:numPr>
    </w:pPr>
  </w:style>
  <w:style w:type="paragraph" w:customStyle="1" w:styleId="Point2number">
    <w:name w:val="Point 2 (number)"/>
    <w:basedOn w:val="Normal"/>
    <w:pPr>
      <w:numPr>
        <w:ilvl w:val="4"/>
        <w:numId w:val="36"/>
      </w:numPr>
    </w:pPr>
  </w:style>
  <w:style w:type="paragraph" w:customStyle="1" w:styleId="Point3number">
    <w:name w:val="Point 3 (number)"/>
    <w:basedOn w:val="Normal"/>
    <w:pPr>
      <w:numPr>
        <w:ilvl w:val="6"/>
        <w:numId w:val="36"/>
      </w:numPr>
    </w:pPr>
  </w:style>
  <w:style w:type="paragraph" w:customStyle="1" w:styleId="Point0letter">
    <w:name w:val="Point 0 (letter)"/>
    <w:basedOn w:val="Normal"/>
    <w:pPr>
      <w:numPr>
        <w:ilvl w:val="1"/>
        <w:numId w:val="36"/>
      </w:numPr>
    </w:pPr>
  </w:style>
  <w:style w:type="paragraph" w:customStyle="1" w:styleId="Point1letter">
    <w:name w:val="Point 1 (letter)"/>
    <w:basedOn w:val="Normal"/>
    <w:pPr>
      <w:numPr>
        <w:ilvl w:val="3"/>
        <w:numId w:val="36"/>
      </w:numPr>
    </w:pPr>
  </w:style>
  <w:style w:type="paragraph" w:customStyle="1" w:styleId="Point2letter">
    <w:name w:val="Point 2 (letter)"/>
    <w:basedOn w:val="Normal"/>
    <w:pPr>
      <w:numPr>
        <w:ilvl w:val="5"/>
        <w:numId w:val="36"/>
      </w:numPr>
    </w:pPr>
  </w:style>
  <w:style w:type="paragraph" w:customStyle="1" w:styleId="Point3letter">
    <w:name w:val="Point 3 (letter)"/>
    <w:basedOn w:val="Normal"/>
    <w:pPr>
      <w:numPr>
        <w:ilvl w:val="7"/>
        <w:numId w:val="36"/>
      </w:numPr>
    </w:pPr>
  </w:style>
  <w:style w:type="paragraph" w:customStyle="1" w:styleId="Point4letter">
    <w:name w:val="Point 4 (letter)"/>
    <w:basedOn w:val="Normal"/>
    <w:pPr>
      <w:numPr>
        <w:ilvl w:val="8"/>
        <w:numId w:val="36"/>
      </w:numPr>
    </w:pPr>
  </w:style>
  <w:style w:type="paragraph" w:customStyle="1" w:styleId="Bullet0">
    <w:name w:val="Bullet 0"/>
    <w:basedOn w:val="Normal"/>
    <w:pPr>
      <w:numPr>
        <w:numId w:val="37"/>
      </w:numPr>
    </w:pPr>
  </w:style>
  <w:style w:type="paragraph" w:customStyle="1" w:styleId="Bullet1">
    <w:name w:val="Bullet 1"/>
    <w:basedOn w:val="Normal"/>
    <w:pPr>
      <w:numPr>
        <w:numId w:val="38"/>
      </w:numPr>
    </w:pPr>
  </w:style>
  <w:style w:type="paragraph" w:customStyle="1" w:styleId="Bullet2">
    <w:name w:val="Bullet 2"/>
    <w:basedOn w:val="Normal"/>
    <w:pPr>
      <w:numPr>
        <w:numId w:val="39"/>
      </w:numPr>
    </w:pPr>
  </w:style>
  <w:style w:type="paragraph" w:customStyle="1" w:styleId="Bullet3">
    <w:name w:val="Bullet 3"/>
    <w:basedOn w:val="Normal"/>
    <w:pPr>
      <w:numPr>
        <w:numId w:val="40"/>
      </w:numPr>
    </w:pPr>
  </w:style>
  <w:style w:type="paragraph" w:customStyle="1" w:styleId="Bullet4">
    <w:name w:val="Bullet 4"/>
    <w:basedOn w:val="Normal"/>
    <w:pPr>
      <w:numPr>
        <w:numId w:val="4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.cec/budg/man/budgmanag/budgmanag_e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B336-37DB-4ABD-8527-077BBAD3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27</Pages>
  <Words>4937</Words>
  <Characters>26416</Characters>
  <Application>Microsoft Office Word</Application>
  <DocSecurity>0</DocSecurity>
  <Lines>2201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2018-04-10T13:51:00Z</cp:lastPrinted>
  <dcterms:created xsi:type="dcterms:W3CDTF">2018-06-26T12:31:00Z</dcterms:created>
  <dcterms:modified xsi:type="dcterms:W3CDTF">2018-07-02T06:54:00Z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