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D190DD-DFF4-41D3-91FC-425071B97869"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Obiectivul propunerii este de a adapta cuantumurile resurselor disponibile pentru obiectivul de investiții pentru creștere economică și ocuparea forței de muncă și pentru obiectivul de cooperare teritorială europeană stabilite la articolul 91 alineatul (1) și la articolul 92 alineatul (5) din Regulamentul (UE) nr. 1303/2013</w:t>
      </w:r>
      <w:r>
        <w:rPr>
          <w:rStyle w:val="FootnoteReference"/>
          <w:noProof/>
        </w:rPr>
        <w:footnoteReference w:id="1"/>
      </w:r>
      <w:r>
        <w:rPr>
          <w:noProof/>
        </w:rPr>
        <w:t xml:space="preserve"> și defalcarea anuală a creditelor de angajament care figurează în anexa VI pentru a reflecta modificările din programarea financiară pentru Inițiativa privind ocuparea forței de muncă în rândul tinerilor („Youth Employment Initiative” – YEI). Mai precis, în conformitate cu bugetul adoptat pentru 2018, creditele de angajament destinate alocării specifice pentru YEI ar trebui să fie majorate cu o sumă de 116,7 milioane EUR, aducând suma totală pentru 2018 până la 350 de milioane EUR. Creditele de angajament pentru 2020 au fost ajustate pentru a reflecta concentrarea în 2018.</w:t>
      </w:r>
    </w:p>
    <w:p>
      <w:pPr>
        <w:pBdr>
          <w:top w:val="nil"/>
          <w:left w:val="nil"/>
          <w:bottom w:val="nil"/>
          <w:right w:val="nil"/>
          <w:between w:val="nil"/>
          <w:bar w:val="nil"/>
        </w:pBdr>
        <w:spacing w:before="0" w:after="240"/>
        <w:rPr>
          <w:noProof/>
        </w:rPr>
      </w:pPr>
      <w:r>
        <w:rPr>
          <w:noProof/>
        </w:rPr>
        <w:t>În plus, este necesară corectarea anumitor erori legate de sumele și procentajele referitoare la resursele pentru obiectivul de investiții pentru creștere economică și ocuparea forței de muncă, stabilite la articolul 1 punctul (2) litera (a) din Regulamentul (UE) 2017/2305, care modifică articolul 92 alineatul (1) din Regulamentul (UE) nr. 1303/2013.</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pPr>
        <w:pBdr>
          <w:top w:val="nil"/>
          <w:left w:val="nil"/>
          <w:bottom w:val="nil"/>
          <w:right w:val="nil"/>
          <w:between w:val="nil"/>
          <w:bar w:val="nil"/>
        </w:pBdr>
        <w:spacing w:before="0" w:after="240"/>
        <w:rPr>
          <w:noProof/>
        </w:rPr>
      </w:pPr>
      <w:r>
        <w:rPr>
          <w:noProof/>
        </w:rPr>
        <w:t xml:space="preserve">Prezenta propunere este rezultatul deciziei bugetare pe 2018. </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 xml:space="preserve">Propunerea este conformă cu alte propuneri și inițiative adoptate de Comisia Europeană.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noProof/>
        </w:rPr>
      </w:pPr>
      <w:r>
        <w:rPr>
          <w:noProof/>
        </w:rPr>
        <w:t xml:space="preserve">Revizuirea reflectă concentrarea resurselor destinate alocării specifice pentru Inițiativa privind ocuparea forței de muncă în rândul tinerilor (YEI) în bugetul UE pe 2018. </w:t>
      </w:r>
    </w:p>
    <w:p>
      <w:pPr>
        <w:pStyle w:val="ManualHeading2"/>
        <w:rPr>
          <w:rFonts w:eastAsia="Arial Unicode MS"/>
          <w:noProof/>
          <w:u w:color="000000"/>
          <w:bdr w:val="nil"/>
        </w:rPr>
      </w:pPr>
      <w:r>
        <w:rPr>
          <w:noProof/>
        </w:rPr>
        <w:t>•</w:t>
      </w:r>
      <w:r>
        <w:rPr>
          <w:noProof/>
        </w:rPr>
        <w:tab/>
        <w:t xml:space="preserve">Subsidiaritatea (în cazul competențelor neexclusive) </w:t>
      </w:r>
    </w:p>
    <w:p>
      <w:pPr>
        <w:pBdr>
          <w:top w:val="nil"/>
          <w:left w:val="nil"/>
          <w:bottom w:val="nil"/>
          <w:right w:val="nil"/>
          <w:between w:val="nil"/>
          <w:bar w:val="nil"/>
        </w:pBdr>
        <w:spacing w:before="0" w:after="240"/>
        <w:rPr>
          <w:noProof/>
        </w:rPr>
      </w:pPr>
      <w:r>
        <w:rPr>
          <w:noProof/>
        </w:rPr>
        <w:t xml:space="preserve">Propunerea respectă principiul subsidiarității. </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Propunerea se limitează la ajustările tehnice necesare.</w:t>
      </w:r>
    </w:p>
    <w:p>
      <w:pPr>
        <w:pStyle w:val="ManualHeading2"/>
        <w:rPr>
          <w:rFonts w:eastAsia="Arial Unicode MS"/>
          <w:noProof/>
          <w:u w:color="000000"/>
          <w:bdr w:val="nil"/>
        </w:rPr>
      </w:pPr>
      <w:r>
        <w:rPr>
          <w:noProof/>
        </w:rPr>
        <w:lastRenderedPageBreak/>
        <w:t>•</w:t>
      </w:r>
      <w:r>
        <w:rPr>
          <w:noProof/>
        </w:rPr>
        <w:tab/>
        <w:t>Alegerea instrumentului</w:t>
      </w:r>
    </w:p>
    <w:p>
      <w:pPr>
        <w:pBdr>
          <w:top w:val="nil"/>
          <w:left w:val="nil"/>
          <w:bottom w:val="nil"/>
          <w:right w:val="nil"/>
          <w:between w:val="nil"/>
          <w:bar w:val="nil"/>
        </w:pBdr>
        <w:spacing w:before="0" w:after="240"/>
        <w:rPr>
          <w:noProof/>
        </w:rPr>
      </w:pPr>
      <w:r>
        <w:rPr>
          <w:noProof/>
        </w:rPr>
        <w:t>Instrumentul propus: modificarea regulamentului în vigoare.</w:t>
      </w:r>
    </w:p>
    <w:p>
      <w:pPr>
        <w:pBdr>
          <w:top w:val="nil"/>
          <w:left w:val="nil"/>
          <w:bottom w:val="nil"/>
          <w:right w:val="nil"/>
          <w:between w:val="nil"/>
          <w:bar w:val="nil"/>
        </w:pBdr>
        <w:spacing w:before="0" w:after="240"/>
        <w:rPr>
          <w:rFonts w:eastAsia="Arial Unicode MS"/>
          <w:noProof/>
        </w:rPr>
      </w:pPr>
      <w:r>
        <w:rPr>
          <w:noProof/>
        </w:rPr>
        <w:t>Comisia a explorat marja de manevră oferită de cadrul juridic și consideră necesar să propună modificări la Regulamentul (UE) nr. 1303/2013.</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Nu a existat nicio evaluare ex-post/nicio verificare a adecvării legislației existente.</w:t>
      </w:r>
    </w:p>
    <w:p>
      <w:pPr>
        <w:pStyle w:val="ManualHeading2"/>
        <w:rPr>
          <w:rFonts w:eastAsia="Arial Unicode MS"/>
          <w:noProof/>
          <w:u w:color="000000"/>
          <w:bdr w:val="nil"/>
        </w:rPr>
      </w:pPr>
      <w:r>
        <w:rPr>
          <w:noProof/>
        </w:rPr>
        <w:t>•</w:t>
      </w:r>
      <w:r>
        <w:rPr>
          <w:noProof/>
        </w:rPr>
        <w:tab/>
        <w:t>Consultările cu părțile interesate</w:t>
      </w:r>
    </w:p>
    <w:p>
      <w:pPr>
        <w:pBdr>
          <w:top w:val="nil"/>
          <w:left w:val="nil"/>
          <w:bottom w:val="nil"/>
          <w:right w:val="nil"/>
          <w:between w:val="nil"/>
          <w:bar w:val="nil"/>
        </w:pBdr>
        <w:spacing w:before="0" w:after="240"/>
        <w:rPr>
          <w:rFonts w:eastAsia="Arial Unicode MS"/>
          <w:noProof/>
        </w:rPr>
      </w:pPr>
      <w:r>
        <w:rPr>
          <w:noProof/>
        </w:rPr>
        <w:t>Nu s-a realizat o consultare a părților interesate externe.</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Nu a fost necesar să se recurgă la expertiză externă.</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Adecvarea reglementărilor și simplificarea</w:t>
      </w:r>
    </w:p>
    <w:p>
      <w:pPr>
        <w:pStyle w:val="Text1"/>
        <w:ind w:left="0"/>
        <w:rPr>
          <w:noProof/>
        </w:rPr>
      </w:pPr>
      <w:r>
        <w:rPr>
          <w:noProof/>
        </w:rPr>
        <w:t>Aceasta nu este o inițiativă în cadrul Programului privind o reglementare adecvată și funcțională (REFIT).</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Propunerea nu are consecințe asupra protecției drepturilor fundamentale.</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noProof/>
        </w:rPr>
      </w:pPr>
      <w:r>
        <w:rPr>
          <w:noProof/>
        </w:rPr>
        <w:t xml:space="preserve">Există modificări ale creditelor de angajament care rezultă din concentrarea alocării specifice pentru YEI. Creditele de angajament pentru 2018 ar trebui majorate cu 116,7 milioane EUR în prețuri curente, iar suma pentru 2020 ar trebui să fie redusă cu aceeași valoare.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Documentele explicative (în cazul directivelor)</w:t>
      </w:r>
    </w:p>
    <w:p>
      <w:pPr>
        <w:pStyle w:val="Text1"/>
        <w:ind w:hanging="850"/>
        <w:rPr>
          <w:noProof/>
        </w:rPr>
      </w:pPr>
      <w:r>
        <w:rPr>
          <w:noProof/>
        </w:rPr>
        <w:t>Nu se aplică.</w:t>
      </w:r>
    </w:p>
    <w:p>
      <w:pPr>
        <w:pStyle w:val="ManualHeading2"/>
        <w:rPr>
          <w:rFonts w:eastAsia="Arial Unicode MS"/>
          <w:noProof/>
          <w:u w:color="000000"/>
          <w:bdr w:val="nil"/>
        </w:rPr>
      </w:pPr>
      <w:r>
        <w:rPr>
          <w:noProof/>
        </w:rPr>
        <w:t>•</w:t>
      </w:r>
      <w:r>
        <w:rPr>
          <w:noProof/>
        </w:rPr>
        <w:tab/>
        <w:t>Explicații detaliate cu privire la dispozițiile specifice ale propunerii</w:t>
      </w:r>
    </w:p>
    <w:p>
      <w:pPr>
        <w:pBdr>
          <w:top w:val="nil"/>
          <w:left w:val="nil"/>
          <w:bottom w:val="nil"/>
          <w:right w:val="nil"/>
          <w:between w:val="nil"/>
          <w:bar w:val="nil"/>
        </w:pBdr>
        <w:spacing w:before="0" w:after="240"/>
        <w:rPr>
          <w:noProof/>
        </w:rPr>
      </w:pPr>
      <w:r>
        <w:rPr>
          <w:noProof/>
        </w:rPr>
        <w:t xml:space="preserve">Obiectivul propunerii este de a adapta cuantumurile resurselor disponibile pentru obiectivul de investiții pentru creștere economică și ocuparea forței de muncă și pentru obiectivul de cooperare teritorială europeană stabilite la articolul 91 alineatul (1) și la articolul 92 alineatul (5) din Regulamentul (UE) nr. 1303/2013 și defalcarea anuală a creditelor de angajament care figurează în anexa VI pentru a reflecta modificările din programarea financiară pentru YEI. Mai precis, în conformitate cu bugetul adoptat pentru 2018, creditele de angajament destinate alocării specifice pentru YEI ar trebui să fie majorate cu o sumă de 116,7 milioane EUR, aducând suma totală pentru 2018 până la 350 de milioane EUR. Creditele de angajament pentru 2020 au fost ajustate pentru a reflecta concentrarea în 2018. </w:t>
      </w:r>
    </w:p>
    <w:p>
      <w:pPr>
        <w:pBdr>
          <w:top w:val="nil"/>
          <w:left w:val="nil"/>
          <w:bottom w:val="nil"/>
          <w:right w:val="nil"/>
          <w:between w:val="nil"/>
          <w:bar w:val="nil"/>
        </w:pBdr>
        <w:spacing w:before="0" w:after="240"/>
        <w:rPr>
          <w:noProof/>
        </w:rPr>
      </w:pPr>
      <w:r>
        <w:rPr>
          <w:noProof/>
        </w:rPr>
        <w:t>În plus, este necesară corectarea anumitor erori legate de sumele și procentajele referitoare la resursele pentru obiectivul de investiții pentru creștere economică și ocuparea forței de muncă, stabilite la articolul 1 punctul (2) litera (a) din Regulamentul (UE) 2017/2305, care modifică articolul 92 alineatul (1) din Regulamentul (UE) nr. 1303/2013.</w:t>
      </w:r>
    </w:p>
    <w:p>
      <w:pPr>
        <w:pBdr>
          <w:top w:val="nil"/>
          <w:left w:val="nil"/>
          <w:bottom w:val="nil"/>
          <w:right w:val="nil"/>
          <w:between w:val="nil"/>
          <w:bar w:val="nil"/>
        </w:pBdr>
        <w:spacing w:before="0" w:after="240"/>
        <w:rPr>
          <w:noProof/>
        </w:rPr>
      </w:pPr>
      <w:r>
        <w:rPr>
          <w:noProof/>
        </w:rPr>
        <w:t>Articolul 92 alineatul (1) din Regulamentul (UE) nr. 1303/2013, astfel cum a fost modificat prin Regulamentul (UE) 2017/2305, are următorul conținut:</w:t>
      </w:r>
    </w:p>
    <w:p>
      <w:pPr>
        <w:pBdr>
          <w:top w:val="nil"/>
          <w:left w:val="nil"/>
          <w:bottom w:val="nil"/>
          <w:right w:val="nil"/>
          <w:between w:val="nil"/>
          <w:bar w:val="nil"/>
        </w:pBdr>
        <w:spacing w:before="0" w:after="240"/>
        <w:rPr>
          <w:noProof/>
        </w:rPr>
      </w:pPr>
      <w:r>
        <w:rPr>
          <w:noProof/>
        </w:rPr>
        <w:t xml:space="preserve">„(1) Resursele pentru obiectivul privind investițiile pentru creștere economică și ocuparea forței de muncă se ridică la 96,09 % din resursele globale (și anume, un total de 317 103 114 309 EUR) și se alocă după cum urmează: </w:t>
      </w:r>
    </w:p>
    <w:p>
      <w:pPr>
        <w:pBdr>
          <w:top w:val="nil"/>
          <w:left w:val="nil"/>
          <w:bottom w:val="nil"/>
          <w:right w:val="nil"/>
          <w:between w:val="nil"/>
          <w:bar w:val="nil"/>
        </w:pBdr>
        <w:spacing w:before="0" w:after="240"/>
        <w:rPr>
          <w:noProof/>
        </w:rPr>
      </w:pPr>
      <w:r>
        <w:rPr>
          <w:noProof/>
        </w:rPr>
        <w:t xml:space="preserve">(a) 48,64 % (și anume, un total de 160 498 028 177 EUR) pentru regiunile mai puțin dezvoltate; </w:t>
      </w:r>
    </w:p>
    <w:p>
      <w:pPr>
        <w:pBdr>
          <w:top w:val="nil"/>
          <w:left w:val="nil"/>
          <w:bottom w:val="nil"/>
          <w:right w:val="nil"/>
          <w:between w:val="nil"/>
          <w:bar w:val="nil"/>
        </w:pBdr>
        <w:spacing w:before="0" w:after="240"/>
        <w:rPr>
          <w:noProof/>
        </w:rPr>
      </w:pPr>
      <w:r>
        <w:rPr>
          <w:noProof/>
        </w:rPr>
        <w:t xml:space="preserve">(b) 10,19 % (și anume, un total de 33 621 675 154 EUR) pentru regiunile de tranziție; </w:t>
      </w:r>
    </w:p>
    <w:p>
      <w:pPr>
        <w:pBdr>
          <w:top w:val="nil"/>
          <w:left w:val="nil"/>
          <w:bottom w:val="nil"/>
          <w:right w:val="nil"/>
          <w:between w:val="nil"/>
          <w:bar w:val="nil"/>
        </w:pBdr>
        <w:spacing w:before="0" w:after="240"/>
        <w:rPr>
          <w:noProof/>
        </w:rPr>
      </w:pPr>
      <w:r>
        <w:rPr>
          <w:noProof/>
        </w:rPr>
        <w:t xml:space="preserve">(c) 15,43 % (și anume, un total de 50 914 723 304 EUR) pentru regiunile mai dezvoltate; </w:t>
      </w:r>
    </w:p>
    <w:p>
      <w:pPr>
        <w:pBdr>
          <w:top w:val="nil"/>
          <w:left w:val="nil"/>
          <w:bottom w:val="nil"/>
          <w:right w:val="nil"/>
          <w:between w:val="nil"/>
          <w:bar w:val="nil"/>
        </w:pBdr>
        <w:spacing w:before="0" w:after="240"/>
        <w:rPr>
          <w:noProof/>
        </w:rPr>
      </w:pPr>
      <w:r>
        <w:rPr>
          <w:noProof/>
        </w:rPr>
        <w:t xml:space="preserve">(d) 20,01 % (și anume, un total de 66 029 882 135 EUR) pentru statele membre care beneficiază de contribuții din Fondul de coeziune; </w:t>
      </w:r>
    </w:p>
    <w:p>
      <w:pPr>
        <w:pBdr>
          <w:top w:val="nil"/>
          <w:left w:val="nil"/>
          <w:bottom w:val="nil"/>
          <w:right w:val="nil"/>
          <w:between w:val="nil"/>
          <w:bar w:val="nil"/>
        </w:pBdr>
        <w:spacing w:before="0" w:after="240"/>
        <w:rPr>
          <w:noProof/>
        </w:rPr>
      </w:pPr>
      <w:r>
        <w:rPr>
          <w:noProof/>
        </w:rPr>
        <w:t>(e) 0,42 % (și anume, un total de 1 378 882 914 EUR) ca finanțare suplimentară pentru regiunile ultraperiferice menționate la articolul 349 din TFUE și pentru regiunile de nivelul NUTS 2 care îndeplinesc criteriile stabilite la articolul 2 din Protocolul nr. 6 la Actul de aderare din 1994.”;</w:t>
      </w:r>
    </w:p>
    <w:p>
      <w:pPr>
        <w:pBdr>
          <w:top w:val="nil"/>
          <w:left w:val="nil"/>
          <w:bottom w:val="nil"/>
          <w:right w:val="nil"/>
          <w:between w:val="nil"/>
          <w:bar w:val="nil"/>
        </w:pBdr>
        <w:spacing w:before="0" w:after="240"/>
        <w:rPr>
          <w:noProof/>
        </w:rPr>
      </w:pPr>
      <w:r>
        <w:rPr>
          <w:noProof/>
        </w:rPr>
        <w:t xml:space="preserve">Dispoziția respectivă ar trebui să se citească în mod corect după cum urmează și, prin urmare, ar trebui rectificată: </w:t>
      </w:r>
    </w:p>
    <w:p>
      <w:pPr>
        <w:pBdr>
          <w:top w:val="nil"/>
          <w:left w:val="nil"/>
          <w:bottom w:val="nil"/>
          <w:right w:val="nil"/>
          <w:between w:val="nil"/>
          <w:bar w:val="nil"/>
        </w:pBdr>
        <w:spacing w:before="0" w:after="240"/>
        <w:rPr>
          <w:noProof/>
        </w:rPr>
      </w:pPr>
      <w:r>
        <w:rPr>
          <w:noProof/>
        </w:rPr>
        <w:t>„(1) Resursele pentru obiectivul privind investițiile pentru creștere economică și ocuparea forței de muncă se ridică la 96,09 % din resursele globale (și anume, un total de 317 073 545 392 EUR) și se alocă după cum urmează:</w:t>
      </w:r>
    </w:p>
    <w:p>
      <w:pPr>
        <w:pBdr>
          <w:top w:val="nil"/>
          <w:left w:val="nil"/>
          <w:bottom w:val="nil"/>
          <w:right w:val="nil"/>
          <w:between w:val="nil"/>
          <w:bar w:val="nil"/>
        </w:pBdr>
        <w:spacing w:before="0" w:after="240"/>
        <w:rPr>
          <w:noProof/>
        </w:rPr>
      </w:pPr>
      <w:r>
        <w:rPr>
          <w:noProof/>
        </w:rPr>
        <w:t>(a) 51,52 % (și anume, un total de 163 359 380 738 EUR) pentru regiunile mai puțin dezvoltate;</w:t>
      </w:r>
    </w:p>
    <w:p>
      <w:pPr>
        <w:pBdr>
          <w:top w:val="nil"/>
          <w:left w:val="nil"/>
          <w:bottom w:val="nil"/>
          <w:right w:val="nil"/>
          <w:between w:val="nil"/>
          <w:bar w:val="nil"/>
        </w:pBdr>
        <w:spacing w:before="0" w:after="240"/>
        <w:rPr>
          <w:noProof/>
        </w:rPr>
      </w:pPr>
      <w:r>
        <w:rPr>
          <w:noProof/>
        </w:rPr>
        <w:t>(b) 10,82 % (și anume, un total de 34 319 221 039 EUR) pentru regiunile de tranziție;</w:t>
      </w:r>
    </w:p>
    <w:p>
      <w:pPr>
        <w:pBdr>
          <w:top w:val="nil"/>
          <w:left w:val="nil"/>
          <w:bottom w:val="nil"/>
          <w:right w:val="nil"/>
          <w:between w:val="nil"/>
          <w:bar w:val="nil"/>
        </w:pBdr>
        <w:spacing w:before="0" w:after="240"/>
        <w:rPr>
          <w:noProof/>
        </w:rPr>
      </w:pPr>
      <w:r>
        <w:rPr>
          <w:noProof/>
        </w:rPr>
        <w:t>(c) 16,33 % (și anume, un total de 51 773 321 432 EUR) pentru regiunile mai dezvoltate;</w:t>
      </w:r>
    </w:p>
    <w:p>
      <w:pPr>
        <w:pBdr>
          <w:top w:val="nil"/>
          <w:left w:val="nil"/>
          <w:bottom w:val="nil"/>
          <w:right w:val="nil"/>
          <w:between w:val="nil"/>
          <w:bar w:val="nil"/>
        </w:pBdr>
        <w:spacing w:before="0" w:after="240"/>
        <w:rPr>
          <w:noProof/>
        </w:rPr>
      </w:pPr>
      <w:r>
        <w:rPr>
          <w:noProof/>
        </w:rPr>
        <w:t>(d) 20,89 % (și anume, un total de 66 236 030 665 EUR) pentru statele membre care beneficiază de contribuții din Fondul de coeziune;</w:t>
      </w:r>
    </w:p>
    <w:p>
      <w:pPr>
        <w:pBdr>
          <w:top w:val="nil"/>
          <w:left w:val="nil"/>
          <w:bottom w:val="nil"/>
          <w:right w:val="nil"/>
          <w:between w:val="nil"/>
          <w:bar w:val="nil"/>
        </w:pBdr>
        <w:spacing w:before="0" w:after="240"/>
        <w:rPr>
          <w:noProof/>
        </w:rPr>
      </w:pPr>
      <w:r>
        <w:rPr>
          <w:noProof/>
        </w:rPr>
        <w:t>(e) 0,44 % (și anume, un total de 1 385 591 518 EUR) ca finanțare suplimentară pentru regiunile ultraperiferice menționate la articolul 349 din TFUE și pentru regiunile de nivelul NUTS 2 care îndeplinesc criteriile stabilite la articolul 2 din Protocolul nr. 6 la Actul de aderare din 1994.”</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2018/0265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modificare a Regulamentului (UE) nr. 1303/2013 în ceea ce privește resursele pentru coeziunea economică, socială și teritorială și de rectificare a regulamentului respectiv în ceea ce privește resursele pentru obiectivul de investiții pentru creștere economică și ocuparea forței de muncă</w:t>
      </w:r>
    </w:p>
    <w:p>
      <w:pPr>
        <w:pStyle w:val="Institutionquiagit"/>
        <w:rPr>
          <w:noProof/>
          <w:szCs w:val="24"/>
        </w:rPr>
      </w:pPr>
      <w:r>
        <w:rPr>
          <w:noProof/>
        </w:rPr>
        <w:t>PARLAMENTUL EUROPEAN ȘI CONSILIUL UNIUNII EUROPENE,</w:t>
      </w:r>
    </w:p>
    <w:p>
      <w:pPr>
        <w:rPr>
          <w:noProof/>
          <w:szCs w:val="24"/>
        </w:rPr>
      </w:pPr>
      <w:r>
        <w:rPr>
          <w:noProof/>
        </w:rPr>
        <w:t xml:space="preserve">având în vedere Tratatul privind funcționarea Uniunii Europene, în special articolul 177, </w:t>
      </w:r>
    </w:p>
    <w:p>
      <w:pPr>
        <w:rPr>
          <w:noProof/>
          <w:szCs w:val="24"/>
        </w:rPr>
      </w:pPr>
      <w:r>
        <w:rPr>
          <w:noProof/>
        </w:rPr>
        <w:t>având în vedere propunerea Comisiei Europene,</w:t>
      </w:r>
    </w:p>
    <w:p>
      <w:pPr>
        <w:rPr>
          <w:noProof/>
          <w:szCs w:val="24"/>
        </w:rPr>
      </w:pPr>
      <w:r>
        <w:rPr>
          <w:noProof/>
        </w:rPr>
        <w:t>după transmiterea proiectului de act legislativ către parlamentele naționale,</w:t>
      </w:r>
    </w:p>
    <w:p>
      <w:pPr>
        <w:rPr>
          <w:noProof/>
          <w:szCs w:val="24"/>
        </w:rPr>
      </w:pPr>
      <w:r>
        <w:rPr>
          <w:noProof/>
        </w:rPr>
        <w:t>având în vedere avizul Comitetului Economic și Social European</w:t>
      </w:r>
      <w:r>
        <w:rPr>
          <w:rStyle w:val="FootnoteReference"/>
          <w:noProof/>
        </w:rPr>
        <w:footnoteReference w:id="2"/>
      </w:r>
      <w:r>
        <w:rPr>
          <w:noProof/>
        </w:rPr>
        <w:t>,</w:t>
      </w:r>
    </w:p>
    <w:p>
      <w:pPr>
        <w:rPr>
          <w:noProof/>
          <w:szCs w:val="24"/>
        </w:rPr>
      </w:pPr>
      <w:r>
        <w:rPr>
          <w:noProof/>
        </w:rPr>
        <w:t>având în vedere avizul Comitetului Regiunilor</w:t>
      </w:r>
      <w:r>
        <w:rPr>
          <w:rStyle w:val="FootnoteReference"/>
          <w:noProof/>
        </w:rPr>
        <w:footnoteReference w:id="3"/>
      </w:r>
      <w:r>
        <w:rPr>
          <w:noProof/>
        </w:rPr>
        <w:t xml:space="preserve">, </w:t>
      </w:r>
    </w:p>
    <w:p>
      <w:pPr>
        <w:rPr>
          <w:noProof/>
          <w:szCs w:val="24"/>
        </w:rPr>
      </w:pPr>
      <w:r>
        <w:rPr>
          <w:noProof/>
        </w:rPr>
        <w:t>hotărând în conformitate cu procedura legislativă ordinară,</w:t>
      </w:r>
    </w:p>
    <w:p>
      <w:pPr>
        <w:rPr>
          <w:noProof/>
          <w:szCs w:val="24"/>
        </w:rPr>
      </w:pPr>
      <w:r>
        <w:rPr>
          <w:noProof/>
        </w:rPr>
        <w:t>întrucât:</w:t>
      </w:r>
    </w:p>
    <w:p>
      <w:pPr>
        <w:pStyle w:val="ManualConsidrant"/>
        <w:rPr>
          <w:noProof/>
          <w:szCs w:val="24"/>
        </w:rPr>
      </w:pPr>
      <w:r>
        <w:t>(1)</w:t>
      </w:r>
      <w:r>
        <w:tab/>
      </w:r>
      <w:r>
        <w:rPr>
          <w:noProof/>
        </w:rPr>
        <w:t>Regulamentul (UE) nr. 1303/2013 al Parlamentului European și al Consiliului</w:t>
      </w:r>
      <w:r>
        <w:rPr>
          <w:rStyle w:val="FootnoteReference"/>
          <w:noProof/>
        </w:rPr>
        <w:footnoteReference w:id="4"/>
      </w:r>
      <w:r>
        <w:rPr>
          <w:noProof/>
        </w:rPr>
        <w:t xml:space="preserve"> stabilește normele comune și generale aplicabile fondurilor structurale și de investiții europene. </w:t>
      </w:r>
    </w:p>
    <w:p>
      <w:pPr>
        <w:pStyle w:val="ManualConsidrant"/>
        <w:rPr>
          <w:noProof/>
          <w:szCs w:val="24"/>
        </w:rPr>
      </w:pPr>
      <w:r>
        <w:t>(2)</w:t>
      </w:r>
      <w:r>
        <w:tab/>
      </w:r>
      <w:r>
        <w:rPr>
          <w:noProof/>
        </w:rPr>
        <w:t>Regulamentul (UE) 2017/2305 al Parlamentului European și al Consiliului</w:t>
      </w:r>
      <w:r>
        <w:rPr>
          <w:rStyle w:val="FootnoteReference"/>
          <w:noProof/>
        </w:rPr>
        <w:footnoteReference w:id="5"/>
      </w:r>
      <w:r>
        <w:rPr>
          <w:noProof/>
        </w:rPr>
        <w:t xml:space="preserve"> a modificat Regulamentul (UE) nr. 1303/2013, printre altele, în ceea ce privește resursele alocate pentru coeziunea economică, socială și teritorială.</w:t>
      </w:r>
    </w:p>
    <w:p>
      <w:pPr>
        <w:pStyle w:val="ManualConsidrant"/>
        <w:rPr>
          <w:noProof/>
          <w:szCs w:val="24"/>
        </w:rPr>
      </w:pPr>
      <w:r>
        <w:t>(3)</w:t>
      </w:r>
      <w:r>
        <w:tab/>
      </w:r>
      <w:r>
        <w:rPr>
          <w:noProof/>
        </w:rPr>
        <w:t>Bugetul general al Uniunii Europene pentru exercițiul financiar 2018</w:t>
      </w:r>
      <w:r>
        <w:rPr>
          <w:rStyle w:val="FootnoteReference"/>
          <w:noProof/>
        </w:rPr>
        <w:footnoteReference w:id="6"/>
      </w:r>
      <w:r>
        <w:rPr>
          <w:noProof/>
        </w:rPr>
        <w:t xml:space="preserve"> a modificat programarea financiară pentru Inițiativa privind ocuparea forței de muncă în rândul tinerilor („Youth Employment Initiative” – YEI) prin majorarea creditelor de angajament destinate alocării specifice pentru YEI cu o sumă de 116,7 milioane EUR în prețuri curente, aducând suma totală a creditelor de angajament pentru YEI pentru 2018 până la 350 de milioane EUR în prețuri curente. </w:t>
      </w:r>
    </w:p>
    <w:p>
      <w:pPr>
        <w:pStyle w:val="ManualConsidrant"/>
        <w:rPr>
          <w:noProof/>
          <w:szCs w:val="24"/>
        </w:rPr>
      </w:pPr>
      <w:r>
        <w:t>(4)</w:t>
      </w:r>
      <w:r>
        <w:tab/>
      </w:r>
      <w:r>
        <w:rPr>
          <w:noProof/>
        </w:rPr>
        <w:t>Suma creditelor de angajament pentru 2020 trebuie să fie ajustată în sens descrescător, în consecință, pentru a reflecta concentrarea în 2018. Prin urmare, Regulamentul (UE) nr. 1303/2013 ar trebui modificat în consecință.</w:t>
      </w:r>
    </w:p>
    <w:p>
      <w:pPr>
        <w:pStyle w:val="ManualConsidrant"/>
        <w:rPr>
          <w:noProof/>
        </w:rPr>
      </w:pPr>
      <w:r>
        <w:t>(5)</w:t>
      </w:r>
      <w:r>
        <w:tab/>
      </w:r>
      <w:r>
        <w:rPr>
          <w:noProof/>
        </w:rPr>
        <w:t>Atunci când articolul 92 alineatul (1) din Regulamentul (UE) nr. 1303/2013 a fost modificat prin Regulamentul (UE) 2017/2305, anumite date financiare stabilite la articolul 1 alineatul (2) litera (a) din Regulamentul (UE) 2017/2305 au fost eronate. Datele financiare respective ar trebui înlocuite cu datele corecte. Prin urmare, Regulamentul (UE) nr. 1303/2013 ar trebui rectificat în consecință.</w:t>
      </w:r>
    </w:p>
    <w:p>
      <w:pPr>
        <w:pStyle w:val="ManualConsidrant"/>
        <w:rPr>
          <w:noProof/>
        </w:rPr>
      </w:pPr>
      <w:r>
        <w:t>(6)</w:t>
      </w:r>
      <w:r>
        <w:tab/>
      </w:r>
      <w:r>
        <w:rPr>
          <w:noProof/>
        </w:rPr>
        <w:t xml:space="preserve">Având în vedere necesitatea urgentă de a modifica programele de susținere a YEI, prezentul regulament ar trebui să intre în vigoare în ziua următoare datei publicării în </w:t>
      </w:r>
      <w:r>
        <w:rPr>
          <w:i/>
          <w:noProof/>
        </w:rPr>
        <w:t>Jurnalul Oficial al Uniunii Europene</w:t>
      </w:r>
      <w:r>
        <w:rPr>
          <w:noProof/>
        </w:rPr>
        <w:t>.</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(UE) nr. 1303/2013 se modifică după cum urmează:</w:t>
      </w:r>
    </w:p>
    <w:p>
      <w:pPr>
        <w:pStyle w:val="Point0number"/>
        <w:numPr>
          <w:ilvl w:val="0"/>
          <w:numId w:val="14"/>
        </w:numPr>
        <w:rPr>
          <w:noProof/>
        </w:rPr>
      </w:pPr>
      <w:r>
        <w:rPr>
          <w:noProof/>
        </w:rPr>
        <w:t>La articolul 91, alineatul (1) se înlocuiește cu următorul text:</w:t>
      </w:r>
    </w:p>
    <w:p>
      <w:pPr>
        <w:pStyle w:val="Text1"/>
        <w:rPr>
          <w:noProof/>
        </w:rPr>
      </w:pPr>
      <w:r>
        <w:rPr>
          <w:noProof/>
        </w:rPr>
        <w:t>„(1) Resursele pentru coeziunea economică, socială și teritorială disponibile pentru angajamentul bugetar corespunzător perioadei 2014-2020 sunt de 329 982 345 366 EUR la prețurile din 2011, în conformitate cu repartizarea anuală stabilită în anexa VI, din care 325 938 694 233 EUR reprezintă resursele globale alocate pentru FEDR, FSE și Fondul de coeziune și 4 043 651 133 EUR reprezintă o alocare specifică pentru YEI. În scopul programării și includerii ulterioare în bugetul Uniunii, cuantumul resurselor pentru coeziunea economică, socială și teritorială se indexează cu 2 % pe an.”;</w:t>
      </w:r>
    </w:p>
    <w:p>
      <w:pPr>
        <w:pStyle w:val="Point0number"/>
        <w:rPr>
          <w:noProof/>
        </w:rPr>
      </w:pPr>
      <w:r>
        <w:rPr>
          <w:noProof/>
        </w:rPr>
        <w:t>La articolul 92, alineatul (5) se înlocuiește cu următorul text:</w:t>
      </w:r>
    </w:p>
    <w:p>
      <w:pPr>
        <w:pStyle w:val="Text1"/>
        <w:rPr>
          <w:noProof/>
        </w:rPr>
      </w:pPr>
      <w:r>
        <w:rPr>
          <w:noProof/>
        </w:rPr>
        <w:t>„(5) Resursele pentru YEI se ridică la 4 043 651 133 EUR din alocarea specifică pentru YEI și cel puțin 4 043 651 133 EUR din investițiile orientate ale FSE.”;</w:t>
      </w:r>
    </w:p>
    <w:p>
      <w:pPr>
        <w:pStyle w:val="Point0number"/>
        <w:rPr>
          <w:noProof/>
        </w:rPr>
      </w:pPr>
      <w:r>
        <w:rPr>
          <w:noProof/>
        </w:rPr>
        <w:t>Anexa VI se înlocuiește cu textul prevăzut în anexa la prezentul regulament.</w:t>
      </w:r>
    </w:p>
    <w:p>
      <w:pPr>
        <w:pStyle w:val="Titrearticle"/>
        <w:rPr>
          <w:noProof/>
        </w:rPr>
      </w:pPr>
      <w:r>
        <w:rPr>
          <w:noProof/>
        </w:rPr>
        <w:t>Articolul 2</w:t>
      </w:r>
    </w:p>
    <w:p>
      <w:pPr>
        <w:rPr>
          <w:noProof/>
        </w:rPr>
      </w:pPr>
      <w:r>
        <w:rPr>
          <w:noProof/>
        </w:rPr>
        <w:t>Regulamentul (UE) nr. 1303/2013 se rectifică după cum urmează:</w:t>
      </w:r>
    </w:p>
    <w:p>
      <w:pPr>
        <w:rPr>
          <w:noProof/>
        </w:rPr>
      </w:pPr>
      <w:r>
        <w:rPr>
          <w:noProof/>
        </w:rPr>
        <w:t>La articolul 92, alineatul (1) se înlocuiește cu următorul text:</w:t>
      </w:r>
    </w:p>
    <w:p>
      <w:pPr>
        <w:pStyle w:val="Text1"/>
        <w:rPr>
          <w:noProof/>
        </w:rPr>
      </w:pPr>
      <w:r>
        <w:rPr>
          <w:noProof/>
        </w:rPr>
        <w:t>„(1) Resursele pentru obiectivul privind investițiile pentru creștere economică și ocuparea forței de muncă se ridică la 96,09 % din resursele globale (și anume, un total de 317 073 545 392 EUR) și se alocă după cum urmează:</w:t>
      </w:r>
    </w:p>
    <w:p>
      <w:pPr>
        <w:pStyle w:val="Text1"/>
        <w:rPr>
          <w:noProof/>
        </w:rPr>
      </w:pPr>
      <w:r>
        <w:rPr>
          <w:noProof/>
        </w:rPr>
        <w:t>(a) 51,52 % (și anume, un total de 163 359 380 738 EUR) pentru regiunile mai puțin dezvoltate;</w:t>
      </w:r>
    </w:p>
    <w:p>
      <w:pPr>
        <w:pStyle w:val="Text1"/>
        <w:rPr>
          <w:noProof/>
        </w:rPr>
      </w:pPr>
      <w:r>
        <w:rPr>
          <w:noProof/>
        </w:rPr>
        <w:t>(b) 10,82 % (și anume, un total de 34 319 221 039 EUR) pentru regiunile de tranziție;</w:t>
      </w:r>
    </w:p>
    <w:p>
      <w:pPr>
        <w:pStyle w:val="Text1"/>
        <w:rPr>
          <w:noProof/>
        </w:rPr>
      </w:pPr>
      <w:r>
        <w:rPr>
          <w:noProof/>
        </w:rPr>
        <w:t>(c) 16,33 % (și anume, un total de 51 773 321 432 EUR) pentru regiunile mai dezvoltate;</w:t>
      </w:r>
    </w:p>
    <w:p>
      <w:pPr>
        <w:pStyle w:val="Text1"/>
        <w:rPr>
          <w:noProof/>
        </w:rPr>
      </w:pPr>
      <w:r>
        <w:rPr>
          <w:noProof/>
        </w:rPr>
        <w:t>(d) 20,89 % (și anume, un total de 66 236 030 665 EUR) pentru statele membre care beneficiază de contribuții din Fondul de coeziune;</w:t>
      </w:r>
    </w:p>
    <w:p>
      <w:pPr>
        <w:pStyle w:val="Text1"/>
        <w:rPr>
          <w:noProof/>
        </w:rPr>
      </w:pPr>
      <w:r>
        <w:rPr>
          <w:noProof/>
        </w:rPr>
        <w:t>(e) 0,44 % (și anume, un total de 1 385 591 518 EUR) ca finanțare suplimentară pentru regiunile ultraperiferice menționate la articolul 349 din TFUE și pentru regiunile de nivelul NUTS 2 care îndeplinesc criteriile stabilite la articolul 2 din Protocolul nr. 6 la Actul de aderare din 1994.”.</w:t>
      </w:r>
    </w:p>
    <w:p>
      <w:pPr>
        <w:pStyle w:val="Titrearticle"/>
        <w:rPr>
          <w:noProof/>
        </w:rPr>
      </w:pPr>
      <w:r>
        <w:rPr>
          <w:noProof/>
        </w:rPr>
        <w:t>Articolul 3</w:t>
      </w:r>
    </w:p>
    <w:p>
      <w:pPr>
        <w:rPr>
          <w:noProof/>
        </w:rPr>
      </w:pPr>
      <w:r>
        <w:rPr>
          <w:noProof/>
        </w:rPr>
        <w:t xml:space="preserve">Prezentul regulament intră în vigoare în ziua următoare datei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pPr>
      <w:r>
        <w:rPr>
          <w:noProof/>
        </w:rPr>
        <w:br w:type="page"/>
      </w:r>
    </w:p>
    <w:p>
      <w:pPr>
        <w:pStyle w:val="Fichefinanciretitre"/>
        <w:rPr>
          <w:noProof/>
        </w:rPr>
      </w:pPr>
      <w:r>
        <w:rPr>
          <w:noProof/>
        </w:rPr>
        <w:t xml:space="preserve">FIȘĂ FINANCIARĂ LEGISLATIVĂ </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 xml:space="preserve">Tipul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GESTIONARE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de gestionare și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actualul cadru financiar multianual</w:t>
      </w:r>
    </w:p>
    <w:p>
      <w:pPr>
        <w:pStyle w:val="ManualHeading3"/>
        <w:rPr>
          <w:noProof/>
        </w:rPr>
      </w:pPr>
      <w:r>
        <w:rPr>
          <w:noProof/>
        </w:rPr>
        <w:tab/>
        <w:t>3.2.5.</w:t>
      </w:r>
      <w:r>
        <w:rPr>
          <w:noProof/>
        </w:rPr>
        <w:tab/>
        <w:t xml:space="preserve">Contribuția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b/>
          <w:noProof/>
          <w:u w:val="single"/>
        </w:rPr>
      </w:pPr>
      <w:r>
        <w:rPr>
          <w:b/>
          <w:noProof/>
          <w:u w:val="single"/>
        </w:rPr>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Propunere de</w:t>
      </w:r>
    </w:p>
    <w:p>
      <w:pPr>
        <w:pStyle w:val="Text1"/>
        <w:pBdr>
          <w:top w:val="single" w:sz="4" w:space="1" w:color="auto"/>
          <w:left w:val="single" w:sz="4" w:space="4" w:color="auto"/>
          <w:bottom w:val="single" w:sz="4" w:space="1" w:color="auto"/>
          <w:right w:val="single" w:sz="4" w:space="4" w:color="auto"/>
        </w:pBdr>
        <w:rPr>
          <w:noProof/>
        </w:rPr>
      </w:pPr>
      <w:r>
        <w:rPr>
          <w:noProof/>
        </w:rPr>
        <w:t>REGULAMENT AL PARLAMENTULUI EUROPEAN ȘI AL CONSILIULUI</w:t>
      </w:r>
    </w:p>
    <w:p>
      <w:pPr>
        <w:pStyle w:val="Text1"/>
        <w:pBdr>
          <w:top w:val="single" w:sz="4" w:space="1" w:color="auto"/>
          <w:left w:val="single" w:sz="4" w:space="4" w:color="auto"/>
          <w:bottom w:val="single" w:sz="4" w:space="1" w:color="auto"/>
          <w:right w:val="single" w:sz="4" w:space="4" w:color="auto"/>
        </w:pBdr>
        <w:rPr>
          <w:noProof/>
        </w:rPr>
      </w:pPr>
      <w:r>
        <w:rPr>
          <w:noProof/>
        </w:rPr>
        <w:t>de modificare a Regulamentului (UE) nr. 1303/2013 în ceea ce privește resursele pentru coeziunea economică, socială și teritorială și de rectificare a regulamentului respectiv în ceea ce privește resursele pentru obiectivul de investiții pentru creștere economică și ocuparea forței de muncă</w:t>
      </w:r>
    </w:p>
    <w:p>
      <w:pPr>
        <w:pStyle w:val="ManualHeading2"/>
        <w:rPr>
          <w:noProof/>
          <w:szCs w:val="24"/>
        </w:rPr>
      </w:pPr>
      <w:r>
        <w:rPr>
          <w:noProof/>
        </w:rPr>
        <w:t>1.2.</w:t>
      </w:r>
      <w:r>
        <w:rPr>
          <w:noProof/>
        </w:rPr>
        <w:tab/>
        <w:t>Domeniul (domeniile) de politică în cauză în structura ABM/ABB</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Ocuparea forței de muncă, afaceri sociale și incluziune</w:t>
      </w:r>
    </w:p>
    <w:p>
      <w:pPr>
        <w:pStyle w:val="Text1"/>
        <w:pBdr>
          <w:top w:val="single" w:sz="4" w:space="1" w:color="auto"/>
          <w:left w:val="single" w:sz="4" w:space="4" w:color="auto"/>
          <w:bottom w:val="single" w:sz="4" w:space="1" w:color="auto"/>
          <w:right w:val="single" w:sz="4" w:space="4" w:color="auto"/>
        </w:pBdr>
        <w:rPr>
          <w:noProof/>
        </w:rPr>
      </w:pPr>
      <w:r>
        <w:rPr>
          <w:noProof/>
        </w:rPr>
        <w:t>04 02 60 – Fondul social european – Regiuni mai puțin dezvoltate – Obiectivul „Investiții pentru creștere economică și ocuparea forței de muncă”</w:t>
      </w:r>
    </w:p>
    <w:p>
      <w:pPr>
        <w:pStyle w:val="Text1"/>
        <w:pBdr>
          <w:top w:val="single" w:sz="4" w:space="1" w:color="auto"/>
          <w:left w:val="single" w:sz="4" w:space="4" w:color="auto"/>
          <w:bottom w:val="single" w:sz="4" w:space="1" w:color="auto"/>
          <w:right w:val="single" w:sz="4" w:space="4" w:color="auto"/>
        </w:pBdr>
        <w:rPr>
          <w:noProof/>
        </w:rPr>
      </w:pPr>
      <w:r>
        <w:rPr>
          <w:noProof/>
        </w:rPr>
        <w:t>04 02 61 – Fondul social european – Regiuni de tranziție – Obiectivul „Investiții pentru creștere economică și ocuparea forței de muncă”</w:t>
      </w: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Fondul social european – Regiuni mai dezvoltate – Obiectivul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r>
        <w:rPr>
          <w:noProof/>
        </w:rPr>
        <w:t>04 02 64 – Inițiativa privind ocuparea forței de muncă în rândul tinerilor (YEI)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Politică regională și urbană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Fondul european de dezvoltare regională (FEDR) – Regiuni mai puțin dezvoltate – Obiectivul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Fondul european de dezvoltare regională (FEDR) – Regiuni în tranziție – Obiectivul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Fondul european de dezvoltare regională (FEDR) – Regiuni mai dezvoltate – Obiectivul „Investiții pentru creștere economică și ocuparea forței de muncă” </w:t>
      </w:r>
    </w:p>
    <w:p>
      <w:pPr>
        <w:pStyle w:val="Text1"/>
        <w:pBdr>
          <w:top w:val="single" w:sz="4" w:space="1" w:color="auto"/>
          <w:left w:val="single" w:sz="4" w:space="4" w:color="auto"/>
          <w:bottom w:val="single" w:sz="4" w:space="1" w:color="auto"/>
          <w:right w:val="single" w:sz="4" w:space="4" w:color="auto"/>
        </w:pBdr>
        <w:rPr>
          <w:noProof/>
        </w:rPr>
      </w:pPr>
      <w:r>
        <w:rPr>
          <w:noProof/>
        </w:rPr>
        <w:t>13 03 63 – Fondul european de dezvoltare regională (FEDR) – Alocări suplimentare pentru regiunile ultraperiferice și slab populate – Obiectivul „Investiții pentru creștere economică și ocuparea forței de muncă”</w:t>
      </w:r>
    </w:p>
    <w:p>
      <w:pPr>
        <w:pStyle w:val="Text1"/>
        <w:pBdr>
          <w:top w:val="single" w:sz="4" w:space="1" w:color="auto"/>
          <w:left w:val="single" w:sz="4" w:space="4" w:color="auto"/>
          <w:bottom w:val="single" w:sz="4" w:space="1" w:color="auto"/>
          <w:right w:val="single" w:sz="4" w:space="4" w:color="auto"/>
        </w:pBdr>
        <w:rPr>
          <w:noProof/>
        </w:rPr>
      </w:pPr>
      <w:r>
        <w:rPr>
          <w:noProof/>
        </w:rPr>
        <w:t>13 03 64 01 – Fondul european de dezvoltare regională (FEDR) – Cooperare teritorială europeană</w:t>
      </w:r>
    </w:p>
    <w:p>
      <w:pPr>
        <w:pStyle w:val="Text1"/>
        <w:pBdr>
          <w:top w:val="single" w:sz="4" w:space="1" w:color="auto"/>
          <w:left w:val="single" w:sz="4" w:space="4" w:color="auto"/>
          <w:bottom w:val="single" w:sz="4" w:space="1" w:color="auto"/>
          <w:right w:val="single" w:sz="4" w:space="4" w:color="auto"/>
        </w:pBdr>
        <w:rPr>
          <w:noProof/>
        </w:rPr>
      </w:pPr>
      <w:r>
        <w:rPr>
          <w:noProof/>
        </w:rPr>
        <w:t>13 04 60 – Fondul de coeziune – Obiectivul „Investiții pentru creștere economică și ocuparea forței de muncă”</w:t>
      </w:r>
    </w:p>
    <w:p>
      <w:pPr>
        <w:pStyle w:val="ManualHeading2"/>
        <w:rPr>
          <w:bCs/>
          <w:noProof/>
          <w:szCs w:val="24"/>
        </w:rPr>
      </w:pPr>
      <w:r>
        <w:rPr>
          <w:noProof/>
        </w:rPr>
        <w:t>1.3.</w:t>
      </w:r>
      <w:r>
        <w:rPr>
          <w:noProof/>
        </w:rPr>
        <w:tab/>
        <w:t xml:space="preserve">Tipul propunerii/inițiativei </w:t>
      </w:r>
    </w:p>
    <w:p>
      <w:pPr>
        <w:pStyle w:val="Text1"/>
        <w:rPr>
          <w:b/>
          <w:noProof/>
          <w:sz w:val="22"/>
        </w:rPr>
      </w:pPr>
      <w:r>
        <w:rPr>
          <w:noProof/>
          <w:sz w:val="22"/>
        </w:rPr>
        <w:sym w:font="Wingdings" w:char="F0A8"/>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r>
        <w:rPr>
          <w:noProof/>
        </w:rPr>
        <w:t>1.4.</w:t>
      </w:r>
      <w:r>
        <w:rPr>
          <w:noProof/>
        </w:rPr>
        <w:tab/>
        <w:t>Obiectiv(e)</w:t>
      </w:r>
    </w:p>
    <w:p>
      <w:pPr>
        <w:pStyle w:val="ManualHeading3"/>
        <w:rPr>
          <w:noProof/>
        </w:rPr>
      </w:pPr>
      <w:r>
        <w:rPr>
          <w:noProof/>
        </w:rPr>
        <w:t>1.4.1.</w:t>
      </w:r>
      <w:r>
        <w:rPr>
          <w:noProof/>
        </w:rPr>
        <w:tab/>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1.4.2.</w:t>
      </w:r>
      <w:r>
        <w:rPr>
          <w:noProof/>
        </w:rPr>
        <w:tab/>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1.4.3.</w:t>
      </w:r>
      <w:r>
        <w:rPr>
          <w:noProof/>
        </w:rPr>
        <w:tab/>
        <w:t>Rezultatul (rezultatele) și impactul preconizate</w:t>
      </w:r>
    </w:p>
    <w:p>
      <w:pPr>
        <w:pStyle w:val="Text1"/>
        <w:rPr>
          <w:i/>
          <w:noProof/>
          <w:sz w:val="20"/>
        </w:rPr>
      </w:pPr>
      <w:r>
        <w:rPr>
          <w:i/>
          <w:noProof/>
          <w:sz w:val="20"/>
        </w:rPr>
        <w:t>A se preciza efectele pe care propunerea/inițiativa ar trebui să le aibă asupra beneficiarilor vizați/grupurilor vizate.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1.4.4.</w:t>
      </w:r>
      <w:r>
        <w:rPr>
          <w:noProof/>
        </w:rPr>
        <w:tab/>
        <w:t xml:space="preserve">Indicatori de rezultat și de impact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1.5.</w:t>
      </w:r>
      <w:r>
        <w:rPr>
          <w:noProof/>
        </w:rPr>
        <w:tab/>
        <w:t xml:space="preserve">Motivele propunerii/inițiativei </w:t>
      </w:r>
    </w:p>
    <w:p>
      <w:pPr>
        <w:pStyle w:val="ManualHeading3"/>
        <w:rPr>
          <w:noProof/>
        </w:rPr>
      </w:pPr>
      <w:r>
        <w:rPr>
          <w:noProof/>
        </w:rPr>
        <w:t>1.5.1.</w:t>
      </w:r>
      <w:r>
        <w:rPr>
          <w:noProof/>
        </w:rPr>
        <w:tab/>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1.5.2.</w:t>
      </w:r>
      <w:r>
        <w:rPr>
          <w:noProof/>
        </w:rPr>
        <w:tab/>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1.5.3.</w:t>
      </w:r>
      <w:r>
        <w:rPr>
          <w:noProof/>
        </w:rPr>
        <w:tab/>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1.5.4.</w:t>
      </w:r>
      <w:r>
        <w:rPr>
          <w:noProof/>
        </w:rPr>
        <w:tab/>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1.6.</w:t>
      </w:r>
      <w:r>
        <w:rPr>
          <w:noProof/>
        </w:rPr>
        <w:tab/>
        <w:t xml:space="preserve">Durata și impactul financiar </w:t>
      </w:r>
    </w:p>
    <w:p>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78"/>
      </w:r>
      <w:r>
        <w:rPr>
          <w:noProof/>
        </w:rPr>
        <w:tab/>
        <w:t>Propunere/inițiativă în vigoare de la 1.1.2017 până la 31.12.2023</w:t>
      </w:r>
    </w:p>
    <w:p>
      <w:pPr>
        <w:pStyle w:val="ListDash2"/>
        <w:rPr>
          <w:noProof/>
        </w:rPr>
      </w:pPr>
      <w:r>
        <w:rPr>
          <w:noProof/>
        </w:rPr>
        <w:sym w:font="Wingdings" w:char="F078"/>
      </w:r>
      <w:r>
        <w:rPr>
          <w:noProof/>
        </w:rPr>
        <w:tab/>
        <w:t>Impact financiar în 2017-2020</w:t>
      </w:r>
    </w:p>
    <w:p>
      <w:pPr>
        <w:pStyle w:val="Text1"/>
        <w:rPr>
          <w:noProof/>
        </w:rPr>
      </w:pPr>
      <w:r>
        <w:rPr>
          <w:noProof/>
        </w:rPr>
        <w:sym w:font="Wingdings" w:char="F0A8"/>
      </w:r>
      <w:r>
        <w:rPr>
          <w:b/>
          <w:i/>
          <w:noProof/>
        </w:rPr>
        <w:t xml:space="preserve"> </w:t>
      </w:r>
      <w:r>
        <w:rPr>
          <w:noProof/>
        </w:rPr>
        <w:t xml:space="preserve">Propunere/inițiativă pe </w:t>
      </w:r>
      <w:r>
        <w:rPr>
          <w:b/>
          <w:noProof/>
        </w:rPr>
        <w:t>durată nedeterminată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în regim de croazieră.</w:t>
      </w:r>
    </w:p>
    <w:p>
      <w:pPr>
        <w:pStyle w:val="ManualHeading2"/>
        <w:rPr>
          <w:bCs/>
          <w:noProof/>
          <w:szCs w:val="24"/>
        </w:rPr>
      </w:pPr>
      <w:r>
        <w:rPr>
          <w:noProof/>
        </w:rPr>
        <w:t>1.7.</w:t>
      </w:r>
      <w:r>
        <w:rPr>
          <w:noProof/>
        </w:rPr>
        <w:tab/>
        <w:t>Modul (modurile) de gestiune preconizat(e)</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sym w:font="Wingdings" w:char="F0A8"/>
      </w:r>
      <w:r>
        <w:rPr>
          <w:noProof/>
        </w:rPr>
        <w:t xml:space="preserve"> prin intermediul serviciilor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7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N/A</w:t>
      </w:r>
    </w:p>
    <w:p>
      <w:pPr>
        <w:pStyle w:val="ManualHeading1"/>
        <w:rPr>
          <w:bCs/>
          <w:noProof/>
          <w:szCs w:val="24"/>
        </w:rPr>
      </w:pPr>
      <w:r>
        <w:rPr>
          <w:noProof/>
        </w:rPr>
        <w:t>2.</w:t>
      </w:r>
      <w:r>
        <w:rPr>
          <w:noProof/>
        </w:rPr>
        <w:tab/>
        <w:t xml:space="preserve">MĂSURI DE GESTIONARE </w:t>
      </w:r>
    </w:p>
    <w:p>
      <w:pPr>
        <w:pStyle w:val="ManualHeading2"/>
        <w:rPr>
          <w:noProof/>
        </w:rPr>
      </w:pPr>
      <w:r>
        <w:rPr>
          <w:noProof/>
        </w:rPr>
        <w:t>2.1.</w:t>
      </w:r>
      <w:r>
        <w:rPr>
          <w:noProof/>
        </w:rPr>
        <w:tab/>
        <w:t xml:space="preserve">Dispoziții în materie de monitorizare și de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2.2.</w:t>
      </w:r>
      <w:r>
        <w:rPr>
          <w:noProof/>
        </w:rPr>
        <w:tab/>
        <w:t xml:space="preserve">Sistemul de gestionare și control </w:t>
      </w:r>
    </w:p>
    <w:p>
      <w:pPr>
        <w:pStyle w:val="ManualHeading3"/>
        <w:rPr>
          <w:noProof/>
        </w:rPr>
      </w:pPr>
      <w:r>
        <w:rPr>
          <w:noProof/>
        </w:rPr>
        <w:t>2.2.1.</w:t>
      </w:r>
      <w:r>
        <w:rPr>
          <w:noProof/>
        </w:rPr>
        <w:tab/>
        <w:t xml:space="preserve">Riscul (riscurile) identificat(e)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2.2.2.</w:t>
      </w:r>
      <w:r>
        <w:rPr>
          <w:noProof/>
        </w:rPr>
        <w:tab/>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noProof/>
        </w:rPr>
      </w:pPr>
      <w:r>
        <w:rPr>
          <w:noProof/>
        </w:rPr>
        <w:t>2.2.3.</w:t>
      </w:r>
      <w:r>
        <w:rPr>
          <w:noProof/>
        </w:rPr>
        <w:tab/>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840"/>
        <w:gridCol w:w="1080"/>
        <w:gridCol w:w="956"/>
        <w:gridCol w:w="1080"/>
        <w:gridCol w:w="956"/>
        <w:gridCol w:w="1448"/>
      </w:tblGrid>
      <w:tr>
        <w:tc>
          <w:tcPr>
            <w:tcW w:w="1200" w:type="dxa"/>
            <w:vMerge w:val="restart"/>
            <w:vAlign w:val="center"/>
          </w:tcPr>
          <w:p>
            <w:pPr>
              <w:spacing w:before="60" w:after="60"/>
              <w:jc w:val="center"/>
              <w:rPr>
                <w:noProof/>
              </w:rPr>
            </w:pPr>
            <w:r>
              <w:rPr>
                <w:noProof/>
                <w:sz w:val="18"/>
              </w:rPr>
              <w:t>Rubrica din cadrul financiar multianual</w:t>
            </w:r>
          </w:p>
        </w:tc>
        <w:tc>
          <w:tcPr>
            <w:tcW w:w="384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Tipul de </w:t>
            </w:r>
            <w:r>
              <w:rPr>
                <w:noProof/>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200" w:type="dxa"/>
            <w:vMerge/>
            <w:vAlign w:val="center"/>
          </w:tcPr>
          <w:p>
            <w:pPr>
              <w:jc w:val="center"/>
              <w:rPr>
                <w:noProof/>
              </w:rPr>
            </w:pPr>
          </w:p>
        </w:tc>
        <w:tc>
          <w:tcPr>
            <w:tcW w:w="3840" w:type="dxa"/>
            <w:vAlign w:val="center"/>
          </w:tcPr>
          <w:p>
            <w:pPr>
              <w:rPr>
                <w:noProof/>
              </w:rPr>
            </w:pPr>
            <w:r>
              <w:rPr>
                <w:noProof/>
                <w:sz w:val="20"/>
              </w:rPr>
              <w:t xml:space="preserve">Număr </w:t>
            </w:r>
            <w:r>
              <w:rPr>
                <w:noProof/>
              </w:rPr>
              <w:br/>
            </w:r>
            <w:r>
              <w:rPr>
                <w:noProof/>
                <w:sz w:val="20"/>
              </w:rPr>
              <w:t>[Rubrica………………………...……………]</w:t>
            </w:r>
          </w:p>
        </w:tc>
        <w:tc>
          <w:tcPr>
            <w:tcW w:w="1080" w:type="dxa"/>
            <w:vAlign w:val="center"/>
          </w:tcPr>
          <w:p>
            <w:pPr>
              <w:jc w:val="center"/>
              <w:rPr>
                <w:noProof/>
              </w:rPr>
            </w:pPr>
            <w:r>
              <w:rPr>
                <w:noProof/>
                <w:sz w:val="18"/>
              </w:rPr>
              <w:t>Dif./Nedif.</w:t>
            </w:r>
            <w:r>
              <w:rPr>
                <w:rStyle w:val="FootnoteReference"/>
                <w:noProof/>
                <w:sz w:val="18"/>
              </w:rPr>
              <w:footnoteReference w:id="10"/>
            </w:r>
            <w:r>
              <w:rPr>
                <w:noProof/>
              </w:rPr>
              <w:t>.</w:t>
            </w:r>
          </w:p>
        </w:tc>
        <w:tc>
          <w:tcPr>
            <w:tcW w:w="956" w:type="dxa"/>
            <w:vAlign w:val="center"/>
          </w:tcPr>
          <w:p>
            <w:pPr>
              <w:jc w:val="center"/>
              <w:rPr>
                <w:noProof/>
              </w:rPr>
            </w:pPr>
            <w:r>
              <w:rPr>
                <w:noProof/>
                <w:sz w:val="18"/>
              </w:rPr>
              <w:t>Țări AELS</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Țări candidate</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200" w:type="dxa"/>
            <w:shd w:val="clear" w:color="auto" w:fill="auto"/>
            <w:vAlign w:val="center"/>
          </w:tcPr>
          <w:p>
            <w:pPr>
              <w:jc w:val="center"/>
              <w:rPr>
                <w:noProof/>
                <w:color w:val="0000FF"/>
              </w:rPr>
            </w:pPr>
            <w:r>
              <w:rPr>
                <w:noProof/>
              </w:rPr>
              <w:t>1 Creștere inteligentă și favorabilă incluziunii</w:t>
            </w:r>
          </w:p>
        </w:tc>
        <w:tc>
          <w:tcPr>
            <w:tcW w:w="3840" w:type="dxa"/>
            <w:vAlign w:val="center"/>
          </w:tcPr>
          <w:p>
            <w:pPr>
              <w:spacing w:after="60"/>
              <w:rPr>
                <w:noProof/>
              </w:rPr>
            </w:pPr>
            <w:r>
              <w:rPr>
                <w:noProof/>
              </w:rPr>
              <w:t>04 02 60 – Fondul social european – Regiuni mai puțin dezvoltate – Obiectivul „Investiții pentru creștere economică și ocuparea forței de muncă”</w:t>
            </w:r>
          </w:p>
          <w:p>
            <w:pPr>
              <w:spacing w:after="60"/>
              <w:rPr>
                <w:noProof/>
              </w:rPr>
            </w:pPr>
            <w:r>
              <w:rPr>
                <w:noProof/>
              </w:rPr>
              <w:t>04 02 61 – Fondul social european – Regiuni de tranziție – Obiectivul „Investiții pentru creștere economică și ocuparea forței de muncă”</w:t>
            </w:r>
          </w:p>
          <w:p>
            <w:pPr>
              <w:spacing w:after="60"/>
              <w:rPr>
                <w:noProof/>
              </w:rPr>
            </w:pPr>
            <w:r>
              <w:rPr>
                <w:noProof/>
              </w:rPr>
              <w:t>04 02 62 – Fondul social european – Regiuni mai dezvoltate – Obiectivul „Investiții pentru creștere economică și ocuparea forței de muncă”</w:t>
            </w:r>
          </w:p>
          <w:p>
            <w:pPr>
              <w:spacing w:after="60"/>
              <w:rPr>
                <w:noProof/>
              </w:rPr>
            </w:pPr>
            <w:r>
              <w:rPr>
                <w:noProof/>
              </w:rPr>
              <w:t>04 02 64 – Inițiativa privind ocuparea forței de muncă în rândul tinerilor (YEI)</w:t>
            </w:r>
          </w:p>
          <w:p>
            <w:pPr>
              <w:spacing w:after="60"/>
              <w:rPr>
                <w:noProof/>
              </w:rPr>
            </w:pPr>
            <w:r>
              <w:rPr>
                <w:noProof/>
              </w:rPr>
              <w:t xml:space="preserve">13 03 60 – Fondul european de dezvoltare regională (FEDR) – Regiuni mai puțin dezvoltate – Obiectivul „Investiții pentru creștere economică și ocuparea forței de muncă” </w:t>
            </w:r>
          </w:p>
          <w:p>
            <w:pPr>
              <w:spacing w:after="60"/>
              <w:rPr>
                <w:noProof/>
              </w:rPr>
            </w:pPr>
            <w:r>
              <w:rPr>
                <w:noProof/>
              </w:rPr>
              <w:t xml:space="preserve">13 03 61 – Fondul european de dezvoltare regională (FEDR) – Regiuni în tranziție – Obiectivul „Investiții pentru creștere economică și ocuparea forței de muncă” </w:t>
            </w:r>
          </w:p>
          <w:p>
            <w:pPr>
              <w:spacing w:after="60"/>
              <w:rPr>
                <w:noProof/>
              </w:rPr>
            </w:pPr>
            <w:r>
              <w:rPr>
                <w:noProof/>
              </w:rPr>
              <w:t xml:space="preserve">13 03 62 – Fondul european de dezvoltare regională (FEDR) – Regiuni mai dezvoltate – Obiectivul „Investiții pentru creștere economică și ocuparea forței de muncă” </w:t>
            </w:r>
          </w:p>
          <w:p>
            <w:pPr>
              <w:spacing w:after="60"/>
              <w:rPr>
                <w:bCs/>
                <w:iCs/>
                <w:noProof/>
              </w:rPr>
            </w:pPr>
            <w:r>
              <w:rPr>
                <w:noProof/>
              </w:rPr>
              <w:t>13 03 63 – Fondul european de dezvoltare regională (FEDR) – Alocări suplimentare pentru regiunile ultraperiferice și slab populate – Obiectivul „Investiții pentru creștere economică și ocuparea forței de muncă”</w:t>
            </w:r>
          </w:p>
          <w:p>
            <w:pPr>
              <w:spacing w:after="60"/>
              <w:rPr>
                <w:bCs/>
                <w:iCs/>
                <w:noProof/>
              </w:rPr>
            </w:pPr>
            <w:r>
              <w:rPr>
                <w:noProof/>
              </w:rPr>
              <w:t>13 03 64 01 – Fondul european de dezvoltare regională (FEDR) – Cooperare teritorială europeană</w:t>
            </w:r>
          </w:p>
          <w:p>
            <w:pPr>
              <w:spacing w:after="60"/>
              <w:rPr>
                <w:noProof/>
              </w:rPr>
            </w:pPr>
            <w:r>
              <w:rPr>
                <w:noProof/>
              </w:rPr>
              <w:t>13 04 60 – Fondul de coeziune – Obiectivul „Investiții pentru creștere economică și ocuparea forței de muncă”</w:t>
            </w:r>
          </w:p>
        </w:tc>
        <w:tc>
          <w:tcPr>
            <w:tcW w:w="1080" w:type="dxa"/>
            <w:vAlign w:val="center"/>
          </w:tcPr>
          <w:p>
            <w:pPr>
              <w:jc w:val="center"/>
              <w:rPr>
                <w:noProof/>
                <w:color w:val="0000FF"/>
              </w:rPr>
            </w:pPr>
            <w:r>
              <w:rPr>
                <w:noProof/>
              </w:rPr>
              <w:t>Dif.</w:t>
            </w:r>
          </w:p>
        </w:tc>
        <w:tc>
          <w:tcPr>
            <w:tcW w:w="956" w:type="dxa"/>
            <w:vAlign w:val="center"/>
          </w:tcPr>
          <w:p>
            <w:pPr>
              <w:jc w:val="center"/>
              <w:rPr>
                <w:noProof/>
              </w:rPr>
            </w:pPr>
            <w:r>
              <w:rPr>
                <w:noProof/>
              </w:rPr>
              <w:t>NU</w:t>
            </w:r>
          </w:p>
        </w:tc>
        <w:tc>
          <w:tcPr>
            <w:tcW w:w="1080" w:type="dxa"/>
            <w:vAlign w:val="center"/>
          </w:tcPr>
          <w:p>
            <w:pPr>
              <w:jc w:val="center"/>
              <w:rPr>
                <w:noProof/>
              </w:rPr>
            </w:pPr>
            <w:r>
              <w:rPr>
                <w:noProof/>
              </w:rPr>
              <w:t>NU</w:t>
            </w:r>
          </w:p>
        </w:tc>
        <w:tc>
          <w:tcPr>
            <w:tcW w:w="956" w:type="dxa"/>
            <w:vAlign w:val="center"/>
          </w:tcPr>
          <w:p>
            <w:pPr>
              <w:jc w:val="center"/>
              <w:rPr>
                <w:noProof/>
              </w:rPr>
            </w:pPr>
            <w:r>
              <w:rPr>
                <w:noProof/>
              </w:rPr>
              <w:t>NU</w:t>
            </w:r>
          </w:p>
        </w:tc>
        <w:tc>
          <w:tcPr>
            <w:tcW w:w="1448" w:type="dxa"/>
            <w:vAlign w:val="center"/>
          </w:tcPr>
          <w:p>
            <w:pPr>
              <w:jc w:val="center"/>
              <w:rPr>
                <w:noProof/>
              </w:rPr>
            </w:pPr>
            <w:r>
              <w:rPr>
                <w:noProof/>
              </w:rPr>
              <w:t>NU</w:t>
            </w:r>
          </w:p>
        </w:tc>
      </w:tr>
    </w:tbl>
    <w:p>
      <w:pPr>
        <w:rPr>
          <w:noProof/>
        </w:rPr>
      </w:pPr>
    </w:p>
    <w:p>
      <w:pPr>
        <w:pStyle w:val="ListBullet1"/>
        <w:rPr>
          <w:noProof/>
        </w:rPr>
      </w:pPr>
      <w:r>
        <w:rPr>
          <w:noProof/>
        </w:rPr>
        <w:t xml:space="preserve">Noile linii bugetare solicitate </w:t>
      </w:r>
    </w:p>
    <w:p>
      <w:pPr>
        <w:pStyle w:val="Text1"/>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w:t>
            </w:r>
            <w:r>
              <w:rPr>
                <w:noProof/>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 </w:t>
            </w:r>
            <w:r>
              <w:rPr>
                <w:noProof/>
              </w:rPr>
              <w:br/>
            </w:r>
            <w:r>
              <w:rPr>
                <w:noProof/>
                <w:sz w:val="20"/>
              </w:rPr>
              <w:t>[Rubrica………………………………………]</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Țări AELS</w:t>
            </w:r>
          </w:p>
        </w:tc>
        <w:tc>
          <w:tcPr>
            <w:tcW w:w="1080" w:type="dxa"/>
            <w:vAlign w:val="center"/>
          </w:tcPr>
          <w:p>
            <w:pPr>
              <w:jc w:val="center"/>
              <w:rPr>
                <w:noProof/>
                <w:sz w:val="18"/>
              </w:rPr>
            </w:pPr>
            <w:r>
              <w:rPr>
                <w:noProof/>
                <w:sz w:val="18"/>
              </w:rPr>
              <w:t>Țări candidate</w:t>
            </w: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DA/NU</w:t>
            </w:r>
          </w:p>
        </w:tc>
        <w:tc>
          <w:tcPr>
            <w:tcW w:w="1080" w:type="dxa"/>
            <w:vAlign w:val="center"/>
          </w:tcPr>
          <w:p>
            <w:pPr>
              <w:jc w:val="center"/>
              <w:rPr>
                <w:noProof/>
                <w:color w:val="0000FF"/>
                <w:sz w:val="18"/>
              </w:rPr>
            </w:pPr>
            <w:r>
              <w:rPr>
                <w:noProof/>
              </w:rPr>
              <w:t>DA/NU</w:t>
            </w:r>
          </w:p>
        </w:tc>
        <w:tc>
          <w:tcPr>
            <w:tcW w:w="956" w:type="dxa"/>
            <w:vAlign w:val="center"/>
          </w:tcPr>
          <w:p>
            <w:pPr>
              <w:jc w:val="center"/>
              <w:rPr>
                <w:noProof/>
                <w:color w:val="0000FF"/>
                <w:sz w:val="18"/>
              </w:rPr>
            </w:pPr>
            <w:r>
              <w:rPr>
                <w:noProof/>
              </w:rPr>
              <w:t>DA/NU</w:t>
            </w:r>
          </w:p>
        </w:tc>
        <w:tc>
          <w:tcPr>
            <w:tcW w:w="1448" w:type="dxa"/>
            <w:vAlign w:val="center"/>
          </w:tcPr>
          <w:p>
            <w:pPr>
              <w:jc w:val="center"/>
              <w:rPr>
                <w:noProof/>
              </w:rPr>
            </w:pPr>
            <w:r>
              <w:rPr>
                <w:noProof/>
              </w:rPr>
              <w:t>DA/NU</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Impactul estimat asupra cheltuielilor </w:t>
      </w:r>
    </w:p>
    <w:p>
      <w:pPr>
        <w:pBdr>
          <w:top w:val="nil"/>
          <w:left w:val="nil"/>
          <w:bottom w:val="nil"/>
          <w:right w:val="nil"/>
          <w:between w:val="nil"/>
          <w:bar w:val="nil"/>
        </w:pBdr>
        <w:spacing w:before="0" w:after="240"/>
        <w:rPr>
          <w:noProof/>
        </w:rPr>
      </w:pPr>
      <w:r>
        <w:rPr>
          <w:noProof/>
        </w:rPr>
        <w:t xml:space="preserve">Creditele de angajament destinate alocării specifice pentru YEI pentru 2018 ar trebui majorate cu 116,7 milioane EUR în prețuri curente, iar suma pentru 2020 ar trebui să fie redusă cu aceeași valoare. Creditele de plată au fost ajustate în consecință. </w:t>
      </w:r>
    </w:p>
    <w:p>
      <w:pPr>
        <w:pStyle w:val="ManualHeading3"/>
        <w:rPr>
          <w:noProof/>
          <w:u w:val="single"/>
        </w:rPr>
      </w:pPr>
      <w:r>
        <w:rPr>
          <w:noProof/>
        </w:rPr>
        <w:t>3.2.1.</w:t>
      </w:r>
      <w:r>
        <w:rPr>
          <w:noProof/>
        </w:rPr>
        <w:tab/>
        <w:t xml:space="preserve">Sinteza impactului estimat asupra cheltuielilor </w:t>
      </w:r>
    </w:p>
    <w:p>
      <w:pPr>
        <w:jc w:val="right"/>
        <w:rPr>
          <w:noProof/>
          <w:sz w:val="20"/>
        </w:rPr>
      </w:pPr>
      <w:r>
        <w:rPr>
          <w:noProof/>
          <w:sz w:val="20"/>
        </w:rPr>
        <w:t xml:space="preserve">EUR în prețuri curente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Rubrica din cadrul financiar </w:t>
            </w:r>
            <w:r>
              <w:rPr>
                <w:noProof/>
              </w:rPr>
              <w:br/>
            </w:r>
            <w:r>
              <w:rPr>
                <w:b/>
                <w:noProof/>
              </w:rPr>
              <w:t xml:space="preserve">multianual </w:t>
            </w:r>
          </w:p>
        </w:tc>
        <w:tc>
          <w:tcPr>
            <w:tcW w:w="1080" w:type="dxa"/>
            <w:vAlign w:val="center"/>
          </w:tcPr>
          <w:p>
            <w:pPr>
              <w:spacing w:before="60" w:after="60"/>
              <w:jc w:val="center"/>
              <w:rPr>
                <w:noProof/>
              </w:rPr>
            </w:pPr>
            <w:r>
              <w:rPr>
                <w:noProof/>
                <w:sz w:val="22"/>
              </w:rPr>
              <w:t>Numărul</w:t>
            </w:r>
          </w:p>
          <w:p>
            <w:pPr>
              <w:spacing w:before="60" w:after="60"/>
              <w:jc w:val="center"/>
              <w:rPr>
                <w:noProof/>
              </w:rPr>
            </w:pPr>
            <w:r>
              <w:rPr>
                <w:noProof/>
                <w:sz w:val="22"/>
              </w:rPr>
              <w:t>1</w:t>
            </w:r>
          </w:p>
        </w:tc>
        <w:tc>
          <w:tcPr>
            <w:tcW w:w="7817" w:type="dxa"/>
            <w:vAlign w:val="center"/>
          </w:tcPr>
          <w:p>
            <w:pPr>
              <w:spacing w:before="60" w:after="60"/>
              <w:rPr>
                <w:noProof/>
              </w:rPr>
            </w:pPr>
            <w:r>
              <w:rPr>
                <w:noProof/>
              </w:rPr>
              <w:t>Creștere inteligentă și favorabilă incluziunii</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DG: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13"/>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TOTAL</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Credite operaționale </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Coeziune economică, socială și teritorială</w:t>
            </w:r>
          </w:p>
          <w:p>
            <w:pPr>
              <w:spacing w:before="60"/>
              <w:rPr>
                <w:noProof/>
              </w:rPr>
            </w:pPr>
            <w:r>
              <w:rPr>
                <w:noProof/>
                <w:sz w:val="21"/>
              </w:rPr>
              <w:t>Fondul european de dezvoltare regională, Fondul social european, Fondul de coeziune</w:t>
            </w:r>
          </w:p>
        </w:tc>
        <w:tc>
          <w:tcPr>
            <w:tcW w:w="3119" w:type="dxa"/>
            <w:vAlign w:val="center"/>
          </w:tcPr>
          <w:p>
            <w:pPr>
              <w:spacing w:before="20" w:after="20"/>
              <w:rPr>
                <w:noProof/>
                <w:sz w:val="18"/>
              </w:rPr>
            </w:pPr>
            <w:r>
              <w:rPr>
                <w:noProof/>
                <w:sz w:val="18"/>
              </w:rPr>
              <w:t xml:space="preserve">Angajamente </w:t>
            </w:r>
          </w:p>
          <w:p>
            <w:pPr>
              <w:spacing w:before="20" w:after="20"/>
              <w:rPr>
                <w:noProof/>
                <w:sz w:val="18"/>
              </w:rPr>
            </w:pPr>
          </w:p>
          <w:p>
            <w:pPr>
              <w:spacing w:before="20" w:after="20"/>
              <w:rPr>
                <w:noProof/>
                <w:sz w:val="18"/>
              </w:rPr>
            </w:pPr>
          </w:p>
          <w:p>
            <w:pPr>
              <w:spacing w:after="60"/>
              <w:rPr>
                <w:noProof/>
              </w:rPr>
            </w:pPr>
            <w:r>
              <w:rPr>
                <w:noProof/>
              </w:rPr>
              <w:t>04 02 60 – Fondul social european – Regiuni mai puțin dezvoltate – Obiectivul „Investiții pentru creștere economică și ocuparea forței de muncă”</w:t>
            </w:r>
          </w:p>
          <w:p>
            <w:pPr>
              <w:spacing w:before="20" w:after="20"/>
              <w:rPr>
                <w:noProof/>
                <w:sz w:val="18"/>
              </w:rPr>
            </w:pPr>
          </w:p>
          <w:p>
            <w:pPr>
              <w:spacing w:after="60"/>
              <w:rPr>
                <w:noProof/>
              </w:rPr>
            </w:pPr>
            <w:r>
              <w:rPr>
                <w:noProof/>
              </w:rPr>
              <w:t>04 02 61 – Fondul social european – Regiuni de tranziție – Obiectivul „Investiții pentru creștere economică și ocuparea forței de muncă”</w:t>
            </w:r>
          </w:p>
          <w:p>
            <w:pPr>
              <w:spacing w:before="20" w:after="20"/>
              <w:rPr>
                <w:noProof/>
                <w:sz w:val="18"/>
              </w:rPr>
            </w:pPr>
          </w:p>
          <w:p>
            <w:pPr>
              <w:spacing w:after="60"/>
              <w:rPr>
                <w:noProof/>
              </w:rPr>
            </w:pPr>
            <w:r>
              <w:rPr>
                <w:noProof/>
              </w:rPr>
              <w:t xml:space="preserve">04 02 62 – Fondul social european – Regiuni mai dezvoltate – Obiectivul „Investiții pentru creștere economică și ocuparea forței de muncă” </w:t>
            </w:r>
          </w:p>
          <w:p>
            <w:pPr>
              <w:spacing w:after="60"/>
              <w:rPr>
                <w:noProof/>
              </w:rPr>
            </w:pPr>
            <w:r>
              <w:rPr>
                <w:noProof/>
              </w:rPr>
              <w:t>04 02 64 – Inițiativa privind ocuparea forței de muncă în rândul tinerilor (YEI)</w:t>
            </w:r>
          </w:p>
          <w:p>
            <w:pPr>
              <w:spacing w:before="20" w:after="20"/>
              <w:rPr>
                <w:noProof/>
                <w:sz w:val="18"/>
              </w:rPr>
            </w:pPr>
          </w:p>
          <w:p>
            <w:pPr>
              <w:spacing w:after="60"/>
              <w:rPr>
                <w:noProof/>
              </w:rPr>
            </w:pPr>
            <w:r>
              <w:rPr>
                <w:noProof/>
              </w:rPr>
              <w:t xml:space="preserve">13 03 60 – Fondul european de dezvoltare regională (FEDR) – Regiuni mai puțin dezvoltate – Obiectivul „Investiții pentru creștere economică și ocuparea forței de muncă” </w:t>
            </w:r>
          </w:p>
          <w:p>
            <w:pPr>
              <w:spacing w:before="20" w:after="20"/>
              <w:rPr>
                <w:noProof/>
                <w:sz w:val="18"/>
              </w:rPr>
            </w:pPr>
          </w:p>
          <w:p>
            <w:pPr>
              <w:spacing w:after="60"/>
              <w:rPr>
                <w:noProof/>
              </w:rPr>
            </w:pPr>
            <w:r>
              <w:rPr>
                <w:noProof/>
              </w:rPr>
              <w:t xml:space="preserve">13 03 61 – Fondul european de dezvoltare regională (FEDR) – Regiuni în tranziție – Obiectivul „Investiții pentru creștere economică și ocuparea forței de muncă” </w:t>
            </w:r>
          </w:p>
          <w:p>
            <w:pPr>
              <w:spacing w:after="60"/>
              <w:rPr>
                <w:noProof/>
              </w:rPr>
            </w:pPr>
            <w:r>
              <w:rPr>
                <w:noProof/>
              </w:rPr>
              <w:t xml:space="preserve">13 03 62 – Fondul european de dezvoltare regională (FEDR) – Regiuni mai dezvoltate – Obiectivul „Investiții pentru creștere economică și ocuparea forței de muncă” </w:t>
            </w:r>
          </w:p>
          <w:p>
            <w:pPr>
              <w:spacing w:before="20" w:after="20"/>
              <w:rPr>
                <w:noProof/>
                <w:sz w:val="18"/>
              </w:rPr>
            </w:pPr>
          </w:p>
          <w:p>
            <w:pPr>
              <w:spacing w:after="60"/>
              <w:rPr>
                <w:noProof/>
                <w:sz w:val="18"/>
              </w:rPr>
            </w:pPr>
            <w:r>
              <w:rPr>
                <w:noProof/>
              </w:rPr>
              <w:t>13 04 60 – Fondul de coeziune – Obiectivul „Investiții pentru creștere economică și ocuparea forței de muncă”</w:t>
            </w: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237 320 881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237 320 880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-26 071 285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256 495 412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89 076 479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350 000 000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256 495 411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89 076 479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-26 592 711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246 908 645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246 908 645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-27 124 565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116 666 667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-27 667 056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1 200 000 000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978 143 469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-107 455 617</w:t>
            </w:r>
          </w:p>
        </w:tc>
      </w:tr>
    </w:tbl>
    <w:p>
      <w:pPr>
        <w:rPr>
          <w:noProof/>
        </w:rPr>
      </w:pPr>
      <w:r>
        <w:rPr>
          <w:noProof/>
        </w:rPr>
        <w:br w:type="page"/>
      </w:r>
    </w:p>
    <w:p>
      <w:pPr>
        <w:rPr>
          <w:noProof/>
        </w:rPr>
      </w:pPr>
    </w:p>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077"/>
        <w:gridCol w:w="42"/>
        <w:gridCol w:w="425"/>
        <w:gridCol w:w="567"/>
        <w:gridCol w:w="709"/>
        <w:gridCol w:w="567"/>
        <w:gridCol w:w="1417"/>
        <w:gridCol w:w="1418"/>
        <w:gridCol w:w="1417"/>
        <w:gridCol w:w="1418"/>
        <w:gridCol w:w="1417"/>
      </w:tblGrid>
      <w:tr>
        <w:trPr>
          <w:trHeight w:val="85"/>
        </w:trPr>
        <w:tc>
          <w:tcPr>
            <w:tcW w:w="2203" w:type="dxa"/>
          </w:tcPr>
          <w:p>
            <w:pPr>
              <w:jc w:val="center"/>
              <w:rPr>
                <w:noProof/>
                <w:sz w:val="20"/>
              </w:rPr>
            </w:pPr>
            <w:r>
              <w:rPr>
                <w:noProof/>
              </w:rPr>
              <w:br w:type="page"/>
            </w:r>
          </w:p>
        </w:tc>
        <w:tc>
          <w:tcPr>
            <w:tcW w:w="3119" w:type="dxa"/>
            <w:gridSpan w:val="2"/>
            <w:vAlign w:val="center"/>
          </w:tcPr>
          <w:p>
            <w:pPr>
              <w:spacing w:before="20" w:after="20"/>
              <w:rPr>
                <w:noProof/>
                <w:sz w:val="18"/>
              </w:rPr>
            </w:pPr>
            <w:r>
              <w:rPr>
                <w:noProof/>
                <w:sz w:val="18"/>
              </w:rPr>
              <w:t xml:space="preserve">Plăți </w:t>
            </w:r>
          </w:p>
          <w:p>
            <w:pPr>
              <w:spacing w:after="60"/>
              <w:rPr>
                <w:noProof/>
              </w:rPr>
            </w:pPr>
            <w:r>
              <w:rPr>
                <w:noProof/>
              </w:rPr>
              <w:t>04 02 60 – Fondul social european – Regiuni mai puțin dezvoltate – Obiectivul „Investiții pentru creștere economică și ocuparea forței de muncă”</w:t>
            </w:r>
          </w:p>
          <w:p>
            <w:pPr>
              <w:spacing w:after="60"/>
              <w:rPr>
                <w:noProof/>
              </w:rPr>
            </w:pPr>
          </w:p>
          <w:p>
            <w:pPr>
              <w:spacing w:after="60"/>
              <w:rPr>
                <w:noProof/>
              </w:rPr>
            </w:pPr>
            <w:r>
              <w:rPr>
                <w:noProof/>
              </w:rPr>
              <w:t>04 02 61 – Fondul social european – Regiuni de tranziție – Obiectivul „Investiții pentru creștere economică și ocuparea forței de muncă”</w:t>
            </w:r>
          </w:p>
          <w:p>
            <w:pPr>
              <w:spacing w:after="60"/>
              <w:rPr>
                <w:noProof/>
              </w:rPr>
            </w:pPr>
          </w:p>
          <w:p>
            <w:pPr>
              <w:spacing w:after="60"/>
              <w:rPr>
                <w:noProof/>
              </w:rPr>
            </w:pPr>
            <w:r>
              <w:rPr>
                <w:noProof/>
              </w:rPr>
              <w:t xml:space="preserve">04 02 62 – Fondul social european – Regiuni mai dezvoltate – Obiectivul „Investiții pentru creștere economică și ocuparea forței de muncă” </w:t>
            </w:r>
          </w:p>
          <w:p>
            <w:pPr>
              <w:spacing w:after="60"/>
              <w:rPr>
                <w:noProof/>
              </w:rPr>
            </w:pPr>
          </w:p>
          <w:p>
            <w:pPr>
              <w:spacing w:after="60"/>
              <w:rPr>
                <w:noProof/>
              </w:rPr>
            </w:pPr>
            <w:r>
              <w:rPr>
                <w:noProof/>
              </w:rPr>
              <w:t>04 02 64 – Inițiativa privind ocuparea forței de muncă în rândul tinerilor (YEI)</w:t>
            </w:r>
          </w:p>
          <w:p>
            <w:pPr>
              <w:spacing w:after="60"/>
              <w:rPr>
                <w:noProof/>
              </w:rPr>
            </w:pPr>
          </w:p>
          <w:p>
            <w:pPr>
              <w:spacing w:after="60"/>
              <w:rPr>
                <w:noProof/>
              </w:rPr>
            </w:pPr>
            <w:r>
              <w:rPr>
                <w:noProof/>
              </w:rPr>
              <w:t xml:space="preserve">13 03 60 – Fondul european de dezvoltare regională (FEDR) – Regiuni mai puțin dezvoltate – Obiectivul „Investiții pentru creștere economică și ocuparea forței de muncă” </w:t>
            </w:r>
          </w:p>
          <w:p>
            <w:pPr>
              <w:spacing w:after="60"/>
              <w:rPr>
                <w:noProof/>
              </w:rPr>
            </w:pPr>
          </w:p>
          <w:p>
            <w:pPr>
              <w:spacing w:after="60"/>
              <w:rPr>
                <w:noProof/>
              </w:rPr>
            </w:pPr>
            <w:r>
              <w:rPr>
                <w:noProof/>
              </w:rPr>
              <w:t xml:space="preserve">13 03 61 – Fondul european de dezvoltare regională (FEDR) – Regiuni în tranziție – Obiectivul „Investiții pentru creștere economică și ocuparea forței de muncă” </w:t>
            </w:r>
          </w:p>
          <w:p>
            <w:pPr>
              <w:spacing w:after="60"/>
              <w:rPr>
                <w:noProof/>
              </w:rPr>
            </w:pPr>
          </w:p>
          <w:p>
            <w:pPr>
              <w:spacing w:after="60"/>
              <w:rPr>
                <w:noProof/>
              </w:rPr>
            </w:pPr>
            <w:r>
              <w:rPr>
                <w:noProof/>
              </w:rPr>
              <w:t xml:space="preserve">13 03 62 – Fondul european de dezvoltare regională (FEDR) – Regiuni mai dezvoltate – Obiectivul „Investiții pentru creștere economică și ocuparea forței de muncă” </w:t>
            </w:r>
          </w:p>
          <w:p>
            <w:pPr>
              <w:spacing w:after="60"/>
              <w:rPr>
                <w:noProof/>
              </w:rPr>
            </w:pPr>
          </w:p>
          <w:p>
            <w:pPr>
              <w:spacing w:after="60"/>
              <w:rPr>
                <w:bCs/>
                <w:iCs/>
                <w:noProof/>
              </w:rPr>
            </w:pPr>
            <w:r>
              <w:rPr>
                <w:noProof/>
              </w:rPr>
              <w:t>13 03 63 – Fondul european de dezvoltare regională (FEDR) – Alocări suplimentare pentru regiunile ultraperiferice și slab populate – Obiectivul „Investiții pentru creștere economică și ocuparea forței de muncă”</w:t>
            </w:r>
          </w:p>
          <w:p>
            <w:pPr>
              <w:spacing w:after="60"/>
              <w:rPr>
                <w:bCs/>
                <w:iCs/>
                <w:noProof/>
              </w:rPr>
            </w:pPr>
          </w:p>
          <w:p>
            <w:pPr>
              <w:spacing w:after="60"/>
              <w:rPr>
                <w:bCs/>
                <w:iCs/>
                <w:noProof/>
              </w:rPr>
            </w:pPr>
            <w:r>
              <w:rPr>
                <w:noProof/>
              </w:rPr>
              <w:t>13 03 64 01 – Fondul european de dezvoltare regională (FEDR) – Cooperare teritorială europeană</w:t>
            </w:r>
          </w:p>
          <w:p>
            <w:pPr>
              <w:spacing w:after="60"/>
              <w:rPr>
                <w:bCs/>
                <w:iCs/>
                <w:noProof/>
              </w:rPr>
            </w:pPr>
          </w:p>
          <w:p>
            <w:pPr>
              <w:spacing w:after="60"/>
              <w:rPr>
                <w:noProof/>
                <w:sz w:val="18"/>
              </w:rPr>
            </w:pPr>
            <w:r>
              <w:rPr>
                <w:noProof/>
              </w:rPr>
              <w:t>13 04 60 – Fondul de coeziune – Obiectivul „Investiții pentru creștere economică și ocuparea forței de muncă”</w:t>
            </w:r>
          </w:p>
        </w:tc>
        <w:tc>
          <w:tcPr>
            <w:tcW w:w="425" w:type="dxa"/>
            <w:vAlign w:val="center"/>
          </w:tcPr>
          <w:p>
            <w:pPr>
              <w:spacing w:before="20" w:after="20"/>
              <w:jc w:val="center"/>
              <w:rPr>
                <w:noProof/>
                <w:sz w:val="14"/>
              </w:rPr>
            </w:pPr>
            <w:r>
              <w:rPr>
                <w:noProof/>
                <w:sz w:val="14"/>
              </w:rPr>
              <w:t>(2)</w:t>
            </w:r>
          </w:p>
        </w:tc>
        <w:tc>
          <w:tcPr>
            <w:tcW w:w="567" w:type="dxa"/>
            <w:vAlign w:val="center"/>
          </w:tcPr>
          <w:p>
            <w:pPr>
              <w:spacing w:before="20" w:after="20"/>
              <w:rPr>
                <w:noProof/>
                <w:sz w:val="20"/>
              </w:rPr>
            </w:pPr>
          </w:p>
        </w:tc>
        <w:tc>
          <w:tcPr>
            <w:tcW w:w="709" w:type="dxa"/>
            <w:vAlign w:val="center"/>
          </w:tcPr>
          <w:p>
            <w:pPr>
              <w:spacing w:before="20" w:after="20"/>
              <w:rPr>
                <w:noProof/>
                <w:sz w:val="20"/>
              </w:rPr>
            </w:pPr>
          </w:p>
        </w:tc>
        <w:tc>
          <w:tcPr>
            <w:tcW w:w="567" w:type="dxa"/>
            <w:vAlign w:val="center"/>
          </w:tcPr>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85 000 000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418"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25 285 013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26 792 094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9 304 437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329 000 000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25 285 013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26 792 094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9 304 437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-2 777 728</w:t>
            </w:r>
          </w:p>
          <w:p>
            <w:pPr>
              <w:spacing w:before="20" w:after="20"/>
              <w:rPr>
                <w:noProof/>
                <w:sz w:val="20"/>
              </w:rPr>
            </w:pPr>
          </w:p>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center"/>
              <w:rPr>
                <w:noProof/>
                <w:sz w:val="20"/>
              </w:rPr>
            </w:pPr>
            <w:r>
              <w:rPr>
                <w:noProof/>
                <w:sz w:val="20"/>
              </w:rPr>
              <w:t>231 000 000</w:t>
            </w: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-5 590 378</w:t>
            </w:r>
          </w:p>
        </w:tc>
        <w:tc>
          <w:tcPr>
            <w:tcW w:w="1418"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108 495 693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114 962 440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39 924 494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175 000 000</w:t>
            </w:r>
          </w:p>
          <w:p>
            <w:pPr>
              <w:spacing w:before="20" w:after="20"/>
              <w:jc w:val="right"/>
              <w:rPr>
                <w:b/>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108 495 693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114 962 440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39 924 493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-11 918 977</w:t>
            </w:r>
          </w:p>
        </w:tc>
        <w:tc>
          <w:tcPr>
            <w:tcW w:w="1417"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184 668 629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195 675 567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67 954 785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820 000 000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184 668 629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195 675 567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67 954 785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-20 287 083</w:t>
            </w:r>
          </w:p>
        </w:tc>
      </w:tr>
      <w:tr>
        <w:trPr>
          <w:trHeight w:val="231"/>
        </w:trPr>
        <w:tc>
          <w:tcPr>
            <w:tcW w:w="5747" w:type="dxa"/>
            <w:gridSpan w:val="4"/>
            <w:vAlign w:val="center"/>
          </w:tcPr>
          <w:p>
            <w:pPr>
              <w:spacing w:before="20" w:after="20"/>
              <w:rPr>
                <w:noProof/>
              </w:rPr>
            </w:pPr>
            <w:r>
              <w:rPr>
                <w:noProof/>
                <w:sz w:val="21"/>
              </w:rPr>
              <w:t>Credite cu caracter administrativ finanțate din bugetul unor programe specifice</w:t>
            </w:r>
            <w:r>
              <w:rPr>
                <w:rStyle w:val="FootnoteReference"/>
                <w:noProof/>
                <w:sz w:val="21"/>
              </w:rPr>
              <w:footnoteReference w:id="14"/>
            </w:r>
            <w:r>
              <w:rPr>
                <w:noProof/>
                <w:sz w:val="21"/>
              </w:rPr>
              <w:t xml:space="preserve"> </w:t>
            </w:r>
          </w:p>
          <w:p>
            <w:pPr>
              <w:spacing w:before="0" w:after="0"/>
              <w:rPr>
                <w:noProof/>
              </w:rPr>
            </w:pPr>
          </w:p>
        </w:tc>
        <w:tc>
          <w:tcPr>
            <w:tcW w:w="567" w:type="dxa"/>
            <w:vAlign w:val="center"/>
          </w:tcPr>
          <w:p>
            <w:pPr>
              <w:rPr>
                <w:b/>
                <w:noProof/>
                <w:sz w:val="20"/>
              </w:rPr>
            </w:pPr>
          </w:p>
        </w:tc>
        <w:tc>
          <w:tcPr>
            <w:tcW w:w="709" w:type="dxa"/>
            <w:vAlign w:val="center"/>
          </w:tcPr>
          <w:p>
            <w:pPr>
              <w:rPr>
                <w:b/>
                <w:noProof/>
                <w:sz w:val="20"/>
              </w:rPr>
            </w:pPr>
          </w:p>
        </w:tc>
        <w:tc>
          <w:tcPr>
            <w:tcW w:w="567"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r>
      <w:tr>
        <w:trPr>
          <w:trHeight w:val="319"/>
        </w:trPr>
        <w:tc>
          <w:tcPr>
            <w:tcW w:w="2203" w:type="dxa"/>
            <w:vAlign w:val="center"/>
          </w:tcPr>
          <w:p>
            <w:pPr>
              <w:spacing w:before="60" w:after="60"/>
              <w:rPr>
                <w:noProof/>
              </w:rPr>
            </w:pPr>
            <w:r>
              <w:rPr>
                <w:noProof/>
                <w:sz w:val="20"/>
              </w:rPr>
              <w:t>N/A</w:t>
            </w:r>
          </w:p>
        </w:tc>
        <w:tc>
          <w:tcPr>
            <w:tcW w:w="3077" w:type="dxa"/>
            <w:vAlign w:val="center"/>
          </w:tcPr>
          <w:p>
            <w:pPr>
              <w:spacing w:before="40" w:after="40"/>
              <w:jc w:val="right"/>
              <w:rPr>
                <w:noProof/>
                <w:sz w:val="18"/>
              </w:rPr>
            </w:pPr>
          </w:p>
        </w:tc>
        <w:tc>
          <w:tcPr>
            <w:tcW w:w="467" w:type="dxa"/>
            <w:gridSpan w:val="2"/>
            <w:vAlign w:val="center"/>
          </w:tcPr>
          <w:p>
            <w:pPr>
              <w:spacing w:before="40" w:after="40"/>
              <w:jc w:val="center"/>
              <w:rPr>
                <w:noProof/>
                <w:sz w:val="14"/>
              </w:rPr>
            </w:pPr>
            <w:r>
              <w:rPr>
                <w:noProof/>
                <w:sz w:val="14"/>
              </w:rPr>
              <w:t>(3)</w:t>
            </w:r>
          </w:p>
        </w:tc>
        <w:tc>
          <w:tcPr>
            <w:tcW w:w="567"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TOTAL credite</w:t>
            </w:r>
            <w:r>
              <w:rPr>
                <w:noProof/>
              </w:rPr>
              <w:br/>
            </w:r>
            <w:r>
              <w:rPr>
                <w:b/>
                <w:noProof/>
                <w:sz w:val="22"/>
              </w:rPr>
              <w:t xml:space="preserve">pentru DG </w:t>
            </w:r>
            <w:r>
              <w:rPr>
                <w:noProof/>
              </w:rPr>
              <w:t xml:space="preserve">EMPL, REGIO </w:t>
            </w:r>
          </w:p>
        </w:tc>
        <w:tc>
          <w:tcPr>
            <w:tcW w:w="3077" w:type="dxa"/>
            <w:vAlign w:val="center"/>
          </w:tcPr>
          <w:p>
            <w:pPr>
              <w:rPr>
                <w:noProof/>
                <w:sz w:val="18"/>
              </w:rPr>
            </w:pPr>
            <w:r>
              <w:rPr>
                <w:noProof/>
                <w:sz w:val="18"/>
              </w:rPr>
              <w:t>Angajamente</w:t>
            </w:r>
          </w:p>
        </w:tc>
        <w:tc>
          <w:tcPr>
            <w:tcW w:w="467" w:type="dxa"/>
            <w:gridSpan w:val="2"/>
            <w:vAlign w:val="center"/>
          </w:tcPr>
          <w:p>
            <w:pPr>
              <w:jc w:val="center"/>
              <w:rPr>
                <w:noProof/>
                <w:sz w:val="14"/>
              </w:rPr>
            </w:pPr>
            <w:r>
              <w:rPr>
                <w:noProof/>
                <w:sz w:val="14"/>
              </w:rPr>
              <w:t>=1+1a +3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1 626 162 416</w:t>
            </w:r>
          </w:p>
        </w:tc>
        <w:tc>
          <w:tcPr>
            <w:tcW w:w="1418" w:type="dxa"/>
            <w:vAlign w:val="center"/>
          </w:tcPr>
          <w:p>
            <w:pPr>
              <w:spacing w:before="20" w:after="20"/>
              <w:jc w:val="right"/>
              <w:rPr>
                <w:noProof/>
                <w:sz w:val="20"/>
              </w:rPr>
            </w:pPr>
            <w:r>
              <w:rPr>
                <w:noProof/>
                <w:sz w:val="20"/>
              </w:rPr>
              <w:t>1 498 685 668</w:t>
            </w:r>
          </w:p>
          <w:p>
            <w:pPr>
              <w:spacing w:before="20" w:after="20"/>
              <w:jc w:val="right"/>
              <w:rPr>
                <w:noProof/>
                <w:sz w:val="20"/>
              </w:rPr>
            </w:pPr>
          </w:p>
        </w:tc>
        <w:tc>
          <w:tcPr>
            <w:tcW w:w="1417" w:type="dxa"/>
            <w:vAlign w:val="center"/>
          </w:tcPr>
          <w:p>
            <w:pPr>
              <w:spacing w:before="20" w:after="20"/>
              <w:jc w:val="right"/>
              <w:rPr>
                <w:noProof/>
                <w:sz w:val="20"/>
              </w:rPr>
            </w:pPr>
            <w:r>
              <w:rPr>
                <w:noProof/>
                <w:sz w:val="20"/>
              </w:rPr>
              <w:t>1 404 992 715</w:t>
            </w:r>
          </w:p>
        </w:tc>
        <w:tc>
          <w:tcPr>
            <w:tcW w:w="1418" w:type="dxa"/>
            <w:vAlign w:val="center"/>
          </w:tcPr>
          <w:p>
            <w:pPr>
              <w:spacing w:before="20" w:after="20"/>
              <w:jc w:val="right"/>
              <w:rPr>
                <w:noProof/>
                <w:sz w:val="20"/>
              </w:rPr>
            </w:pPr>
            <w:r>
              <w:rPr>
                <w:noProof/>
                <w:sz w:val="20"/>
              </w:rPr>
              <w:t>1 311 759 062</w:t>
            </w:r>
          </w:p>
          <w:p>
            <w:pPr>
              <w:spacing w:before="20" w:after="20"/>
              <w:jc w:val="right"/>
              <w:rPr>
                <w:b/>
                <w:noProof/>
                <w:sz w:val="20"/>
              </w:rPr>
            </w:pPr>
          </w:p>
        </w:tc>
        <w:tc>
          <w:tcPr>
            <w:tcW w:w="1417" w:type="dxa"/>
            <w:vAlign w:val="center"/>
          </w:tcPr>
          <w:p>
            <w:pPr>
              <w:spacing w:before="20" w:after="20"/>
              <w:jc w:val="right"/>
              <w:rPr>
                <w:b/>
                <w:noProof/>
                <w:sz w:val="20"/>
              </w:rPr>
            </w:pPr>
            <w:r>
              <w:rPr>
                <w:b/>
                <w:noProof/>
                <w:sz w:val="20"/>
              </w:rPr>
              <w:t>5 841 599 861</w:t>
            </w:r>
          </w:p>
        </w:tc>
      </w:tr>
      <w:tr>
        <w:tc>
          <w:tcPr>
            <w:tcW w:w="2203" w:type="dxa"/>
            <w:vMerge/>
          </w:tcPr>
          <w:p>
            <w:pPr>
              <w:rPr>
                <w:noProof/>
                <w:sz w:val="20"/>
              </w:rPr>
            </w:pPr>
          </w:p>
        </w:tc>
        <w:tc>
          <w:tcPr>
            <w:tcW w:w="3077" w:type="dxa"/>
            <w:vAlign w:val="center"/>
          </w:tcPr>
          <w:p>
            <w:pPr>
              <w:rPr>
                <w:noProof/>
                <w:sz w:val="18"/>
              </w:rPr>
            </w:pPr>
            <w:r>
              <w:rPr>
                <w:noProof/>
                <w:sz w:val="18"/>
              </w:rPr>
              <w:t>Plăți</w:t>
            </w:r>
          </w:p>
        </w:tc>
        <w:tc>
          <w:tcPr>
            <w:tcW w:w="467"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85 000 000</w:t>
            </w:r>
          </w:p>
        </w:tc>
        <w:tc>
          <w:tcPr>
            <w:tcW w:w="1418" w:type="dxa"/>
            <w:vAlign w:val="center"/>
          </w:tcPr>
          <w:p>
            <w:pPr>
              <w:spacing w:before="20" w:after="20"/>
              <w:jc w:val="right"/>
              <w:rPr>
                <w:noProof/>
                <w:sz w:val="20"/>
              </w:rPr>
            </w:pPr>
            <w:r>
              <w:rPr>
                <w:noProof/>
                <w:sz w:val="20"/>
              </w:rPr>
              <w:t>448 985 360</w:t>
            </w:r>
          </w:p>
        </w:tc>
        <w:tc>
          <w:tcPr>
            <w:tcW w:w="1417" w:type="dxa"/>
            <w:vAlign w:val="center"/>
          </w:tcPr>
          <w:p>
            <w:pPr>
              <w:spacing w:before="20" w:after="20"/>
              <w:jc w:val="right"/>
              <w:rPr>
                <w:noProof/>
                <w:sz w:val="20"/>
              </w:rPr>
            </w:pPr>
            <w:r>
              <w:rPr>
                <w:noProof/>
                <w:sz w:val="20"/>
              </w:rPr>
              <w:t>472 479 242</w:t>
            </w:r>
          </w:p>
        </w:tc>
        <w:tc>
          <w:tcPr>
            <w:tcW w:w="1418" w:type="dxa"/>
            <w:vAlign w:val="center"/>
          </w:tcPr>
          <w:p>
            <w:pPr>
              <w:spacing w:before="20" w:after="20"/>
              <w:jc w:val="right"/>
              <w:rPr>
                <w:noProof/>
                <w:sz w:val="20"/>
              </w:rPr>
            </w:pPr>
            <w:r>
              <w:rPr>
                <w:noProof/>
                <w:sz w:val="20"/>
              </w:rPr>
              <w:t>689 846 276</w:t>
            </w:r>
          </w:p>
        </w:tc>
        <w:tc>
          <w:tcPr>
            <w:tcW w:w="1417" w:type="dxa"/>
            <w:vAlign w:val="center"/>
          </w:tcPr>
          <w:p>
            <w:pPr>
              <w:spacing w:before="20" w:after="20"/>
              <w:jc w:val="center"/>
              <w:rPr>
                <w:b/>
                <w:noProof/>
                <w:sz w:val="20"/>
              </w:rPr>
            </w:pPr>
          </w:p>
          <w:p>
            <w:pPr>
              <w:spacing w:before="20" w:after="20"/>
              <w:jc w:val="center"/>
              <w:rPr>
                <w:b/>
                <w:noProof/>
                <w:sz w:val="20"/>
              </w:rPr>
            </w:pPr>
            <w:r>
              <w:rPr>
                <w:b/>
                <w:noProof/>
                <w:sz w:val="20"/>
              </w:rPr>
              <w:t>1 696 310 879</w:t>
            </w:r>
          </w:p>
          <w:p>
            <w:pPr>
              <w:spacing w:before="20" w:after="20"/>
              <w:jc w:val="center"/>
              <w:rPr>
                <w:b/>
                <w:noProof/>
                <w:sz w:val="20"/>
              </w:rPr>
            </w:pP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credite cu caracter administrativ finanțate din bugetul unor programe specifice </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 xml:space="preserve">TOTAL credite </w:t>
            </w:r>
            <w:r>
              <w:rPr>
                <w:noProof/>
              </w:rPr>
              <w:br/>
            </w:r>
            <w:r>
              <w:rPr>
                <w:b/>
                <w:noProof/>
                <w:sz w:val="22"/>
              </w:rPr>
              <w:t>în cadrul RUBRICII 1</w:t>
            </w:r>
            <w:r>
              <w:rPr>
                <w:noProof/>
              </w:rPr>
              <w:br/>
            </w:r>
            <w:r>
              <w:rPr>
                <w:noProof/>
                <w:sz w:val="22"/>
              </w:rP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 credite operaționale </w:t>
            </w:r>
          </w:p>
        </w:tc>
        <w:tc>
          <w:tcPr>
            <w:tcW w:w="1440" w:type="dxa"/>
            <w:tcBorders>
              <w:top w:val="single" w:sz="4" w:space="0" w:color="auto"/>
            </w:tcBorders>
            <w:vAlign w:val="center"/>
          </w:tcPr>
          <w:p>
            <w:pPr>
              <w:spacing w:beforeLines="20" w:before="48" w:afterLines="20" w:after="48"/>
              <w:rPr>
                <w:noProof/>
                <w:sz w:val="18"/>
              </w:rPr>
            </w:pPr>
            <w:r>
              <w:rPr>
                <w:noProof/>
                <w:sz w:val="18"/>
              </w:rPr>
              <w:t>Angajamente</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credite cu caracter administrativ finanțate din bugetul unor programe specifice </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credite </w:t>
            </w:r>
            <w:r>
              <w:rPr>
                <w:noProof/>
              </w:rPr>
              <w:br/>
            </w:r>
            <w:r>
              <w:rPr>
                <w:b/>
                <w:noProof/>
                <w:sz w:val="22"/>
              </w:rPr>
              <w:t>în cadrul RUBRICILOR 1-4</w:t>
            </w:r>
            <w:r>
              <w:rPr>
                <w:noProof/>
              </w:rPr>
              <w:br/>
            </w:r>
            <w:r>
              <w:rPr>
                <w:noProof/>
                <w:sz w:val="22"/>
              </w:rPr>
              <w:t>din cadrul financiar multianual</w:t>
            </w:r>
            <w:r>
              <w:rPr>
                <w:noProof/>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Plăți</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Rubrica din cadrul financiar </w:t>
            </w:r>
            <w:r>
              <w:rPr>
                <w:noProof/>
              </w:rPr>
              <w:br/>
            </w:r>
            <w:r>
              <w:rPr>
                <w:b/>
                <w:noProof/>
              </w:rPr>
              <w:t xml:space="preserve">multianual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br/>
            </w:r>
            <w:r>
              <w:rPr>
                <w:b/>
                <w:noProof/>
                <w:sz w:val="20"/>
              </w:rPr>
              <w:t>N</w:t>
            </w:r>
          </w:p>
        </w:tc>
        <w:tc>
          <w:tcPr>
            <w:tcW w:w="868" w:type="dxa"/>
            <w:vAlign w:val="center"/>
          </w:tcPr>
          <w:p>
            <w:pPr>
              <w:jc w:val="center"/>
              <w:rPr>
                <w:noProof/>
                <w:sz w:val="20"/>
              </w:rPr>
            </w:pPr>
            <w:r>
              <w:rPr>
                <w:noProof/>
                <w:sz w:val="20"/>
              </w:rPr>
              <w:t>Anul</w:t>
            </w:r>
            <w:r>
              <w:rPr>
                <w:noProof/>
              </w:rPr>
              <w:br/>
            </w:r>
            <w:r>
              <w:rPr>
                <w:b/>
                <w:noProof/>
                <w:sz w:val="20"/>
              </w:rPr>
              <w:t>N+1</w:t>
            </w:r>
          </w:p>
        </w:tc>
        <w:tc>
          <w:tcPr>
            <w:tcW w:w="868" w:type="dxa"/>
            <w:vAlign w:val="center"/>
          </w:tcPr>
          <w:p>
            <w:pPr>
              <w:jc w:val="center"/>
              <w:rPr>
                <w:noProof/>
                <w:sz w:val="20"/>
              </w:rPr>
            </w:pPr>
            <w:r>
              <w:rPr>
                <w:noProof/>
                <w:sz w:val="20"/>
              </w:rPr>
              <w:t>Anul</w:t>
            </w:r>
            <w:r>
              <w:rPr>
                <w:noProof/>
              </w:rPr>
              <w:br/>
            </w:r>
            <w:r>
              <w:rPr>
                <w:b/>
                <w:noProof/>
                <w:sz w:val="20"/>
              </w:rPr>
              <w:t>N+2</w:t>
            </w:r>
          </w:p>
        </w:tc>
        <w:tc>
          <w:tcPr>
            <w:tcW w:w="868" w:type="dxa"/>
            <w:vAlign w:val="center"/>
          </w:tcPr>
          <w:p>
            <w:pPr>
              <w:jc w:val="center"/>
              <w:rPr>
                <w:noProof/>
                <w:sz w:val="20"/>
              </w:rPr>
            </w:pPr>
            <w:r>
              <w:rPr>
                <w:noProof/>
                <w:sz w:val="20"/>
              </w:rPr>
              <w:t>Anul</w:t>
            </w:r>
            <w:r>
              <w:rPr>
                <w:noProof/>
              </w:rPr>
              <w:br/>
            </w:r>
            <w:r>
              <w:rPr>
                <w:b/>
                <w:noProof/>
                <w:sz w:val="20"/>
              </w:rPr>
              <w:t>N+3</w:t>
            </w:r>
          </w:p>
        </w:tc>
        <w:tc>
          <w:tcPr>
            <w:tcW w:w="2604" w:type="dxa"/>
            <w:gridSpan w:val="3"/>
            <w:vAlign w:val="center"/>
          </w:tcPr>
          <w:p>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Resurse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Alte cheltuieli administrative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rPr>
              <w:t>&lt;…….&gt;</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credite</w:t>
            </w:r>
            <w:r>
              <w:rPr>
                <w:noProof/>
              </w:rPr>
              <w:br/>
            </w:r>
            <w:r>
              <w:rPr>
                <w:b/>
                <w:noProof/>
                <w:sz w:val="22"/>
              </w:rPr>
              <w:t>în cadrul RUBRICII 5</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Anul</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Anul</w:t>
            </w:r>
            <w:r>
              <w:rPr>
                <w:noProof/>
              </w:rPr>
              <w:br/>
            </w:r>
            <w:r>
              <w:rPr>
                <w:b/>
                <w:noProof/>
                <w:sz w:val="20"/>
              </w:rPr>
              <w:t>N+1</w:t>
            </w:r>
          </w:p>
        </w:tc>
        <w:tc>
          <w:tcPr>
            <w:tcW w:w="868" w:type="dxa"/>
            <w:vAlign w:val="center"/>
          </w:tcPr>
          <w:p>
            <w:pPr>
              <w:jc w:val="center"/>
              <w:rPr>
                <w:noProof/>
                <w:sz w:val="20"/>
              </w:rPr>
            </w:pPr>
            <w:r>
              <w:rPr>
                <w:noProof/>
                <w:sz w:val="20"/>
              </w:rPr>
              <w:t>Anul</w:t>
            </w:r>
            <w:r>
              <w:rPr>
                <w:noProof/>
              </w:rPr>
              <w:br/>
            </w:r>
            <w:r>
              <w:rPr>
                <w:b/>
                <w:noProof/>
                <w:sz w:val="20"/>
              </w:rPr>
              <w:t>N+2</w:t>
            </w:r>
          </w:p>
        </w:tc>
        <w:tc>
          <w:tcPr>
            <w:tcW w:w="868" w:type="dxa"/>
            <w:vAlign w:val="center"/>
          </w:tcPr>
          <w:p>
            <w:pPr>
              <w:jc w:val="center"/>
              <w:rPr>
                <w:noProof/>
                <w:sz w:val="20"/>
              </w:rPr>
            </w:pPr>
            <w:r>
              <w:rPr>
                <w:noProof/>
                <w:sz w:val="20"/>
              </w:rPr>
              <w:t>Anul</w:t>
            </w:r>
            <w:r>
              <w:rPr>
                <w:noProof/>
              </w:rPr>
              <w:br/>
            </w:r>
            <w:r>
              <w:rPr>
                <w:b/>
                <w:noProof/>
                <w:sz w:val="20"/>
              </w:rPr>
              <w:t>N+3</w:t>
            </w:r>
          </w:p>
        </w:tc>
        <w:tc>
          <w:tcPr>
            <w:tcW w:w="2604" w:type="dxa"/>
            <w:gridSpan w:val="3"/>
            <w:vAlign w:val="center"/>
          </w:tcPr>
          <w:p>
            <w:pPr>
              <w:jc w:val="center"/>
              <w:rPr>
                <w:b/>
                <w:noProof/>
                <w:sz w:val="18"/>
              </w:rPr>
            </w:pPr>
            <w:r>
              <w:rPr>
                <w:noProof/>
                <w:sz w:val="18"/>
              </w:rPr>
              <w:t>A se introduce atâția ani câți sunt considerați necesari pentru a reflecta durata impactului (cf. punctul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credite </w:t>
            </w:r>
            <w:r>
              <w:rPr>
                <w:noProof/>
              </w:rPr>
              <w:br/>
            </w:r>
            <w:r>
              <w:rPr>
                <w:b/>
                <w:noProof/>
                <w:sz w:val="22"/>
              </w:rPr>
              <w:t>în cadrul RUBRICILOR 1-5</w:t>
            </w:r>
            <w:r>
              <w:rPr>
                <w:noProof/>
              </w:rPr>
              <w:br/>
            </w:r>
            <w:r>
              <w:rPr>
                <w:noProof/>
                <w:sz w:val="22"/>
              </w:rP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Anul</w:t>
            </w:r>
            <w:r>
              <w:rPr>
                <w:noProof/>
              </w:rPr>
              <w:br/>
            </w:r>
            <w:r>
              <w:rPr>
                <w:b/>
                <w:noProof/>
                <w:sz w:val="18"/>
              </w:rPr>
              <w:t>N</w:t>
            </w:r>
          </w:p>
        </w:tc>
        <w:tc>
          <w:tcPr>
            <w:tcW w:w="1260" w:type="dxa"/>
            <w:gridSpan w:val="2"/>
            <w:vAlign w:val="center"/>
          </w:tcPr>
          <w:p>
            <w:pPr>
              <w:ind w:right="-29"/>
              <w:jc w:val="center"/>
              <w:rPr>
                <w:noProof/>
                <w:sz w:val="18"/>
                <w:szCs w:val="18"/>
              </w:rPr>
            </w:pPr>
            <w:r>
              <w:rPr>
                <w:noProof/>
                <w:sz w:val="18"/>
              </w:rPr>
              <w:t>Anul</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Anul</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Anul</w:t>
            </w:r>
            <w:r>
              <w:rPr>
                <w:noProof/>
              </w:rPr>
              <w:br/>
            </w:r>
            <w:r>
              <w:rPr>
                <w:b/>
                <w:noProof/>
                <w:sz w:val="18"/>
              </w:rPr>
              <w:t>N+3</w:t>
            </w:r>
          </w:p>
        </w:tc>
        <w:tc>
          <w:tcPr>
            <w:tcW w:w="3600" w:type="dxa"/>
            <w:gridSpan w:val="6"/>
            <w:vAlign w:val="center"/>
          </w:tcPr>
          <w:p>
            <w:pPr>
              <w:jc w:val="center"/>
              <w:rPr>
                <w:noProof/>
                <w:sz w:val="18"/>
                <w:szCs w:val="18"/>
              </w:rPr>
            </w:pPr>
            <w:r>
              <w:rPr>
                <w:noProof/>
                <w:sz w:val="18"/>
              </w:rPr>
              <w:t>A se introduce atâția ani câți sunt considerați necesari pentru a reflecta durata impactului (cf. punctul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REALIZĂRI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Nr.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Costuri totale</w:t>
            </w: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OBIECTIVUL SPECIFIC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Realizare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pentru obiectivul specific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COSTURI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Impactul estimat asupra creditelor cu caracter administrativ</w:t>
      </w:r>
    </w:p>
    <w:p>
      <w:pPr>
        <w:pStyle w:val="ManualHeading4"/>
        <w:rPr>
          <w:noProof/>
        </w:rPr>
      </w:pPr>
      <w:r>
        <w:rPr>
          <w:noProof/>
        </w:rPr>
        <w:t>3.2.3.1.</w:t>
      </w:r>
      <w:r>
        <w:rPr>
          <w:noProof/>
        </w:rPr>
        <w:tab/>
        <w:t xml:space="preserve">Rezumat </w:t>
      </w:r>
    </w:p>
    <w:p>
      <w:pPr>
        <w:pStyle w:val="ListDash1"/>
        <w:rPr>
          <w:noProof/>
        </w:rPr>
      </w:pPr>
      <w:r>
        <w:rPr>
          <w:noProof/>
        </w:rPr>
        <w:sym w:font="Wingdings" w:char="F078"/>
      </w:r>
      <w:r>
        <w:rPr>
          <w:noProof/>
        </w:rPr>
        <w:tab/>
        <w:t xml:space="preserve">Propunerea/inițiativa nu implică utilizarea de credite cu caracter administrativ </w:t>
      </w:r>
    </w:p>
    <w:p>
      <w:pPr>
        <w:pStyle w:val="ListDash1"/>
        <w:rPr>
          <w:noProof/>
        </w:rPr>
      </w:pPr>
      <w:r>
        <w:rPr>
          <w:noProof/>
        </w:rPr>
        <w:sym w:font="Wingdings" w:char="F0A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Anul</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(cf.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b/>
                <w:noProof/>
                <w:sz w:val="16"/>
              </w:rPr>
              <w:footnoteReference w:id="19"/>
            </w:r>
            <w:r>
              <w:rPr>
                <w:noProof/>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br/>
            </w:r>
            <w:r>
              <w:rPr>
                <w:b/>
                <w:noProof/>
                <w:sz w:val="16"/>
              </w:rPr>
              <w:t>în afara RUBRICII 5</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Necesarul de credite în materie de resurse umane și de alte cheltuieli cu caracter administrativ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r>
        <w:rPr>
          <w:noProof/>
        </w:rPr>
        <w:tab/>
      </w:r>
    </w:p>
    <w:p>
      <w:pPr>
        <w:pStyle w:val="ManualHeading4"/>
        <w:rPr>
          <w:bCs/>
          <w:noProof/>
          <w:szCs w:val="24"/>
        </w:rPr>
      </w:pPr>
      <w:r>
        <w:rPr>
          <w:noProof/>
        </w:rPr>
        <w:t>3.2.3.2.</w:t>
      </w:r>
      <w:r>
        <w:rPr>
          <w:noProof/>
        </w:rPr>
        <w:tab/>
        <w:t>Necesarul de resurse umane estimat</w:t>
      </w:r>
    </w:p>
    <w:p>
      <w:pPr>
        <w:pStyle w:val="ListDash1"/>
        <w:rPr>
          <w:noProof/>
        </w:rPr>
      </w:pPr>
      <w:r>
        <w:rPr>
          <w:noProof/>
        </w:rPr>
        <w:sym w:font="Wingdings" w:char="F078"/>
      </w:r>
      <w:r>
        <w:rPr>
          <w:noProof/>
        </w:rPr>
        <w:tab/>
        <w:t xml:space="preserve">Propunerea/inițiativa nu implică utilizarea de resurse umane. </w:t>
      </w:r>
    </w:p>
    <w:p>
      <w:pPr>
        <w:pStyle w:val="ListDash1"/>
        <w:rPr>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Anul</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Anul</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345" w:type="pct"/>
            <w:gridSpan w:val="3"/>
            <w:shd w:val="clear" w:color="auto" w:fill="auto"/>
            <w:vAlign w:val="center"/>
          </w:tcPr>
          <w:p>
            <w:pPr>
              <w:jc w:val="center"/>
              <w:rPr>
                <w:b/>
                <w:noProof/>
                <w:sz w:val="16"/>
                <w:szCs w:val="16"/>
              </w:rPr>
            </w:pPr>
            <w:r>
              <w:rPr>
                <w:noProof/>
                <w:sz w:val="16"/>
              </w:rPr>
              <w:t>A se introduce atâția ani câți sunt considerați necesari pentru a reflecta durata impactului (cf. punctul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Posturi din schema de personal (funcționari și agenți temporari)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 (în echivalent normă întreagă: ENI)</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cercetare indirectă)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END – cercetare directă)</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agenți temporari</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Compatibilitatea cu actualul cadru financiar multianual </w:t>
      </w:r>
    </w:p>
    <w:p>
      <w:pPr>
        <w:pStyle w:val="ListDash1"/>
        <w:rPr>
          <w:noProof/>
        </w:rPr>
      </w:pPr>
      <w:r>
        <w:rPr>
          <w:noProof/>
        </w:rPr>
        <w:sym w:font="Wingdings" w:char="F078"/>
      </w:r>
      <w:r>
        <w:rPr>
          <w:noProof/>
        </w:rPr>
        <w:tab/>
        <w:t>Propunerea/inițiativa este compatibilă cu actualul cadru financiar multianual.</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 liniile bugetare în cauză și sumele aferente.</w:t>
      </w: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acțiunile necesare, precizând rubricile și liniile bugetare în cauză, precum și sumele aferente.</w:t>
      </w:r>
    </w:p>
    <w:p>
      <w:pPr>
        <w:pStyle w:val="ManualHeading3"/>
        <w:rPr>
          <w:bCs/>
          <w:noProof/>
          <w:szCs w:val="24"/>
        </w:rPr>
      </w:pPr>
      <w:r>
        <w:rPr>
          <w:noProof/>
        </w:rPr>
        <w:t>3.2.5.</w:t>
      </w:r>
      <w:r>
        <w:rPr>
          <w:noProof/>
        </w:rPr>
        <w:tab/>
        <w:t xml:space="preserve">Contribuția terților </w:t>
      </w:r>
    </w:p>
    <w:p>
      <w:pPr>
        <w:pStyle w:val="ListDash1"/>
        <w:rPr>
          <w:noProof/>
        </w:rPr>
      </w:pPr>
      <w:r>
        <w:rPr>
          <w:noProof/>
        </w:rPr>
        <w:t xml:space="preserve">Propunerea/inițiativa nu prevede cofinanțare din partea terților. </w:t>
      </w:r>
    </w:p>
    <w:p>
      <w:pPr>
        <w:pStyle w:val="ListDash1"/>
        <w:rPr>
          <w:noProof/>
        </w:rPr>
      </w:pPr>
      <w:r>
        <w:rPr>
          <w:noProof/>
        </w:rPr>
        <w:t>Propunerea/inițiativa prevede cofinanțare, estimată în cele ce urmează:</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rPr>
              <w:br/>
            </w:r>
            <w:r>
              <w:rPr>
                <w:b/>
                <w:noProof/>
                <w:sz w:val="20"/>
              </w:rPr>
              <w:t>N</w:t>
            </w:r>
          </w:p>
        </w:tc>
        <w:tc>
          <w:tcPr>
            <w:tcW w:w="964" w:type="dxa"/>
            <w:vAlign w:val="center"/>
          </w:tcPr>
          <w:p>
            <w:pPr>
              <w:jc w:val="center"/>
              <w:rPr>
                <w:noProof/>
                <w:sz w:val="20"/>
              </w:rPr>
            </w:pPr>
            <w:r>
              <w:rPr>
                <w:noProof/>
                <w:sz w:val="20"/>
              </w:rPr>
              <w:t>Anul</w:t>
            </w:r>
            <w:r>
              <w:rPr>
                <w:noProof/>
              </w:rPr>
              <w:br/>
            </w:r>
            <w:r>
              <w:rPr>
                <w:b/>
                <w:noProof/>
                <w:sz w:val="20"/>
              </w:rPr>
              <w:t>N+1</w:t>
            </w:r>
          </w:p>
        </w:tc>
        <w:tc>
          <w:tcPr>
            <w:tcW w:w="964" w:type="dxa"/>
            <w:vAlign w:val="center"/>
          </w:tcPr>
          <w:p>
            <w:pPr>
              <w:jc w:val="center"/>
              <w:rPr>
                <w:noProof/>
                <w:sz w:val="20"/>
              </w:rPr>
            </w:pPr>
            <w:r>
              <w:rPr>
                <w:noProof/>
                <w:sz w:val="20"/>
              </w:rPr>
              <w:t>Anul</w:t>
            </w:r>
            <w:r>
              <w:rPr>
                <w:noProof/>
              </w:rPr>
              <w:br/>
            </w:r>
            <w:r>
              <w:rPr>
                <w:b/>
                <w:noProof/>
                <w:sz w:val="20"/>
              </w:rPr>
              <w:t>N+2</w:t>
            </w:r>
          </w:p>
        </w:tc>
        <w:tc>
          <w:tcPr>
            <w:tcW w:w="964" w:type="dxa"/>
            <w:vAlign w:val="center"/>
          </w:tcPr>
          <w:p>
            <w:pPr>
              <w:jc w:val="center"/>
              <w:rPr>
                <w:noProof/>
                <w:sz w:val="20"/>
              </w:rPr>
            </w:pPr>
            <w:r>
              <w:rPr>
                <w:noProof/>
                <w:sz w:val="20"/>
              </w:rPr>
              <w:t>Anul</w:t>
            </w:r>
            <w:r>
              <w:rPr>
                <w:noProof/>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Impactul estimat asupra veniturilor </w:t>
      </w:r>
    </w:p>
    <w:p>
      <w:pPr>
        <w:pStyle w:val="ListDash1"/>
        <w:rPr>
          <w:noProof/>
        </w:rPr>
      </w:pPr>
      <w:r>
        <w:rPr>
          <w:noProof/>
        </w:rPr>
        <w:sym w:font="Wingdings" w:char="F07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tabs>
          <w:tab w:val="clear" w:pos="2126"/>
        </w:tabs>
        <w:rPr>
          <w:noProof/>
        </w:rPr>
      </w:pPr>
      <w:r>
        <w:rPr>
          <w:noProof/>
        </w:rPr>
        <w:sym w:font="Wingdings" w:char="F0A8"/>
      </w:r>
      <w:r>
        <w:rPr>
          <w:noProof/>
        </w:rPr>
        <w:tab/>
        <w:t xml:space="preserve">asupra resurselor proprii </w:t>
      </w:r>
    </w:p>
    <w:p>
      <w:pPr>
        <w:pStyle w:val="ListNumberLevel3"/>
        <w:tabs>
          <w:tab w:val="clear" w:pos="2126"/>
        </w:tabs>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rPr>
              <w:br/>
            </w:r>
            <w:r>
              <w:rPr>
                <w:b/>
                <w:noProof/>
                <w:sz w:val="18"/>
              </w:rPr>
              <w:t>N</w:t>
            </w:r>
          </w:p>
        </w:tc>
        <w:tc>
          <w:tcPr>
            <w:tcW w:w="900" w:type="dxa"/>
            <w:vAlign w:val="center"/>
          </w:tcPr>
          <w:p>
            <w:pPr>
              <w:jc w:val="center"/>
              <w:rPr>
                <w:noProof/>
                <w:sz w:val="18"/>
              </w:rPr>
            </w:pPr>
            <w:r>
              <w:rPr>
                <w:noProof/>
                <w:sz w:val="18"/>
              </w:rPr>
              <w:t>Anul</w:t>
            </w:r>
            <w:r>
              <w:rPr>
                <w:noProof/>
              </w:rPr>
              <w:br/>
            </w:r>
            <w:r>
              <w:rPr>
                <w:b/>
                <w:noProof/>
                <w:sz w:val="18"/>
              </w:rPr>
              <w:t>N+1</w:t>
            </w:r>
          </w:p>
        </w:tc>
        <w:tc>
          <w:tcPr>
            <w:tcW w:w="900" w:type="dxa"/>
            <w:vAlign w:val="center"/>
          </w:tcPr>
          <w:p>
            <w:pPr>
              <w:jc w:val="center"/>
              <w:rPr>
                <w:noProof/>
                <w:sz w:val="18"/>
              </w:rPr>
            </w:pPr>
            <w:r>
              <w:rPr>
                <w:noProof/>
                <w:sz w:val="18"/>
              </w:rPr>
              <w:t>Anul</w:t>
            </w:r>
            <w:r>
              <w:rPr>
                <w:noProof/>
              </w:rPr>
              <w:br/>
            </w:r>
            <w:r>
              <w:rPr>
                <w:b/>
                <w:noProof/>
                <w:sz w:val="18"/>
              </w:rPr>
              <w:t>N+2</w:t>
            </w:r>
          </w:p>
        </w:tc>
        <w:tc>
          <w:tcPr>
            <w:tcW w:w="1080" w:type="dxa"/>
            <w:vAlign w:val="center"/>
          </w:tcPr>
          <w:p>
            <w:pPr>
              <w:jc w:val="center"/>
              <w:rPr>
                <w:noProof/>
                <w:sz w:val="18"/>
              </w:rPr>
            </w:pPr>
            <w:r>
              <w:rPr>
                <w:noProof/>
                <w:sz w:val="18"/>
              </w:rPr>
              <w:t>Anul</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A se preciza metoda de calcul al impactului asupra veniturilor.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 astfel cum a fost modificat ultima oară prin Regulamentul (UE) 2017/2305 al Parlamentului European și al Consiliului din 12 decembrie 2017 de modificare a Regulamentului (UE) nr. 1303/2013 în ceea ce privește modificările resurselor pentru coeziunea economică, socială și teritorială și a resurselor pentru obiectivul de investiții pentru creștere economică și ocuparea forței de muncă și pentru obiectivul de cooperare teritorială europeană (JO L 335, 15.12.2017, p. 1).</w:t>
      </w:r>
    </w:p>
  </w:footnote>
  <w:footnote w:id="2">
    <w:p>
      <w:pPr>
        <w:pStyle w:val="FootnoteText"/>
      </w:pPr>
      <w:r>
        <w:rPr>
          <w:rStyle w:val="FootnoteReference"/>
        </w:rPr>
        <w:footnoteRef/>
      </w:r>
      <w:r>
        <w:tab/>
        <w:t>JO C […], […], p. […].</w:t>
      </w:r>
    </w:p>
  </w:footnote>
  <w:footnote w:id="3">
    <w:p>
      <w:pPr>
        <w:pStyle w:val="FootnoteText"/>
      </w:pPr>
      <w:r>
        <w:rPr>
          <w:rStyle w:val="FootnoteReference"/>
        </w:rPr>
        <w:footnoteRef/>
      </w:r>
      <w:r>
        <w:tab/>
        <w:t>JO C […], […], p. […].</w:t>
      </w:r>
    </w:p>
  </w:footnote>
  <w:footnote w:id="4">
    <w:p>
      <w:pPr>
        <w:pStyle w:val="FootnoteText"/>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(JO L 347, 20.12.2013, p. 320).</w:t>
      </w:r>
    </w:p>
  </w:footnote>
  <w:footnote w:id="5">
    <w:p>
      <w:pPr>
        <w:pStyle w:val="FootnoteText"/>
      </w:pPr>
      <w:r>
        <w:rPr>
          <w:rStyle w:val="FootnoteReference"/>
        </w:rPr>
        <w:footnoteRef/>
      </w:r>
      <w:r>
        <w:tab/>
        <w:t>Regulamentul (UE) 2017/2305 al Parlamentului European și al Consiliului din 12 decembrie 2017 de modificare a Regulamentului (UE) nr. 1303/2013 în ceea ce privește modificările resurselor pentru coeziunea economică, socială și teritorială și a resurselor pentru obiectivul de investiții pentru creștere economică și ocuparea forței de muncă și pentru obiectivul de cooperare teritorială europeană (JO L 335, 15.12.2017, p. 1).</w:t>
      </w:r>
    </w:p>
  </w:footnote>
  <w:footnote w:id="6">
    <w:p>
      <w:pPr>
        <w:pStyle w:val="FootnoteText"/>
      </w:pPr>
      <w:r>
        <w:rPr>
          <w:rStyle w:val="FootnoteReference"/>
        </w:rPr>
        <w:footnoteRef/>
      </w:r>
      <w:r>
        <w:tab/>
        <w:t>JO L 57, 28.2.2018, p. 1.</w:t>
      </w:r>
    </w:p>
  </w:footnote>
  <w:footnote w:id="7">
    <w:p>
      <w:pPr>
        <w:pStyle w:val="FootnoteText"/>
        <w:rPr>
          <w:szCs w:val="24"/>
        </w:rPr>
      </w:pPr>
      <w:r>
        <w:rPr>
          <w:rStyle w:val="FootnoteReference"/>
        </w:rPr>
        <w:footnoteRef/>
      </w:r>
      <w:r>
        <w:tab/>
        <w:t>ABM (activity based management): gestionarea pe activități; ABB (activity based budgeting): întocmirea bugetului pe activități.</w:t>
      </w:r>
    </w:p>
  </w:footnote>
  <w:footnote w:id="8">
    <w:p>
      <w:pPr>
        <w:pStyle w:val="FootnoteText"/>
        <w:rPr>
          <w:szCs w:val="24"/>
        </w:rPr>
      </w:pPr>
      <w:r>
        <w:rPr>
          <w:rStyle w:val="FootnoteReference"/>
        </w:rPr>
        <w:footnoteRef/>
      </w:r>
      <w:r>
        <w:tab/>
        <w:t>Astfel cum se menționează la articolul 54 alineatul (2) litera (a) sau litera (b) din Regulamentul financiar.</w:t>
      </w:r>
    </w:p>
  </w:footnote>
  <w:footnote w:id="9">
    <w:p>
      <w:pPr>
        <w:pStyle w:val="FootnoteText"/>
        <w:rPr>
          <w:szCs w:val="24"/>
        </w:rPr>
      </w:pPr>
      <w:r>
        <w:rPr>
          <w:rStyle w:val="FootnoteReference"/>
        </w:rPr>
        <w:footnoteRef/>
      </w:r>
      <w:r>
        <w:tab/>
        <w:t xml:space="preserve">Explicațiile privind modurile de gestiune, precum și trimiterile la Regulamentul financiar sunt disponibile pe site-ul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Dif. = credite diferențiate / Nedif. = credite nediferențiate.</w:t>
      </w:r>
    </w:p>
  </w:footnote>
  <w:footnote w:id="11">
    <w:p>
      <w:pPr>
        <w:pStyle w:val="FootnoteText"/>
        <w:rPr>
          <w:szCs w:val="24"/>
        </w:rPr>
      </w:pPr>
      <w:r>
        <w:rPr>
          <w:rStyle w:val="FootnoteReference"/>
        </w:rPr>
        <w:footnoteRef/>
      </w:r>
      <w:r>
        <w:tab/>
        <w:t xml:space="preserve">AELS: Asociația Europeană a Liberului Schimb. </w:t>
      </w:r>
    </w:p>
  </w:footnote>
  <w:footnote w:id="12">
    <w:p>
      <w:pPr>
        <w:pStyle w:val="FootnoteText"/>
        <w:rPr>
          <w:szCs w:val="24"/>
        </w:rPr>
      </w:pPr>
      <w:r>
        <w:rPr>
          <w:rStyle w:val="FootnoteReference"/>
        </w:rPr>
        <w:footnoteRef/>
      </w:r>
      <w:r>
        <w:tab/>
        <w:t>Țările candidate și, după caz, țările potențial candidate din Balcanii de Vest.</w:t>
      </w:r>
    </w:p>
  </w:footnote>
  <w:footnote w:id="13">
    <w:p>
      <w:pPr>
        <w:pStyle w:val="FootnoteText"/>
      </w:pPr>
      <w:r>
        <w:rPr>
          <w:rStyle w:val="FootnoteReference"/>
        </w:rPr>
        <w:footnoteRef/>
      </w:r>
      <w:r>
        <w:tab/>
        <w:t>În conformitate cu articolul 136 din Regulamentul (UE) nr. 1303/2013, plățile de prefinanțare vor fi justificate (închise) cu cheltuielile YEI declarate până la 31.12.2018.</w:t>
      </w:r>
    </w:p>
  </w:footnote>
  <w:footnote w:id="14">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5">
    <w:p>
      <w:pPr>
        <w:pStyle w:val="FootnoteText"/>
        <w:rPr>
          <w:szCs w:val="24"/>
        </w:rPr>
      </w:pPr>
      <w:r>
        <w:rPr>
          <w:rStyle w:val="FootnoteReference"/>
        </w:rPr>
        <w:footnoteRef/>
      </w:r>
      <w:r>
        <w:tab/>
        <w:t>Anul N este anul în care începe punerea în aplicare a propunerii/inițiativei.</w:t>
      </w:r>
    </w:p>
  </w:footnote>
  <w:footnote w:id="16">
    <w:p>
      <w:pPr>
        <w:pStyle w:val="FootnoteText"/>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17">
    <w:p>
      <w:pPr>
        <w:pStyle w:val="FootnoteText"/>
        <w:rPr>
          <w:szCs w:val="24"/>
        </w:rPr>
      </w:pPr>
      <w:r>
        <w:rPr>
          <w:rStyle w:val="FootnoteReference"/>
        </w:rPr>
        <w:footnoteRef/>
      </w:r>
      <w:r>
        <w:tab/>
        <w:t xml:space="preserve">Conform descrierii de la punctul 1.4.2. „Obiectiv(e) specific(e)…” </w:t>
      </w:r>
    </w:p>
  </w:footnote>
  <w:footnote w:id="18">
    <w:p>
      <w:pPr>
        <w:pStyle w:val="FootnoteText"/>
        <w:rPr>
          <w:szCs w:val="24"/>
        </w:rPr>
      </w:pPr>
      <w:r>
        <w:rPr>
          <w:rStyle w:val="FootnoteReference"/>
        </w:rPr>
        <w:footnoteRef/>
      </w:r>
      <w:r>
        <w:tab/>
        <w:t>Anul N este anul în care începe punerea în aplicare a propunerii/inițiativei.</w:t>
      </w:r>
    </w:p>
  </w:footnote>
  <w:footnote w:id="19">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0">
    <w:p>
      <w:pPr>
        <w:pStyle w:val="FootnoteText"/>
        <w:rPr>
          <w:szCs w:val="24"/>
        </w:rPr>
      </w:pPr>
      <w:r>
        <w:rPr>
          <w:rStyle w:val="FootnoteReference"/>
        </w:rPr>
        <w:footnoteRef/>
      </w:r>
      <w:r>
        <w:tab/>
        <w:t xml:space="preserve">AC = agent contractual; AL = agent local; END = expert național detașat; INT = personal pus la dispoziție de agenții de muncă temporară; JED = expert tânăr în delegații. </w:t>
      </w:r>
    </w:p>
  </w:footnote>
  <w:footnote w:id="21">
    <w:p>
      <w:pPr>
        <w:pStyle w:val="FootnoteText"/>
        <w:rPr>
          <w:szCs w:val="24"/>
        </w:rPr>
      </w:pPr>
      <w:r>
        <w:rPr>
          <w:rStyle w:val="FootnoteReference"/>
        </w:rPr>
        <w:footnoteRef/>
      </w:r>
      <w:r>
        <w:tab/>
        <w:t>Subplafonul pentru personal extern acoperit din creditele operaționale (fostele linii „BA”).</w:t>
      </w:r>
    </w:p>
  </w:footnote>
  <w:footnote w:id="22">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24"/>
  </w:num>
  <w:num w:numId="18">
    <w:abstractNumId w:val="12"/>
  </w:num>
  <w:num w:numId="19">
    <w:abstractNumId w:val="15"/>
  </w:num>
  <w:num w:numId="20">
    <w:abstractNumId w:val="10"/>
  </w:num>
  <w:num w:numId="21">
    <w:abstractNumId w:val="23"/>
  </w:num>
  <w:num w:numId="22">
    <w:abstractNumId w:val="9"/>
  </w:num>
  <w:num w:numId="23">
    <w:abstractNumId w:val="16"/>
  </w:num>
  <w:num w:numId="24">
    <w:abstractNumId w:val="20"/>
  </w:num>
  <w:num w:numId="25">
    <w:abstractNumId w:val="21"/>
  </w:num>
  <w:num w:numId="26">
    <w:abstractNumId w:val="11"/>
  </w:num>
  <w:num w:numId="27">
    <w:abstractNumId w:val="19"/>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06"/>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02 08:56: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C4D190DD-DFF4-41D3-91FC-425071B97869"/>
    <w:docVar w:name="LW_COVERPAGE_TYPE" w:val="1"/>
    <w:docVar w:name="LW_CROSSREFERENCE" w:val="&lt;UNUSED&gt;"/>
    <w:docVar w:name="LW_DocType" w:val="COM"/>
    <w:docVar w:name="LW_EMISSION" w:val="28.6.2018"/>
    <w:docVar w:name="LW_EMISSION_ISODATE" w:val="2018-06-28"/>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65"/>
    <w:docVar w:name="LW_REF.II.NEW.CP_YEAR" w:val="2018"/>
    <w:docVar w:name="LW_REF.INST.NEW" w:val="COM"/>
    <w:docVar w:name="LW_REF.INST.NEW_ADOPTED" w:val="final"/>
    <w:docVar w:name="LW_REF.INST.NEW_TEXT" w:val="(2018) 4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Regulamentului (UE) nr. 1303/2013 în ceea ce prive\u537?te resursele pentru coeziunea economic\u259?, social\u259? \u537?i teritorial\u259? \u537?i de rectificare a regulamentului respectiv în ceea ce prive\u537?te resursele pentru obiectivul de investi\u539?ii pentru cre\u537?tere economic\u259? \u537?i ocuparea for\u539?ei de munc\u259?"/>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DFB2-DE6D-41E2-A9AF-427830F8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26</Pages>
  <Words>4849</Words>
  <Characters>27981</Characters>
  <Application>Microsoft Office Word</Application>
  <DocSecurity>0</DocSecurity>
  <Lines>2152</Lines>
  <Paragraphs>713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2018-04-10T13:51:00Z</cp:lastPrinted>
  <dcterms:created xsi:type="dcterms:W3CDTF">2018-06-26T13:46:00Z</dcterms:created>
  <dcterms:modified xsi:type="dcterms:W3CDTF">2018-07-02T06:56:00Z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