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6B84FA85-9BAC-431F-88A6-05A094A5111A"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
        <w:rPr>
          <w:rFonts w:eastAsia="Arial Unicode MS"/>
          <w:noProof/>
        </w:rPr>
      </w:pPr>
      <w:r>
        <w:rPr>
          <w:noProof/>
          <w:color w:val="000000"/>
          <w:u w:color="000000"/>
          <w:bdr w:val="nil"/>
        </w:rPr>
        <w:t>•</w:t>
      </w:r>
      <w:r>
        <w:rPr>
          <w:noProof/>
        </w:rPr>
        <w:tab/>
        <w:t>Dôvody a ciele návrhu</w:t>
      </w:r>
    </w:p>
    <w:p>
      <w:pPr>
        <w:pBdr>
          <w:top w:val="nil"/>
          <w:left w:val="nil"/>
          <w:bottom w:val="nil"/>
          <w:right w:val="nil"/>
          <w:between w:val="nil"/>
          <w:bar w:val="nil"/>
        </w:pBdr>
        <w:spacing w:before="0" w:after="240"/>
        <w:rPr>
          <w:noProof/>
        </w:rPr>
      </w:pPr>
      <w:r>
        <w:rPr>
          <w:noProof/>
        </w:rPr>
        <w:t>Cieľom návrhu je upraviť výšku dostupných zdrojov na cieľ Investovanie do rastu a zamestnanosti a na cieľ Európska územná spolupráca stanovených v článku 91 ods. 1 a článku 92 ods. 5 nariadenia (EÚ) č. 1303/2013</w:t>
      </w:r>
      <w:r>
        <w:rPr>
          <w:rStyle w:val="FootnoteReference"/>
          <w:noProof/>
        </w:rPr>
        <w:footnoteReference w:id="1"/>
      </w:r>
      <w:r>
        <w:rPr>
          <w:noProof/>
        </w:rPr>
        <w:t xml:space="preserve"> a ročné rozdelenie viazaných rozpočtových prostriedkov uvedené v prílohe VI s cieľom zohľadniť zmeny vo finančnom programovaní týkajúcom sa iniciatívy na podporu zamestnanosti mladých ľudí. Konkrétnejšie, v súlade s rozpočtom prijatým na rok 2018 by sa viazané rozpočtové prostriedky určené na osobitné pridelené prostriedky na iniciatívu na podporu zamestnanosti mladých ľudí mali zvýšiť o sumu vo výške 116,7 milióna EUR, čím bude celková suma na rok 2018 dosahovať 350 miliónov EUR. Viazané rozpočtové prostriedky na rok 2020 boli upravené tak, aby sa zohľadnilo predsunutie na rok 2018.</w:t>
      </w:r>
    </w:p>
    <w:p>
      <w:pPr>
        <w:pBdr>
          <w:top w:val="nil"/>
          <w:left w:val="nil"/>
          <w:bottom w:val="nil"/>
          <w:right w:val="nil"/>
          <w:between w:val="nil"/>
          <w:bar w:val="nil"/>
        </w:pBdr>
        <w:spacing w:before="0" w:after="240"/>
        <w:rPr>
          <w:noProof/>
        </w:rPr>
      </w:pPr>
      <w:r>
        <w:rPr>
          <w:noProof/>
        </w:rPr>
        <w:t>Okrem toho treba opraviť určité chyby, pokiaľ ide o sumy a percentuálne podiely týkajúce sa cieľa Investovanie do rastu a zamestnanosti stanovené v článku 1 ods. 2 písm. a) nariadenia (EÚ) 2017/2305, ktorým sa mení článok 92 ods. 1 nariadenia (EÚ) č. 1303/2013.</w:t>
      </w:r>
    </w:p>
    <w:p>
      <w:pPr>
        <w:pStyle w:val="ManualHeading2"/>
        <w:rPr>
          <w:rFonts w:eastAsia="Arial Unicode MS"/>
          <w:noProof/>
          <w:color w:val="000000"/>
          <w:u w:color="000000"/>
          <w:bdr w:val="nil"/>
        </w:rPr>
      </w:pPr>
      <w:r>
        <w:rPr>
          <w:noProof/>
          <w:color w:val="000000"/>
          <w:u w:color="000000"/>
          <w:bdr w:val="nil"/>
        </w:rPr>
        <w:t>•</w:t>
      </w:r>
      <w:r>
        <w:rPr>
          <w:noProof/>
        </w:rPr>
        <w:tab/>
        <w:t>Súlad s existujúcimi ustanoveniami v tejto oblasti politiky</w:t>
      </w:r>
    </w:p>
    <w:p>
      <w:pPr>
        <w:pBdr>
          <w:top w:val="nil"/>
          <w:left w:val="nil"/>
          <w:bottom w:val="nil"/>
          <w:right w:val="nil"/>
          <w:between w:val="nil"/>
          <w:bar w:val="nil"/>
        </w:pBdr>
        <w:spacing w:before="0" w:after="240"/>
        <w:rPr>
          <w:noProof/>
        </w:rPr>
      </w:pPr>
      <w:r>
        <w:rPr>
          <w:noProof/>
        </w:rPr>
        <w:t xml:space="preserve">Tento návrh je výsledkom rozpočtového rozhodnutia na rok 2018. </w:t>
      </w:r>
    </w:p>
    <w:p>
      <w:pPr>
        <w:pStyle w:val="ManualHeading2"/>
        <w:rPr>
          <w:rFonts w:eastAsia="Arial Unicode MS"/>
          <w:noProof/>
        </w:rPr>
      </w:pPr>
      <w:r>
        <w:rPr>
          <w:noProof/>
          <w:color w:val="000000"/>
          <w:u w:color="000000"/>
          <w:bdr w:val="nil"/>
        </w:rPr>
        <w:t>•</w:t>
      </w:r>
      <w:r>
        <w:rPr>
          <w:noProof/>
        </w:rPr>
        <w:tab/>
        <w:t>Súlad s ostatnými politikami Únie</w:t>
      </w:r>
    </w:p>
    <w:p>
      <w:pPr>
        <w:pBdr>
          <w:top w:val="nil"/>
          <w:left w:val="nil"/>
          <w:bottom w:val="nil"/>
          <w:right w:val="nil"/>
          <w:between w:val="nil"/>
          <w:bar w:val="nil"/>
        </w:pBdr>
        <w:spacing w:before="0" w:after="240"/>
        <w:rPr>
          <w:rFonts w:eastAsia="Arial Unicode MS"/>
          <w:noProof/>
        </w:rPr>
      </w:pPr>
      <w:r>
        <w:rPr>
          <w:noProof/>
        </w:rPr>
        <w:t xml:space="preserve">Návrh je konzistentný s ostatnými návrhmi a iniciatívami, ktoré prijala Európska komisia. </w:t>
      </w:r>
    </w:p>
    <w:p>
      <w:pPr>
        <w:pStyle w:val="ManualHeading1"/>
        <w:rPr>
          <w:noProof/>
        </w:rPr>
      </w:pPr>
      <w:r>
        <w:rPr>
          <w:noProof/>
        </w:rPr>
        <w:t>2.</w:t>
      </w:r>
      <w:r>
        <w:rPr>
          <w:noProof/>
        </w:rPr>
        <w:tab/>
        <w:t>PRÁVNY ZÁKLAD, SUBSIDIARITA A PROPORCIONALITA</w:t>
      </w:r>
    </w:p>
    <w:p>
      <w:pPr>
        <w:pStyle w:val="ManualHeading2"/>
        <w:rPr>
          <w:rFonts w:eastAsia="Arial Unicode MS"/>
          <w:noProof/>
          <w:u w:color="000000"/>
          <w:bdr w:val="nil"/>
        </w:rPr>
      </w:pPr>
      <w:r>
        <w:rPr>
          <w:noProof/>
        </w:rPr>
        <w:t>•</w:t>
      </w:r>
      <w:r>
        <w:rPr>
          <w:noProof/>
        </w:rPr>
        <w:tab/>
        <w:t>Právny základ</w:t>
      </w:r>
    </w:p>
    <w:p>
      <w:pPr>
        <w:pBdr>
          <w:top w:val="nil"/>
          <w:left w:val="nil"/>
          <w:bottom w:val="nil"/>
          <w:right w:val="nil"/>
          <w:between w:val="nil"/>
          <w:bar w:val="nil"/>
        </w:pBdr>
        <w:spacing w:before="0" w:after="240"/>
        <w:rPr>
          <w:noProof/>
        </w:rPr>
      </w:pPr>
      <w:r>
        <w:rPr>
          <w:noProof/>
        </w:rPr>
        <w:t xml:space="preserve">Revízia odráža predsunutie zdrojov na osobitné pridelené prostriedky na iniciatívu na podporu zamestnanosti mladých ľudí v rozpočte EÚ na rok 2018. </w:t>
      </w:r>
    </w:p>
    <w:p>
      <w:pPr>
        <w:pStyle w:val="ManualHeading2"/>
        <w:rPr>
          <w:rFonts w:eastAsia="Arial Unicode MS"/>
          <w:noProof/>
          <w:u w:color="000000"/>
          <w:bdr w:val="nil"/>
        </w:rPr>
      </w:pPr>
      <w:r>
        <w:rPr>
          <w:noProof/>
        </w:rPr>
        <w:t>•</w:t>
      </w:r>
      <w:r>
        <w:rPr>
          <w:noProof/>
        </w:rPr>
        <w:tab/>
        <w:t xml:space="preserve">Subsidiarita (v prípade inej ako výlučnej právomoci) </w:t>
      </w:r>
    </w:p>
    <w:p>
      <w:pPr>
        <w:pBdr>
          <w:top w:val="nil"/>
          <w:left w:val="nil"/>
          <w:bottom w:val="nil"/>
          <w:right w:val="nil"/>
          <w:between w:val="nil"/>
          <w:bar w:val="nil"/>
        </w:pBdr>
        <w:spacing w:before="0" w:after="240"/>
        <w:rPr>
          <w:noProof/>
        </w:rPr>
      </w:pPr>
      <w:r>
        <w:rPr>
          <w:noProof/>
        </w:rPr>
        <w:t xml:space="preserve">Návrh je v súlade so zásadou subsidiarity. </w:t>
      </w:r>
    </w:p>
    <w:p>
      <w:pPr>
        <w:pStyle w:val="ManualHeading2"/>
        <w:rPr>
          <w:rFonts w:eastAsia="Arial Unicode MS"/>
          <w:noProof/>
          <w:u w:color="000000"/>
          <w:bdr w:val="nil"/>
        </w:rPr>
      </w:pPr>
      <w:r>
        <w:rPr>
          <w:noProof/>
        </w:rPr>
        <w:t>•</w:t>
      </w:r>
      <w:r>
        <w:rPr>
          <w:noProof/>
        </w:rPr>
        <w:tab/>
        <w:t>Proporcionalita</w:t>
      </w:r>
    </w:p>
    <w:p>
      <w:pPr>
        <w:pBdr>
          <w:top w:val="nil"/>
          <w:left w:val="nil"/>
          <w:bottom w:val="nil"/>
          <w:right w:val="nil"/>
          <w:between w:val="nil"/>
          <w:bar w:val="nil"/>
        </w:pBdr>
        <w:spacing w:before="0" w:after="240"/>
        <w:rPr>
          <w:rFonts w:eastAsia="Arial Unicode MS"/>
          <w:noProof/>
        </w:rPr>
      </w:pPr>
      <w:r>
        <w:rPr>
          <w:noProof/>
        </w:rPr>
        <w:t>Návrh sa obmedzuje na potrebné technické úpravy.</w:t>
      </w:r>
    </w:p>
    <w:p>
      <w:pPr>
        <w:pStyle w:val="ManualHeading2"/>
        <w:rPr>
          <w:rFonts w:eastAsia="Arial Unicode MS"/>
          <w:noProof/>
          <w:u w:color="000000"/>
          <w:bdr w:val="nil"/>
        </w:rPr>
      </w:pPr>
      <w:r>
        <w:rPr>
          <w:noProof/>
        </w:rPr>
        <w:t>•</w:t>
      </w:r>
      <w:r>
        <w:rPr>
          <w:noProof/>
        </w:rPr>
        <w:tab/>
        <w:t>Výber nástroja</w:t>
      </w:r>
    </w:p>
    <w:p>
      <w:pPr>
        <w:pBdr>
          <w:top w:val="nil"/>
          <w:left w:val="nil"/>
          <w:bottom w:val="nil"/>
          <w:right w:val="nil"/>
          <w:between w:val="nil"/>
          <w:bar w:val="nil"/>
        </w:pBdr>
        <w:spacing w:before="0" w:after="240"/>
        <w:rPr>
          <w:noProof/>
        </w:rPr>
      </w:pPr>
      <w:r>
        <w:rPr>
          <w:noProof/>
        </w:rPr>
        <w:t>Navrhovaný nástroj: zmena platného nariadenia.</w:t>
      </w:r>
    </w:p>
    <w:p>
      <w:pPr>
        <w:pBdr>
          <w:top w:val="nil"/>
          <w:left w:val="nil"/>
          <w:bottom w:val="nil"/>
          <w:right w:val="nil"/>
          <w:between w:val="nil"/>
          <w:bar w:val="nil"/>
        </w:pBdr>
        <w:spacing w:before="0" w:after="240"/>
        <w:rPr>
          <w:rFonts w:eastAsia="Arial Unicode MS"/>
          <w:noProof/>
        </w:rPr>
      </w:pPr>
      <w:r>
        <w:rPr>
          <w:noProof/>
        </w:rPr>
        <w:t>Komisia preskúmala priestor na manévrovanie poskytnutý právnym rámcom a považuje za potrebné navrhnúť zmeny nariadenia (EÚ) č. 1303/2013.</w:t>
      </w:r>
    </w:p>
    <w:p>
      <w:pPr>
        <w:pStyle w:val="ManualHeading1"/>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ManualHeading2"/>
        <w:rPr>
          <w:rFonts w:eastAsia="Arial Unicode MS"/>
          <w:noProof/>
          <w:u w:color="000000"/>
          <w:bdr w:val="nil"/>
        </w:rPr>
      </w:pPr>
      <w:r>
        <w:rPr>
          <w:noProof/>
        </w:rPr>
        <w:t>•</w:t>
      </w:r>
      <w:r>
        <w:rPr>
          <w:noProof/>
        </w:rPr>
        <w:tab/>
        <w:t xml:space="preserve">Hodnotenia </w:t>
      </w:r>
      <w:r>
        <w:rPr>
          <w:i/>
          <w:noProof/>
        </w:rPr>
        <w:t>ex post</w:t>
      </w:r>
      <w:r>
        <w:rPr>
          <w:noProof/>
        </w:rPr>
        <w:t>/kontroly vhodnosti existujúcich právnych predpisov</w:t>
      </w:r>
    </w:p>
    <w:p>
      <w:pPr>
        <w:pBdr>
          <w:top w:val="nil"/>
          <w:left w:val="nil"/>
          <w:bottom w:val="nil"/>
          <w:right w:val="nil"/>
          <w:between w:val="nil"/>
          <w:bar w:val="nil"/>
        </w:pBdr>
        <w:spacing w:before="0" w:after="240"/>
        <w:rPr>
          <w:rFonts w:eastAsia="Arial Unicode MS"/>
          <w:noProof/>
        </w:rPr>
      </w:pPr>
      <w:r>
        <w:rPr>
          <w:noProof/>
        </w:rPr>
        <w:t xml:space="preserve">Neexistovali žiadne hodnotenia </w:t>
      </w:r>
      <w:r>
        <w:rPr>
          <w:i/>
          <w:noProof/>
        </w:rPr>
        <w:t>ex post</w:t>
      </w:r>
      <w:r>
        <w:rPr>
          <w:noProof/>
        </w:rPr>
        <w:t>/kontroly vhodnosti existujúcich právnych predpisov.</w:t>
      </w:r>
    </w:p>
    <w:p>
      <w:pPr>
        <w:pStyle w:val="ManualHeading2"/>
        <w:rPr>
          <w:rFonts w:eastAsia="Arial Unicode MS"/>
          <w:noProof/>
          <w:u w:color="000000"/>
          <w:bdr w:val="nil"/>
        </w:rPr>
      </w:pPr>
      <w:r>
        <w:rPr>
          <w:noProof/>
        </w:rPr>
        <w:t>•</w:t>
      </w:r>
      <w:r>
        <w:rPr>
          <w:noProof/>
        </w:rPr>
        <w:tab/>
        <w:t>Konzultácie so zainteresovanými stranami</w:t>
      </w:r>
    </w:p>
    <w:p>
      <w:pPr>
        <w:pBdr>
          <w:top w:val="nil"/>
          <w:left w:val="nil"/>
          <w:bottom w:val="nil"/>
          <w:right w:val="nil"/>
          <w:between w:val="nil"/>
          <w:bar w:val="nil"/>
        </w:pBdr>
        <w:spacing w:before="0" w:after="240"/>
        <w:rPr>
          <w:rFonts w:eastAsia="Arial Unicode MS"/>
          <w:noProof/>
        </w:rPr>
      </w:pPr>
      <w:r>
        <w:rPr>
          <w:noProof/>
        </w:rPr>
        <w:t>Neuskutočnili sa žiadne konzultácie s externými zainteresovanými stranami.</w:t>
      </w:r>
    </w:p>
    <w:p>
      <w:pPr>
        <w:pStyle w:val="ManualHeading2"/>
        <w:rPr>
          <w:rFonts w:eastAsia="Arial Unicode MS"/>
          <w:noProof/>
          <w:u w:color="000000"/>
          <w:bdr w:val="nil"/>
        </w:rPr>
      </w:pPr>
      <w:r>
        <w:rPr>
          <w:noProof/>
        </w:rPr>
        <w:t>•</w:t>
      </w:r>
      <w:r>
        <w:rPr>
          <w:noProof/>
        </w:rPr>
        <w:tab/>
        <w:t>Získavanie a využívanie expertízy</w:t>
      </w:r>
    </w:p>
    <w:p>
      <w:pPr>
        <w:pBdr>
          <w:top w:val="nil"/>
          <w:left w:val="nil"/>
          <w:bottom w:val="nil"/>
          <w:right w:val="nil"/>
          <w:between w:val="nil"/>
          <w:bar w:val="nil"/>
        </w:pBdr>
        <w:spacing w:before="0" w:after="240"/>
        <w:rPr>
          <w:rFonts w:eastAsia="Arial Unicode MS"/>
          <w:noProof/>
        </w:rPr>
      </w:pPr>
      <w:r>
        <w:rPr>
          <w:noProof/>
        </w:rPr>
        <w:t>Využitie externej expertízy nebolo potrebné.</w:t>
      </w:r>
    </w:p>
    <w:p>
      <w:pPr>
        <w:pStyle w:val="ManualHeading2"/>
        <w:rPr>
          <w:rFonts w:eastAsia="Arial Unicode MS"/>
          <w:noProof/>
          <w:u w:color="000000"/>
          <w:bdr w:val="nil"/>
        </w:rPr>
      </w:pPr>
      <w:r>
        <w:rPr>
          <w:noProof/>
        </w:rPr>
        <w:t>•</w:t>
      </w:r>
      <w:r>
        <w:rPr>
          <w:noProof/>
        </w:rPr>
        <w:tab/>
        <w:t>Posúdenie vplyvu</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2"/>
        <w:rPr>
          <w:rFonts w:eastAsia="Arial Unicode MS"/>
          <w:noProof/>
          <w:u w:color="000000"/>
          <w:bdr w:val="nil"/>
        </w:rPr>
      </w:pPr>
      <w:r>
        <w:rPr>
          <w:noProof/>
        </w:rPr>
        <w:t>•</w:t>
      </w:r>
      <w:r>
        <w:rPr>
          <w:noProof/>
        </w:rPr>
        <w:tab/>
        <w:t>Vhodnosť právnych predpisov a ich zjednodušenie</w:t>
      </w:r>
    </w:p>
    <w:p>
      <w:pPr>
        <w:pStyle w:val="Text1"/>
        <w:ind w:left="0"/>
        <w:rPr>
          <w:noProof/>
        </w:rPr>
      </w:pPr>
      <w:r>
        <w:rPr>
          <w:noProof/>
        </w:rPr>
        <w:t>Nejde o iniciatívu v rámci Programu regulačnej vhodnosti a efektívnosti (REFIT).</w:t>
      </w:r>
    </w:p>
    <w:p>
      <w:pPr>
        <w:pStyle w:val="ManualHeading2"/>
        <w:rPr>
          <w:rFonts w:eastAsia="Arial Unicode MS"/>
          <w:noProof/>
          <w:u w:color="000000"/>
          <w:bdr w:val="nil"/>
        </w:rPr>
      </w:pPr>
      <w:r>
        <w:rPr>
          <w:noProof/>
        </w:rPr>
        <w:t>•</w:t>
      </w:r>
      <w:r>
        <w:rPr>
          <w:noProof/>
        </w:rPr>
        <w:tab/>
        <w:t>Základné práva</w:t>
      </w:r>
    </w:p>
    <w:p>
      <w:pPr>
        <w:pBdr>
          <w:top w:val="nil"/>
          <w:left w:val="nil"/>
          <w:bottom w:val="nil"/>
          <w:right w:val="nil"/>
          <w:between w:val="nil"/>
          <w:bar w:val="nil"/>
        </w:pBdr>
        <w:spacing w:before="0" w:after="240"/>
        <w:rPr>
          <w:rFonts w:eastAsia="Arial Unicode MS"/>
          <w:noProof/>
        </w:rPr>
      </w:pPr>
      <w:r>
        <w:rPr>
          <w:noProof/>
        </w:rPr>
        <w:t>Návrh nemá žiadne dôsledky na ochranu základných práv.</w:t>
      </w:r>
    </w:p>
    <w:p>
      <w:pPr>
        <w:pStyle w:val="ManualHeading1"/>
        <w:rPr>
          <w:noProof/>
        </w:rPr>
      </w:pPr>
      <w:r>
        <w:rPr>
          <w:noProof/>
        </w:rPr>
        <w:t>4.</w:t>
      </w:r>
      <w:r>
        <w:rPr>
          <w:noProof/>
        </w:rPr>
        <w:tab/>
        <w:t>VPLYV NA ROZPOČET</w:t>
      </w:r>
    </w:p>
    <w:p>
      <w:pPr>
        <w:pBdr>
          <w:top w:val="nil"/>
          <w:left w:val="nil"/>
          <w:bottom w:val="nil"/>
          <w:right w:val="nil"/>
          <w:between w:val="nil"/>
          <w:bar w:val="nil"/>
        </w:pBdr>
        <w:spacing w:before="0" w:after="240"/>
        <w:rPr>
          <w:noProof/>
        </w:rPr>
      </w:pPr>
      <w:r>
        <w:rPr>
          <w:noProof/>
        </w:rPr>
        <w:t xml:space="preserve">Zmeny vo viazaných rozpočtových prostriedkoch vyplývajúce z predsunutia osobitných pridelených prostriedkov na iniciatívu na podporu zamestnanosti mladých ľudí. Viazané rozpočtové prostriedky na rok 2018 by sa mali zvýšiť o 116,7 milióna EUR v bežných cenách a suma na rok 2020 by sa mala znížiť o rovnakú sumu. </w:t>
      </w:r>
    </w:p>
    <w:p>
      <w:pPr>
        <w:pStyle w:val="ManualHeading1"/>
        <w:rPr>
          <w:noProof/>
        </w:rPr>
      </w:pPr>
      <w:r>
        <w:rPr>
          <w:noProof/>
        </w:rPr>
        <w:t>5.</w:t>
      </w:r>
      <w:r>
        <w:rPr>
          <w:noProof/>
        </w:rPr>
        <w:tab/>
        <w:t>INÉ PRVKY</w:t>
      </w:r>
    </w:p>
    <w:p>
      <w:pPr>
        <w:pStyle w:val="ManualHeading2"/>
        <w:rPr>
          <w:rFonts w:eastAsia="Arial Unicode MS"/>
          <w:noProof/>
          <w:u w:color="000000"/>
          <w:bdr w:val="nil"/>
        </w:rPr>
      </w:pPr>
      <w:r>
        <w:rPr>
          <w:noProof/>
        </w:rPr>
        <w:t>•</w:t>
      </w:r>
      <w:r>
        <w:rPr>
          <w:noProof/>
        </w:rPr>
        <w:tab/>
        <w:t>Plány vykonávania, spôsob monitorovania, hodnotenia a predkladania správ</w:t>
      </w:r>
    </w:p>
    <w:p>
      <w:pPr>
        <w:pBdr>
          <w:top w:val="nil"/>
          <w:left w:val="nil"/>
          <w:bottom w:val="nil"/>
          <w:right w:val="nil"/>
          <w:between w:val="nil"/>
          <w:bar w:val="nil"/>
        </w:pBdr>
        <w:spacing w:before="0" w:after="240"/>
        <w:rPr>
          <w:rFonts w:eastAsia="Arial Unicode MS"/>
          <w:noProof/>
        </w:rPr>
      </w:pPr>
      <w:r>
        <w:rPr>
          <w:noProof/>
        </w:rPr>
        <w:t>Neuplatňuje sa.</w:t>
      </w:r>
    </w:p>
    <w:p>
      <w:pPr>
        <w:pStyle w:val="ManualHeading2"/>
        <w:rPr>
          <w:rFonts w:eastAsia="Arial Unicode MS"/>
          <w:noProof/>
          <w:u w:color="000000"/>
          <w:bdr w:val="nil"/>
        </w:rPr>
      </w:pPr>
      <w:r>
        <w:rPr>
          <w:noProof/>
        </w:rPr>
        <w:t>•</w:t>
      </w:r>
      <w:r>
        <w:rPr>
          <w:noProof/>
        </w:rPr>
        <w:tab/>
        <w:t>Vysvetľujúce dokumenty (v prípade smerníc)</w:t>
      </w:r>
    </w:p>
    <w:p>
      <w:pPr>
        <w:pStyle w:val="Text1"/>
        <w:ind w:hanging="850"/>
        <w:rPr>
          <w:noProof/>
        </w:rPr>
      </w:pPr>
      <w:r>
        <w:rPr>
          <w:noProof/>
        </w:rPr>
        <w:t>Neuplatňuje sa.</w:t>
      </w:r>
    </w:p>
    <w:p>
      <w:pPr>
        <w:pStyle w:val="ManualHeading2"/>
        <w:rPr>
          <w:rFonts w:eastAsia="Arial Unicode MS"/>
          <w:noProof/>
          <w:u w:color="000000"/>
          <w:bdr w:val="nil"/>
        </w:rPr>
      </w:pPr>
      <w:r>
        <w:rPr>
          <w:noProof/>
        </w:rPr>
        <w:t>•</w:t>
      </w:r>
      <w:r>
        <w:rPr>
          <w:noProof/>
        </w:rPr>
        <w:tab/>
        <w:t>Podrobné vysvetlenie konkrétnych ustanovení návrhu</w:t>
      </w:r>
    </w:p>
    <w:p>
      <w:pPr>
        <w:pBdr>
          <w:top w:val="nil"/>
          <w:left w:val="nil"/>
          <w:bottom w:val="nil"/>
          <w:right w:val="nil"/>
          <w:between w:val="nil"/>
          <w:bar w:val="nil"/>
        </w:pBdr>
        <w:spacing w:before="0" w:after="240"/>
        <w:rPr>
          <w:noProof/>
        </w:rPr>
      </w:pPr>
      <w:r>
        <w:rPr>
          <w:noProof/>
        </w:rPr>
        <w:t xml:space="preserve">Cieľom návrhu je upraviť výšku dostupných zdrojov na cieľ Investovanie do rastu a zamestnanosti a na cieľ Európska územná spolupráca stanovených v článku 91 ods. 1 a článku 92 ods. 5 nariadenia (EÚ) č. 1303/2013 a ročné rozdelenie viazaných rozpočtových prostriedkov uvedené v prílohe VI s cieľom zohľadniť zmeny vo finančnom programovaní týkajúcom sa iniciatívy na podporu zamestnanosti mladých ľudí. Konkrétnejšie, v súlade s rozpočtom prijatým na rok 2018 by sa viazané rozpočtové prostriedky určené na osobitné pridelené prostriedky na iniciatívu na podporu zamestnanosti mladých ľudí mali zvýšiť o sumu vo výške 116,7 milióna EUR, čím bude celková suma na rok 2018 dosahovať 350 miliónov EUR. Viazané rozpočtové prostriedky na rok 2020 boli upravené tak, aby sa zohľadnilo predsunutie na rok 2018. </w:t>
      </w:r>
    </w:p>
    <w:p>
      <w:pPr>
        <w:pBdr>
          <w:top w:val="nil"/>
          <w:left w:val="nil"/>
          <w:bottom w:val="nil"/>
          <w:right w:val="nil"/>
          <w:between w:val="nil"/>
          <w:bar w:val="nil"/>
        </w:pBdr>
        <w:spacing w:before="0" w:after="240"/>
        <w:rPr>
          <w:noProof/>
        </w:rPr>
      </w:pPr>
      <w:r>
        <w:rPr>
          <w:noProof/>
        </w:rPr>
        <w:t>Okrem toho treba opraviť určité chyby, pokiaľ ide o sumy a percentuálne podiely týkajúce sa cieľa Investovanie do rastu a zamestnanosti stanovené v článku 1 ods. 2 písm. a) nariadenia (EÚ) 2017/2305, ktorým sa mení článok 92 ods. 1 nariadenia (EÚ) č. 1303/2013.</w:t>
      </w:r>
    </w:p>
    <w:p>
      <w:pPr>
        <w:pBdr>
          <w:top w:val="nil"/>
          <w:left w:val="nil"/>
          <w:bottom w:val="nil"/>
          <w:right w:val="nil"/>
          <w:between w:val="nil"/>
          <w:bar w:val="nil"/>
        </w:pBdr>
        <w:spacing w:before="0" w:after="240"/>
        <w:rPr>
          <w:noProof/>
        </w:rPr>
      </w:pPr>
      <w:r>
        <w:rPr>
          <w:noProof/>
        </w:rPr>
        <w:t>Článok 92 ods. 1 nariadenia (EÚ) č. 1303/2013 zmeneného nariadením (EÚ) 2017/2305 znie takto:</w:t>
      </w:r>
    </w:p>
    <w:p>
      <w:pPr>
        <w:pBdr>
          <w:top w:val="nil"/>
          <w:left w:val="nil"/>
          <w:bottom w:val="nil"/>
          <w:right w:val="nil"/>
          <w:between w:val="nil"/>
          <w:bar w:val="nil"/>
        </w:pBdr>
        <w:spacing w:before="0" w:after="240"/>
        <w:rPr>
          <w:noProof/>
        </w:rPr>
      </w:pPr>
      <w:r>
        <w:rPr>
          <w:noProof/>
        </w:rPr>
        <w:t xml:space="preserve">„1. Zdroje na cieľ Investovanie do rastu a zamestnanosti predstavujú 96,09 % celkových zdrojov (t. j. 317 103 114 309 EUR) a rozdelia sa takto: </w:t>
      </w:r>
    </w:p>
    <w:p>
      <w:pPr>
        <w:pBdr>
          <w:top w:val="nil"/>
          <w:left w:val="nil"/>
          <w:bottom w:val="nil"/>
          <w:right w:val="nil"/>
          <w:between w:val="nil"/>
          <w:bar w:val="nil"/>
        </w:pBdr>
        <w:spacing w:before="0" w:after="240"/>
        <w:rPr>
          <w:noProof/>
        </w:rPr>
      </w:pPr>
      <w:r>
        <w:rPr>
          <w:noProof/>
        </w:rPr>
        <w:t xml:space="preserve">a) 48,64 % (t. j. spolu 160 498 028 177 EUR) pre menej rozvinuté regióny; </w:t>
      </w:r>
    </w:p>
    <w:p>
      <w:pPr>
        <w:pBdr>
          <w:top w:val="nil"/>
          <w:left w:val="nil"/>
          <w:bottom w:val="nil"/>
          <w:right w:val="nil"/>
          <w:between w:val="nil"/>
          <w:bar w:val="nil"/>
        </w:pBdr>
        <w:spacing w:before="0" w:after="240"/>
        <w:rPr>
          <w:noProof/>
        </w:rPr>
      </w:pPr>
      <w:r>
        <w:rPr>
          <w:noProof/>
        </w:rPr>
        <w:t xml:space="preserve">b) 10,19 % (t. j. spolu 33 621 675 154 EUR) pre prechodné regióny; </w:t>
      </w:r>
    </w:p>
    <w:p>
      <w:pPr>
        <w:pBdr>
          <w:top w:val="nil"/>
          <w:left w:val="nil"/>
          <w:bottom w:val="nil"/>
          <w:right w:val="nil"/>
          <w:between w:val="nil"/>
          <w:bar w:val="nil"/>
        </w:pBdr>
        <w:spacing w:before="0" w:after="240"/>
        <w:rPr>
          <w:noProof/>
        </w:rPr>
      </w:pPr>
      <w:r>
        <w:rPr>
          <w:noProof/>
        </w:rPr>
        <w:t xml:space="preserve">c) 15,43 % (t. j. spolu 50 914 723 304 EUR) pre rozvinutejšie regióny; </w:t>
      </w:r>
    </w:p>
    <w:p>
      <w:pPr>
        <w:pBdr>
          <w:top w:val="nil"/>
          <w:left w:val="nil"/>
          <w:bottom w:val="nil"/>
          <w:right w:val="nil"/>
          <w:between w:val="nil"/>
          <w:bar w:val="nil"/>
        </w:pBdr>
        <w:spacing w:before="0" w:after="240"/>
        <w:rPr>
          <w:noProof/>
        </w:rPr>
      </w:pPr>
      <w:r>
        <w:rPr>
          <w:noProof/>
        </w:rPr>
        <w:t xml:space="preserve">d) 20,01 % (t. j. spolu 66 029 882 135 EUR) pre členské štáty podporované z Kohézneho fondu; </w:t>
      </w:r>
    </w:p>
    <w:p>
      <w:pPr>
        <w:pBdr>
          <w:top w:val="nil"/>
          <w:left w:val="nil"/>
          <w:bottom w:val="nil"/>
          <w:right w:val="nil"/>
          <w:between w:val="nil"/>
          <w:bar w:val="nil"/>
        </w:pBdr>
        <w:spacing w:before="0" w:after="240"/>
        <w:rPr>
          <w:noProof/>
        </w:rPr>
      </w:pPr>
      <w:r>
        <w:rPr>
          <w:noProof/>
        </w:rPr>
        <w:t>e) 0,42 % (t. j. spolu 1 378 882 914 EUR) ako dodatočné finančné prostriedky pre najvzdialenejšie regióny vymedzené v článku 349 ZFEÚ a regióny úrovne NUTS 2, ktoré spĺňajú kritériá stanovené v článku 2 protokolu č. 6 Aktu o pristúpení z roku 1994.“</w:t>
      </w:r>
    </w:p>
    <w:p>
      <w:pPr>
        <w:pBdr>
          <w:top w:val="nil"/>
          <w:left w:val="nil"/>
          <w:bottom w:val="nil"/>
          <w:right w:val="nil"/>
          <w:between w:val="nil"/>
          <w:bar w:val="nil"/>
        </w:pBdr>
        <w:spacing w:before="0" w:after="240"/>
        <w:rPr>
          <w:noProof/>
        </w:rPr>
      </w:pPr>
      <w:r>
        <w:rPr>
          <w:noProof/>
        </w:rPr>
        <w:t xml:space="preserve">Toto ustanovenie by sa malo opraviť, keďže by správne malo znieť takto: </w:t>
      </w:r>
    </w:p>
    <w:p>
      <w:pPr>
        <w:pBdr>
          <w:top w:val="nil"/>
          <w:left w:val="nil"/>
          <w:bottom w:val="nil"/>
          <w:right w:val="nil"/>
          <w:between w:val="nil"/>
          <w:bar w:val="nil"/>
        </w:pBdr>
        <w:spacing w:before="0" w:after="240"/>
        <w:rPr>
          <w:noProof/>
        </w:rPr>
      </w:pPr>
      <w:r>
        <w:rPr>
          <w:noProof/>
        </w:rPr>
        <w:t>„1. Zdroje na cieľ Investovanie do rastu a zamestnanosti predstavujú 96,09 % celkových zdrojov (t. j. spolu 317 073 545 392 EUR) a pridelia sa takto:</w:t>
      </w:r>
    </w:p>
    <w:p>
      <w:pPr>
        <w:pBdr>
          <w:top w:val="nil"/>
          <w:left w:val="nil"/>
          <w:bottom w:val="nil"/>
          <w:right w:val="nil"/>
          <w:between w:val="nil"/>
          <w:bar w:val="nil"/>
        </w:pBdr>
        <w:spacing w:before="0" w:after="240"/>
        <w:rPr>
          <w:noProof/>
        </w:rPr>
      </w:pPr>
      <w:r>
        <w:rPr>
          <w:noProof/>
        </w:rPr>
        <w:t>a) 51,52 % (t. j. spolu 163 359 380 738 EUR) pre menej rozvinuté regióny;</w:t>
      </w:r>
    </w:p>
    <w:p>
      <w:pPr>
        <w:pBdr>
          <w:top w:val="nil"/>
          <w:left w:val="nil"/>
          <w:bottom w:val="nil"/>
          <w:right w:val="nil"/>
          <w:between w:val="nil"/>
          <w:bar w:val="nil"/>
        </w:pBdr>
        <w:spacing w:before="0" w:after="240"/>
        <w:rPr>
          <w:noProof/>
        </w:rPr>
      </w:pPr>
      <w:r>
        <w:rPr>
          <w:noProof/>
        </w:rPr>
        <w:t>b) 10,82 % (t. j. spolu 34 319 221 039 EUR) pre prechodné regióny;</w:t>
      </w:r>
    </w:p>
    <w:p>
      <w:pPr>
        <w:pBdr>
          <w:top w:val="nil"/>
          <w:left w:val="nil"/>
          <w:bottom w:val="nil"/>
          <w:right w:val="nil"/>
          <w:between w:val="nil"/>
          <w:bar w:val="nil"/>
        </w:pBdr>
        <w:spacing w:before="0" w:after="240"/>
        <w:rPr>
          <w:noProof/>
        </w:rPr>
      </w:pPr>
      <w:r>
        <w:rPr>
          <w:noProof/>
        </w:rPr>
        <w:t>c) 16,33 % (t. j. spolu 51 773 321 432 EUR) pre rozvinutejšie regióny;</w:t>
      </w:r>
    </w:p>
    <w:p>
      <w:pPr>
        <w:pBdr>
          <w:top w:val="nil"/>
          <w:left w:val="nil"/>
          <w:bottom w:val="nil"/>
          <w:right w:val="nil"/>
          <w:between w:val="nil"/>
          <w:bar w:val="nil"/>
        </w:pBdr>
        <w:spacing w:before="0" w:after="240"/>
        <w:rPr>
          <w:noProof/>
        </w:rPr>
      </w:pPr>
      <w:r>
        <w:rPr>
          <w:noProof/>
        </w:rPr>
        <w:t>d) 20,89 % (t. j. spolu 66 236 030 665 EUR) pre členské štáty podporované z Kohézneho fondu;</w:t>
      </w:r>
    </w:p>
    <w:p>
      <w:pPr>
        <w:pBdr>
          <w:top w:val="nil"/>
          <w:left w:val="nil"/>
          <w:bottom w:val="nil"/>
          <w:right w:val="nil"/>
          <w:between w:val="nil"/>
          <w:bar w:val="nil"/>
        </w:pBdr>
        <w:spacing w:before="0" w:after="240"/>
        <w:rPr>
          <w:noProof/>
        </w:rPr>
      </w:pPr>
      <w:r>
        <w:rPr>
          <w:noProof/>
        </w:rPr>
        <w:t>e) 0,44 % (t. j. spolu 1 385 591 518 EUR) ako dodatočné finančné prostriedky pre najvzdialenejšie regióny vymedzené v článku 349 ZFEÚ a regióny úrovne NUTS 2, ktoré spĺňajú kritériá stanovené v článku 2 protokolu č. 6 Aktu o pristúpení z roku 1994.“</w:t>
      </w:r>
    </w:p>
    <w:p>
      <w:pPr>
        <w:pBdr>
          <w:top w:val="nil"/>
          <w:left w:val="nil"/>
          <w:bottom w:val="nil"/>
          <w:right w:val="nil"/>
          <w:between w:val="nil"/>
          <w:bar w:val="nil"/>
        </w:pBdr>
        <w:spacing w:before="0" w:after="240"/>
        <w:rPr>
          <w:rFonts w:eastAsia="Arial Unicode MS"/>
          <w:noProof/>
        </w:rPr>
        <w:sectPr>
          <w:footerReference w:type="default" r:id="rId16"/>
          <w:footerReference w:type="first" r:id="rId17"/>
          <w:pgSz w:w="11907" w:h="16839"/>
          <w:pgMar w:top="1134" w:right="1417" w:bottom="1134" w:left="1417" w:header="709" w:footer="709" w:gutter="0"/>
          <w:cols w:space="720"/>
          <w:docGrid w:linePitch="360"/>
        </w:sectPr>
      </w:pPr>
    </w:p>
    <w:p>
      <w:pPr>
        <w:pStyle w:val="Rfrenceinterinstitutionnelle"/>
        <w:rPr>
          <w:noProof/>
        </w:rPr>
      </w:pPr>
      <w:r>
        <w:rPr>
          <w:noProof/>
        </w:rPr>
        <w:t>2018/0265 (COD)</w:t>
      </w:r>
    </w:p>
    <w:p>
      <w:pPr>
        <w:pStyle w:val="Statut"/>
        <w:rPr>
          <w:noProof/>
        </w:rPr>
      </w:pPr>
      <w:r>
        <w:rPr>
          <w:noProof/>
        </w:rPr>
        <w:t>Návrh</w:t>
      </w:r>
    </w:p>
    <w:p>
      <w:pPr>
        <w:pStyle w:val="Typedudocument"/>
        <w:rPr>
          <w:noProof/>
        </w:rPr>
      </w:pPr>
      <w:r>
        <w:rPr>
          <w:noProof/>
        </w:rPr>
        <w:t>NARIADENIE EURÓPSKEHO PARLAMENTU A RADY,</w:t>
      </w:r>
    </w:p>
    <w:p>
      <w:pPr>
        <w:pStyle w:val="Titreobjet"/>
        <w:rPr>
          <w:noProof/>
        </w:rPr>
      </w:pPr>
      <w:r>
        <w:rPr>
          <w:noProof/>
        </w:rPr>
        <w:t>ktorým sa mení nariadenie (EÚ) č. 1303/2013, pokiaľ ide o zdroje na hospodársku, sociálnu a územnú súdržnosť, a ktorým sa opravuje uvedené nariadenie, pokiaľ ide o zdroje na cieľ Investovanie do rastu a zamestnanosti</w:t>
      </w:r>
    </w:p>
    <w:p>
      <w:pPr>
        <w:pStyle w:val="Institutionquiagit"/>
        <w:rPr>
          <w:noProof/>
          <w:szCs w:val="24"/>
        </w:rPr>
      </w:pPr>
      <w:r>
        <w:rPr>
          <w:noProof/>
        </w:rPr>
        <w:t>EURÓPSKY PARLAMENT A RADA EURÓPSKEJ ÚNIE,</w:t>
      </w:r>
    </w:p>
    <w:p>
      <w:pPr>
        <w:rPr>
          <w:noProof/>
          <w:szCs w:val="24"/>
        </w:rPr>
      </w:pPr>
      <w:r>
        <w:rPr>
          <w:noProof/>
        </w:rPr>
        <w:t xml:space="preserve">so zreteľom na Zmluvu o fungovaní Európskej únie, a najmä na jej článok 177, </w:t>
      </w:r>
    </w:p>
    <w:p>
      <w:pPr>
        <w:rPr>
          <w:noProof/>
          <w:szCs w:val="24"/>
        </w:rPr>
      </w:pPr>
      <w:r>
        <w:rPr>
          <w:noProof/>
        </w:rPr>
        <w:t>so zreteľom na návrh Európskej komisie,</w:t>
      </w:r>
    </w:p>
    <w:p>
      <w:pPr>
        <w:rPr>
          <w:noProof/>
          <w:szCs w:val="24"/>
        </w:rPr>
      </w:pPr>
      <w:r>
        <w:rPr>
          <w:noProof/>
        </w:rPr>
        <w:t>po postúpení návrhu legislatívneho aktu národným parlamentom,</w:t>
      </w:r>
    </w:p>
    <w:p>
      <w:pPr>
        <w:rPr>
          <w:noProof/>
          <w:szCs w:val="24"/>
        </w:rPr>
      </w:pPr>
      <w:r>
        <w:rPr>
          <w:noProof/>
        </w:rPr>
        <w:t>so zreteľom na stanovisko Európskeho hospodárskeho a sociálneho výboru</w:t>
      </w:r>
      <w:r>
        <w:rPr>
          <w:rStyle w:val="FootnoteReference"/>
          <w:noProof/>
        </w:rPr>
        <w:footnoteReference w:id="2"/>
      </w:r>
      <w:r>
        <w:rPr>
          <w:noProof/>
        </w:rPr>
        <w:t>,</w:t>
      </w:r>
    </w:p>
    <w:p>
      <w:pPr>
        <w:rPr>
          <w:noProof/>
          <w:szCs w:val="24"/>
        </w:rPr>
      </w:pPr>
      <w:r>
        <w:rPr>
          <w:noProof/>
        </w:rPr>
        <w:t>so zreteľom na stanovisko Výboru regiónov</w:t>
      </w:r>
      <w:r>
        <w:rPr>
          <w:rStyle w:val="FootnoteReference"/>
          <w:noProof/>
        </w:rPr>
        <w:footnoteReference w:id="3"/>
      </w:r>
      <w:r>
        <w:rPr>
          <w:noProof/>
        </w:rPr>
        <w:t xml:space="preserve">, </w:t>
      </w:r>
    </w:p>
    <w:p>
      <w:pPr>
        <w:rPr>
          <w:noProof/>
          <w:szCs w:val="24"/>
        </w:rPr>
      </w:pPr>
      <w:r>
        <w:rPr>
          <w:noProof/>
        </w:rPr>
        <w:t>konajúc v súlade s riadnym legislatívnym postupom,</w:t>
      </w:r>
    </w:p>
    <w:p>
      <w:pPr>
        <w:rPr>
          <w:noProof/>
          <w:szCs w:val="24"/>
        </w:rPr>
      </w:pPr>
      <w:r>
        <w:rPr>
          <w:noProof/>
        </w:rPr>
        <w:t>keďže:</w:t>
      </w:r>
    </w:p>
    <w:p>
      <w:pPr>
        <w:pStyle w:val="ManualConsidrant"/>
        <w:rPr>
          <w:noProof/>
          <w:szCs w:val="24"/>
        </w:rPr>
      </w:pPr>
      <w:r>
        <w:t>(1)</w:t>
      </w:r>
      <w:r>
        <w:tab/>
      </w:r>
      <w:r>
        <w:rPr>
          <w:noProof/>
        </w:rPr>
        <w:t>V nariadení Európskeho parlamentu a Rady (EÚ) č. 1303/2013</w:t>
      </w:r>
      <w:r>
        <w:rPr>
          <w:rStyle w:val="FootnoteReference"/>
          <w:noProof/>
        </w:rPr>
        <w:footnoteReference w:id="4"/>
      </w:r>
      <w:r>
        <w:rPr>
          <w:noProof/>
        </w:rPr>
        <w:t xml:space="preserve"> sa stanovujú spoločné a všeobecné pravidlá uplatniteľné na európske štrukturálne a investičné fondy. </w:t>
      </w:r>
    </w:p>
    <w:p>
      <w:pPr>
        <w:pStyle w:val="ManualConsidrant"/>
        <w:rPr>
          <w:noProof/>
          <w:szCs w:val="24"/>
        </w:rPr>
      </w:pPr>
      <w:r>
        <w:t>(2)</w:t>
      </w:r>
      <w:r>
        <w:tab/>
      </w:r>
      <w:r>
        <w:rPr>
          <w:noProof/>
        </w:rPr>
        <w:t>Nariadením Európskeho parlamentu a Rady (EÚ) 2017/2305</w:t>
      </w:r>
      <w:r>
        <w:rPr>
          <w:rStyle w:val="FootnoteReference"/>
          <w:noProof/>
        </w:rPr>
        <w:footnoteReference w:id="5"/>
      </w:r>
      <w:r>
        <w:rPr>
          <w:noProof/>
        </w:rPr>
        <w:t xml:space="preserve"> sa zmenilo nariadenie (EÚ) č. 1303/2013, okrem iného pokiaľ ide o zdroje pridelené na hospodársku, sociálnu a územnú súdržnosť.</w:t>
      </w:r>
    </w:p>
    <w:p>
      <w:pPr>
        <w:pStyle w:val="ManualConsidrant"/>
        <w:rPr>
          <w:noProof/>
          <w:szCs w:val="24"/>
        </w:rPr>
      </w:pPr>
      <w:r>
        <w:t>(3)</w:t>
      </w:r>
      <w:r>
        <w:tab/>
      </w:r>
      <w:r>
        <w:rPr>
          <w:noProof/>
        </w:rPr>
        <w:t>V rámci všeobecného rozpočtu Európskej únie na rozpočtový rok 2018</w:t>
      </w:r>
      <w:r>
        <w:rPr>
          <w:rStyle w:val="FootnoteReference"/>
          <w:noProof/>
        </w:rPr>
        <w:footnoteReference w:id="6"/>
      </w:r>
      <w:r>
        <w:rPr>
          <w:noProof/>
        </w:rPr>
        <w:t xml:space="preserve"> sa zmenilo finančné programovanie týkajúce sa iniciatívy na podporu zamestnanosti mladých ľudí, a to zvýšením viazaných rozpočtových prostriedkov na osobitné pridelené prostriedky na iniciatívu na podporu zamestnanosti mladých ľudí o 116,7 milióna EUR v bežných cenách a zvýšením celkovej sumy viazaných rozpočtových prostriedkov na iniciatívu na podporu zamestnanosti mladých ľudí na rok 2018 na 350 miliónov EUR v bežných cenách. </w:t>
      </w:r>
    </w:p>
    <w:p>
      <w:pPr>
        <w:pStyle w:val="ManualConsidrant"/>
        <w:rPr>
          <w:noProof/>
          <w:szCs w:val="24"/>
        </w:rPr>
      </w:pPr>
      <w:r>
        <w:t>(4)</w:t>
      </w:r>
      <w:r>
        <w:tab/>
      </w:r>
      <w:r>
        <w:rPr>
          <w:noProof/>
        </w:rPr>
        <w:t>Sumu viazaných rozpočtových prostriedkov na rok 2020 treba upraviť smerom nadol tak, aby sa zohľadnilo predsunutie na rok 2018. Nariadenie (EÚ) č. 1303/2013 by sa preto malo zodpovedajúcim spôsobom zmeniť.</w:t>
      </w:r>
    </w:p>
    <w:p>
      <w:pPr>
        <w:pStyle w:val="ManualConsidrant"/>
        <w:rPr>
          <w:noProof/>
        </w:rPr>
      </w:pPr>
      <w:r>
        <w:t>(5)</w:t>
      </w:r>
      <w:r>
        <w:tab/>
      </w:r>
      <w:r>
        <w:rPr>
          <w:noProof/>
        </w:rPr>
        <w:t>Pri zmene článku 92 ods. 1 nariadenia (EÚ) č. 1303/2013 nariadením (EÚ) 2017/2305 boli určité finančné údaje uvedené v článku 1 ods. 2 písm. a) nariadenia (EÚ) 2017/2305 nesprávne. Tieto finančné údaje by sa mali nahradiť správnymi údajmi. Nariadenie (EÚ) č. 1303/2013 by sa preto malo zodpovedajúcim spôsobom opraviť.</w:t>
      </w:r>
    </w:p>
    <w:p>
      <w:pPr>
        <w:pStyle w:val="ManualConsidrant"/>
        <w:rPr>
          <w:noProof/>
        </w:rPr>
      </w:pPr>
      <w:r>
        <w:t>(6)</w:t>
      </w:r>
      <w:r>
        <w:tab/>
      </w:r>
      <w:r>
        <w:rPr>
          <w:noProof/>
        </w:rPr>
        <w:t xml:space="preserve">Vzhľadom na naliehavú potrebu zmeniť programy, ktorými sa podporuje iniciatíva na podporu zamestnanosti mladých ľudí, toto nariadenie by malo nadobudnúť účinnosť dňom nasledujúcim po jeho uverejnení v </w:t>
      </w:r>
      <w:r>
        <w:rPr>
          <w:i/>
          <w:noProof/>
        </w:rPr>
        <w:t>Úradnom vestníku Európskej únie,</w:t>
      </w:r>
    </w:p>
    <w:p>
      <w:pPr>
        <w:pStyle w:val="Formuledadoption"/>
        <w:rPr>
          <w:noProof/>
        </w:rPr>
      </w:pPr>
      <w:r>
        <w:rPr>
          <w:noProof/>
        </w:rPr>
        <w:t>PRIJALI TOTO NARIADENIE:</w:t>
      </w:r>
    </w:p>
    <w:p>
      <w:pPr>
        <w:pStyle w:val="Titrearticle"/>
        <w:rPr>
          <w:noProof/>
        </w:rPr>
      </w:pPr>
      <w:r>
        <w:rPr>
          <w:noProof/>
        </w:rPr>
        <w:t>Článok 1</w:t>
      </w:r>
    </w:p>
    <w:p>
      <w:pPr>
        <w:rPr>
          <w:noProof/>
        </w:rPr>
      </w:pPr>
      <w:r>
        <w:rPr>
          <w:noProof/>
        </w:rPr>
        <w:t>Nariadenie (EÚ) č. 1303/2013 sa mení takto:</w:t>
      </w:r>
    </w:p>
    <w:p>
      <w:pPr>
        <w:pStyle w:val="Point0"/>
        <w:rPr>
          <w:noProof/>
        </w:rPr>
      </w:pPr>
      <w:r>
        <w:rPr>
          <w:noProof/>
        </w:rPr>
        <w:t>1.</w:t>
      </w:r>
      <w:r>
        <w:rPr>
          <w:noProof/>
        </w:rPr>
        <w:tab/>
        <w:t>V článku 91 sa odsek 1 nahrádza takto:</w:t>
      </w:r>
    </w:p>
    <w:p>
      <w:pPr>
        <w:pStyle w:val="Text1"/>
        <w:rPr>
          <w:noProof/>
        </w:rPr>
      </w:pPr>
      <w:r>
        <w:rPr>
          <w:noProof/>
        </w:rPr>
        <w:t>„1. Zdroje na hospodársku, sociálnu a územnú súdržnosť, ktoré sú k dispozícii pre rozpočtový záväzok na obdobie rokov 2014 – 2020, predstavujú 329 982 345 366 EUR v cenách z roku 2011 v súlade s ročným rozdelením stanoveným v prílohe VI, z čoho 325 938 694 233 EUR prestavuje celkové zdroje pridelené EFRR, ESF a Kohéznemu fondu a 4 043 651 133 EUR predstavuje osobitné pridelené prostriedky na iniciatívu na podporu zamestnanosti mladých ľudí. Na účely programovania a následného zahrnutia do rozpočtu Únie sa výška zdrojov na hospodársku, sociálnu a územnú súdržnosť zaznamenáva s 2 % ročnou sadzbou.“</w:t>
      </w:r>
    </w:p>
    <w:p>
      <w:pPr>
        <w:pStyle w:val="Point0"/>
        <w:rPr>
          <w:noProof/>
        </w:rPr>
      </w:pPr>
      <w:r>
        <w:rPr>
          <w:noProof/>
        </w:rPr>
        <w:t>2.</w:t>
      </w:r>
      <w:r>
        <w:rPr>
          <w:noProof/>
        </w:rPr>
        <w:tab/>
        <w:t>V článku 92 sa odsek 5 nahrádza takto:</w:t>
      </w:r>
    </w:p>
    <w:p>
      <w:pPr>
        <w:pStyle w:val="Text1"/>
        <w:rPr>
          <w:noProof/>
        </w:rPr>
      </w:pPr>
      <w:r>
        <w:rPr>
          <w:noProof/>
        </w:rPr>
        <w:t>„5. Zdroje na iniciatívu na podporu zamestnanosti mladých ľudí tvoria 4 043 651 133 EUR z osobitných pridelených prostriedkov na iniciatívu na podporu zamestnanosti mladých ľudí a najmenej 4 043 651 133 EUR vo forme cielených investícií z ESF.“</w:t>
      </w:r>
    </w:p>
    <w:p>
      <w:pPr>
        <w:pStyle w:val="Point0"/>
        <w:rPr>
          <w:noProof/>
        </w:rPr>
      </w:pPr>
      <w:r>
        <w:rPr>
          <w:noProof/>
        </w:rPr>
        <w:t>3.</w:t>
      </w:r>
      <w:r>
        <w:rPr>
          <w:noProof/>
        </w:rPr>
        <w:tab/>
        <w:t>Príloha VI sa nahrádza textom uvedeným v prílohe k tomuto nariadeniu.</w:t>
      </w:r>
    </w:p>
    <w:p>
      <w:pPr>
        <w:pStyle w:val="Titrearticle"/>
        <w:rPr>
          <w:noProof/>
        </w:rPr>
      </w:pPr>
      <w:r>
        <w:rPr>
          <w:noProof/>
        </w:rPr>
        <w:t>Článok 2</w:t>
      </w:r>
    </w:p>
    <w:p>
      <w:pPr>
        <w:rPr>
          <w:noProof/>
        </w:rPr>
      </w:pPr>
      <w:r>
        <w:rPr>
          <w:noProof/>
        </w:rPr>
        <w:t>Nariadenie (EÚ) č. 1303/2013 sa opravuje takto:</w:t>
      </w:r>
    </w:p>
    <w:p>
      <w:pPr>
        <w:rPr>
          <w:noProof/>
        </w:rPr>
      </w:pPr>
      <w:r>
        <w:rPr>
          <w:noProof/>
        </w:rPr>
        <w:t>V článku 92 sa odsek 1 nahrádza takto:</w:t>
      </w:r>
    </w:p>
    <w:p>
      <w:pPr>
        <w:pStyle w:val="Text1"/>
        <w:rPr>
          <w:noProof/>
        </w:rPr>
      </w:pPr>
      <w:r>
        <w:rPr>
          <w:noProof/>
        </w:rPr>
        <w:t>„1. Zdroje na cieľ Investovanie do rastu a zamestnanosti predstavujú 96,09 % celkových zdrojov (t. j. spolu 317 073 545 392 EUR) a pridelia sa takto:</w:t>
      </w:r>
    </w:p>
    <w:p>
      <w:pPr>
        <w:pStyle w:val="Text1"/>
        <w:rPr>
          <w:noProof/>
        </w:rPr>
      </w:pPr>
      <w:r>
        <w:rPr>
          <w:noProof/>
        </w:rPr>
        <w:t>a) 51,52 % (t. j. spolu 163 359 380 738 EUR) pre menej rozvinuté regióny;</w:t>
      </w:r>
    </w:p>
    <w:p>
      <w:pPr>
        <w:pStyle w:val="Text1"/>
        <w:rPr>
          <w:noProof/>
        </w:rPr>
      </w:pPr>
      <w:r>
        <w:rPr>
          <w:noProof/>
        </w:rPr>
        <w:t>b) 10,82 % (t. j. spolu 34 319 221 039 EUR) pre prechodné regióny;</w:t>
      </w:r>
    </w:p>
    <w:p>
      <w:pPr>
        <w:pStyle w:val="Text1"/>
        <w:rPr>
          <w:noProof/>
        </w:rPr>
      </w:pPr>
      <w:r>
        <w:rPr>
          <w:noProof/>
        </w:rPr>
        <w:t>c) 16,33 % (t. j. spolu 51 773 321 432 EUR) pre rozvinutejšie regióny;</w:t>
      </w:r>
    </w:p>
    <w:p>
      <w:pPr>
        <w:pStyle w:val="Text1"/>
        <w:rPr>
          <w:noProof/>
        </w:rPr>
      </w:pPr>
      <w:r>
        <w:rPr>
          <w:noProof/>
        </w:rPr>
        <w:t>d) 20,89 % (t. j. spolu 66 236 030 665 EUR) pre členské štáty podporované z Kohézneho fondu;</w:t>
      </w:r>
    </w:p>
    <w:p>
      <w:pPr>
        <w:pStyle w:val="Text1"/>
        <w:rPr>
          <w:noProof/>
        </w:rPr>
      </w:pPr>
      <w:r>
        <w:rPr>
          <w:noProof/>
        </w:rPr>
        <w:t>e) 0,44 % (t. j. spolu 1 385 591 518 EUR) ako dodatočné finančné prostriedky pre najvzdialenejšie regióny vymedzené v článku 349 ZFEÚ a regióny úrovne NUTS 2, ktoré spĺňajú kritériá stanovené v článku 2 protokolu č. 6 Aktu o pristúpení z roku 1994.“</w:t>
      </w:r>
    </w:p>
    <w:p>
      <w:pPr>
        <w:pStyle w:val="Titrearticle"/>
        <w:rPr>
          <w:noProof/>
        </w:rPr>
      </w:pPr>
      <w:r>
        <w:rPr>
          <w:noProof/>
        </w:rPr>
        <w:t>Článok 3</w:t>
      </w:r>
    </w:p>
    <w:p>
      <w:pPr>
        <w:rPr>
          <w:noProof/>
        </w:rPr>
      </w:pPr>
      <w:r>
        <w:rPr>
          <w:noProof/>
        </w:rPr>
        <w:t xml:space="preserve">Toto nariadenie </w:t>
      </w:r>
      <w:r>
        <w:rPr>
          <w:noProof/>
          <w:szCs w:val="24"/>
        </w:rPr>
        <w:t>nadobúda účinnosť dňom nasledujúcim po jeho uverejnení</w:t>
      </w:r>
      <w:r>
        <w:rPr>
          <w:noProof/>
        </w:rPr>
        <w:t xml:space="preserve"> v </w:t>
      </w:r>
      <w:r>
        <w:rPr>
          <w:i/>
          <w:noProof/>
        </w:rPr>
        <w:t>Úradnom vestníku Európskej únie</w:t>
      </w:r>
      <w:r>
        <w:rPr>
          <w:noProof/>
        </w:rPr>
        <w:t>.</w:t>
      </w:r>
    </w:p>
    <w:p>
      <w:pPr>
        <w:pStyle w:val="Applicationdirecte"/>
        <w:rPr>
          <w:noProof/>
        </w:rPr>
      </w:pPr>
      <w:r>
        <w:rPr>
          <w:noProof/>
        </w:rPr>
        <w:t>Toto nariadenie je záväzné v celom rozsahu a priamo uplatniteľné vo všetkých členských štátoch.</w:t>
      </w:r>
    </w:p>
    <w:p>
      <w:pPr>
        <w:pStyle w:val="Fait"/>
        <w:rPr>
          <w:noProof/>
        </w:rPr>
      </w:pPr>
      <w:r>
        <w:t>V Bruseli</w:t>
      </w:r>
    </w:p>
    <w:p>
      <w:pPr>
        <w:pStyle w:val="Institutionquisigne"/>
        <w:rPr>
          <w:noProof/>
        </w:rPr>
      </w:pPr>
      <w:r>
        <w:rPr>
          <w:noProof/>
        </w:rPr>
        <w:t>Za Európsky parlament</w:t>
      </w:r>
      <w:r>
        <w:rPr>
          <w:noProof/>
        </w:rPr>
        <w:tab/>
        <w:t>Za Radu</w:t>
      </w:r>
    </w:p>
    <w:p>
      <w:pPr>
        <w:pStyle w:val="Personnequisigne"/>
        <w:rPr>
          <w:noProof/>
        </w:rPr>
      </w:pPr>
      <w:r>
        <w:rPr>
          <w:noProof/>
        </w:rPr>
        <w:t>predseda</w:t>
      </w:r>
      <w:r>
        <w:rPr>
          <w:noProof/>
        </w:rPr>
        <w:tab/>
        <w:t>predseda</w:t>
      </w:r>
    </w:p>
    <w:p>
      <w:pPr>
        <w:rPr>
          <w:noProof/>
        </w:rPr>
      </w:pPr>
      <w:r>
        <w:rPr>
          <w:noProof/>
        </w:rPr>
        <w:br w:type="page"/>
      </w:r>
    </w:p>
    <w:p>
      <w:pPr>
        <w:pStyle w:val="Fichefinanciretitre"/>
        <w:rPr>
          <w:noProof/>
        </w:rPr>
      </w:pPr>
      <w:r>
        <w:rPr>
          <w:noProof/>
        </w:rPr>
        <w:t xml:space="preserve">LEGISLATÍVNY FINANČNÝ VÝKAZ </w:t>
      </w:r>
    </w:p>
    <w:p>
      <w:pPr>
        <w:pStyle w:val="ManualHeading1"/>
        <w:rPr>
          <w:noProof/>
        </w:rPr>
      </w:pPr>
      <w:r>
        <w:rPr>
          <w:noProof/>
        </w:rPr>
        <w:t>1.</w:t>
      </w:r>
      <w:r>
        <w:rPr>
          <w:noProof/>
        </w:rPr>
        <w:tab/>
        <w:t xml:space="preserve">RÁMEC NÁVRHU/INICIATÍVY </w:t>
      </w:r>
    </w:p>
    <w:p>
      <w:pPr>
        <w:pStyle w:val="ManualHeading2"/>
        <w:rPr>
          <w:b w:val="0"/>
          <w:noProof/>
        </w:rPr>
      </w:pPr>
      <w:r>
        <w:rPr>
          <w:noProof/>
        </w:rPr>
        <w:tab/>
      </w:r>
      <w:r>
        <w:rPr>
          <w:b w:val="0"/>
          <w:noProof/>
        </w:rPr>
        <w:t>1.1.</w:t>
      </w:r>
      <w:r>
        <w:rPr>
          <w:noProof/>
        </w:rPr>
        <w:tab/>
      </w:r>
      <w:r>
        <w:rPr>
          <w:b w:val="0"/>
          <w:noProof/>
        </w:rPr>
        <w:t xml:space="preserve">Názov návrhu/iniciatívy </w:t>
      </w:r>
    </w:p>
    <w:p>
      <w:pPr>
        <w:pStyle w:val="ManualHeading2"/>
        <w:rPr>
          <w:b w:val="0"/>
          <w:noProof/>
        </w:rPr>
      </w:pPr>
      <w:r>
        <w:rPr>
          <w:noProof/>
        </w:rPr>
        <w:tab/>
      </w:r>
      <w:r>
        <w:rPr>
          <w:b w:val="0"/>
          <w:noProof/>
        </w:rPr>
        <w:t>1.2.</w:t>
      </w:r>
      <w:r>
        <w:rPr>
          <w:noProof/>
        </w:rPr>
        <w:tab/>
      </w:r>
      <w:r>
        <w:rPr>
          <w:b w:val="0"/>
          <w:noProof/>
        </w:rPr>
        <w:t>Príslušné oblasti politiky v rámci ABM/ABB</w:t>
      </w:r>
    </w:p>
    <w:p>
      <w:pPr>
        <w:pStyle w:val="ManualHeading2"/>
        <w:rPr>
          <w:b w:val="0"/>
          <w:noProof/>
        </w:rPr>
      </w:pPr>
      <w:r>
        <w:rPr>
          <w:noProof/>
        </w:rPr>
        <w:tab/>
      </w:r>
      <w:r>
        <w:rPr>
          <w:b w:val="0"/>
          <w:noProof/>
        </w:rPr>
        <w:t>1.3.</w:t>
      </w:r>
      <w:r>
        <w:rPr>
          <w:noProof/>
        </w:rPr>
        <w:tab/>
      </w:r>
      <w:r>
        <w:rPr>
          <w:b w:val="0"/>
          <w:noProof/>
        </w:rPr>
        <w:t xml:space="preserve">Druh návrhu/iniciatívy </w:t>
      </w:r>
    </w:p>
    <w:p>
      <w:pPr>
        <w:pStyle w:val="ManualHeading2"/>
        <w:rPr>
          <w:b w:val="0"/>
          <w:noProof/>
        </w:rPr>
      </w:pPr>
      <w:r>
        <w:rPr>
          <w:noProof/>
        </w:rPr>
        <w:tab/>
      </w:r>
      <w:r>
        <w:rPr>
          <w:b w:val="0"/>
          <w:noProof/>
        </w:rPr>
        <w:t>1.4.</w:t>
      </w:r>
      <w:r>
        <w:rPr>
          <w:noProof/>
        </w:rPr>
        <w:tab/>
      </w:r>
      <w:r>
        <w:rPr>
          <w:b w:val="0"/>
          <w:noProof/>
        </w:rPr>
        <w:t xml:space="preserve">Ciele </w:t>
      </w:r>
    </w:p>
    <w:p>
      <w:pPr>
        <w:pStyle w:val="ManualHeading2"/>
        <w:rPr>
          <w:b w:val="0"/>
          <w:noProof/>
        </w:rPr>
      </w:pPr>
      <w:r>
        <w:rPr>
          <w:noProof/>
        </w:rPr>
        <w:tab/>
      </w:r>
      <w:r>
        <w:rPr>
          <w:b w:val="0"/>
          <w:noProof/>
        </w:rPr>
        <w:t>1.5.</w:t>
      </w:r>
      <w:r>
        <w:rPr>
          <w:noProof/>
        </w:rPr>
        <w:tab/>
      </w:r>
      <w:r>
        <w:rPr>
          <w:b w:val="0"/>
          <w:noProof/>
        </w:rPr>
        <w:t xml:space="preserve">Dôvody návrhu/iniciatívy </w:t>
      </w:r>
    </w:p>
    <w:p>
      <w:pPr>
        <w:pStyle w:val="ManualHeading2"/>
        <w:rPr>
          <w:b w:val="0"/>
          <w:noProof/>
        </w:rPr>
      </w:pPr>
      <w:r>
        <w:rPr>
          <w:noProof/>
        </w:rPr>
        <w:tab/>
      </w:r>
      <w:r>
        <w:rPr>
          <w:b w:val="0"/>
          <w:noProof/>
        </w:rPr>
        <w:t>1.6.</w:t>
      </w:r>
      <w:r>
        <w:rPr>
          <w:noProof/>
        </w:rPr>
        <w:tab/>
      </w:r>
      <w:r>
        <w:rPr>
          <w:b w:val="0"/>
          <w:noProof/>
        </w:rPr>
        <w:t xml:space="preserve">Trvanie a finančný vplyv </w:t>
      </w:r>
    </w:p>
    <w:p>
      <w:pPr>
        <w:pStyle w:val="ManualHeading2"/>
        <w:rPr>
          <w:b w:val="0"/>
          <w:noProof/>
        </w:rPr>
      </w:pPr>
      <w:r>
        <w:rPr>
          <w:noProof/>
        </w:rPr>
        <w:tab/>
      </w:r>
      <w:r>
        <w:rPr>
          <w:b w:val="0"/>
          <w:noProof/>
        </w:rPr>
        <w:t>1.7.</w:t>
      </w:r>
      <w:r>
        <w:rPr>
          <w:noProof/>
        </w:rPr>
        <w:tab/>
      </w:r>
      <w:r>
        <w:rPr>
          <w:b w:val="0"/>
          <w:noProof/>
        </w:rPr>
        <w:t xml:space="preserve">Plánovaný spôsob riadenia </w:t>
      </w:r>
    </w:p>
    <w:p>
      <w:pPr>
        <w:pStyle w:val="ManualHeading1"/>
        <w:rPr>
          <w:noProof/>
        </w:rPr>
      </w:pPr>
      <w:r>
        <w:rPr>
          <w:noProof/>
        </w:rPr>
        <w:t>2.</w:t>
      </w:r>
      <w:r>
        <w:rPr>
          <w:noProof/>
        </w:rPr>
        <w:tab/>
        <w:t xml:space="preserve">OPATRENIA V OBLASTI RIADENIA </w:t>
      </w:r>
    </w:p>
    <w:p>
      <w:pPr>
        <w:pStyle w:val="ManualHeading2"/>
        <w:rPr>
          <w:b w:val="0"/>
          <w:noProof/>
        </w:rPr>
      </w:pPr>
      <w:r>
        <w:rPr>
          <w:noProof/>
        </w:rPr>
        <w:tab/>
      </w:r>
      <w:r>
        <w:rPr>
          <w:b w:val="0"/>
          <w:noProof/>
        </w:rPr>
        <w:t>2.1.</w:t>
      </w:r>
      <w:r>
        <w:rPr>
          <w:noProof/>
        </w:rPr>
        <w:tab/>
      </w:r>
      <w:r>
        <w:rPr>
          <w:b w:val="0"/>
          <w:noProof/>
        </w:rPr>
        <w:t xml:space="preserve">Opatrenia týkajúce sa monitorovania a predkladania správ </w:t>
      </w:r>
    </w:p>
    <w:p>
      <w:pPr>
        <w:pStyle w:val="ManualHeading2"/>
        <w:rPr>
          <w:b w:val="0"/>
          <w:noProof/>
        </w:rPr>
      </w:pPr>
      <w:r>
        <w:rPr>
          <w:noProof/>
        </w:rPr>
        <w:tab/>
      </w:r>
      <w:r>
        <w:rPr>
          <w:b w:val="0"/>
          <w:noProof/>
        </w:rPr>
        <w:t>2.2.</w:t>
      </w:r>
      <w:r>
        <w:rPr>
          <w:noProof/>
        </w:rPr>
        <w:tab/>
      </w:r>
      <w:r>
        <w:rPr>
          <w:b w:val="0"/>
          <w:noProof/>
        </w:rPr>
        <w:t xml:space="preserve">Systémy riadenia a kontroly </w:t>
      </w:r>
    </w:p>
    <w:p>
      <w:pPr>
        <w:pStyle w:val="ManualHeading2"/>
        <w:rPr>
          <w:b w:val="0"/>
          <w:noProof/>
        </w:rPr>
      </w:pPr>
      <w:r>
        <w:rPr>
          <w:noProof/>
        </w:rPr>
        <w:tab/>
      </w:r>
      <w:r>
        <w:rPr>
          <w:b w:val="0"/>
          <w:noProof/>
        </w:rPr>
        <w:t>2.3.</w:t>
      </w:r>
      <w:r>
        <w:rPr>
          <w:noProof/>
        </w:rPr>
        <w:tab/>
      </w:r>
      <w:r>
        <w:rPr>
          <w:b w:val="0"/>
          <w:noProof/>
        </w:rPr>
        <w:t xml:space="preserve">Opatrenia na predchádzanie podvodom a nezrovnalostiam </w:t>
      </w:r>
    </w:p>
    <w:p>
      <w:pPr>
        <w:pStyle w:val="ManualHeading1"/>
        <w:rPr>
          <w:noProof/>
        </w:rPr>
      </w:pPr>
      <w:r>
        <w:rPr>
          <w:noProof/>
        </w:rPr>
        <w:t>3.</w:t>
      </w:r>
      <w:r>
        <w:rPr>
          <w:noProof/>
        </w:rPr>
        <w:tab/>
        <w:t xml:space="preserve">ODHADOVANÝ FINANČNÝ VPLYV NÁVRHU/INICIATÍVY </w:t>
      </w:r>
    </w:p>
    <w:p>
      <w:pPr>
        <w:pStyle w:val="ManualHeading2"/>
        <w:rPr>
          <w:b w:val="0"/>
          <w:noProof/>
        </w:rPr>
      </w:pPr>
      <w:r>
        <w:rPr>
          <w:noProof/>
        </w:rPr>
        <w:tab/>
      </w:r>
      <w:r>
        <w:rPr>
          <w:b w:val="0"/>
          <w:noProof/>
        </w:rPr>
        <w:t>3.1.</w:t>
      </w:r>
      <w:r>
        <w:rPr>
          <w:noProof/>
        </w:rPr>
        <w:tab/>
      </w:r>
      <w:r>
        <w:rPr>
          <w:b w:val="0"/>
          <w:noProof/>
        </w:rPr>
        <w:t xml:space="preserve">Príslušné okruhy viacročného finančného rámca a rozpočtové riadky výdavkov </w:t>
      </w:r>
    </w:p>
    <w:p>
      <w:pPr>
        <w:pStyle w:val="ManualHeading2"/>
        <w:rPr>
          <w:noProof/>
        </w:rPr>
      </w:pPr>
      <w:r>
        <w:rPr>
          <w:noProof/>
        </w:rPr>
        <w:tab/>
      </w:r>
      <w:r>
        <w:rPr>
          <w:b w:val="0"/>
          <w:noProof/>
        </w:rPr>
        <w:t>3.2.</w:t>
      </w:r>
      <w:r>
        <w:rPr>
          <w:noProof/>
        </w:rPr>
        <w:tab/>
      </w:r>
      <w:r>
        <w:rPr>
          <w:b w:val="0"/>
          <w:noProof/>
        </w:rPr>
        <w:t>Odhadovaný vplyv na výdavky</w:t>
      </w:r>
      <w:r>
        <w:rPr>
          <w:noProof/>
        </w:rPr>
        <w:t xml:space="preserve"> </w:t>
      </w:r>
    </w:p>
    <w:p>
      <w:pPr>
        <w:pStyle w:val="ManualHeading3"/>
        <w:rPr>
          <w:noProof/>
        </w:rPr>
      </w:pPr>
      <w:r>
        <w:rPr>
          <w:noProof/>
        </w:rPr>
        <w:tab/>
        <w:t>3.2.1.</w:t>
      </w:r>
      <w:r>
        <w:rPr>
          <w:noProof/>
        </w:rPr>
        <w:tab/>
        <w:t xml:space="preserve">Zhrnutie odhadovaného vplyvu na výdavky </w:t>
      </w:r>
    </w:p>
    <w:p>
      <w:pPr>
        <w:pStyle w:val="ManualHeading3"/>
        <w:rPr>
          <w:noProof/>
        </w:rPr>
      </w:pPr>
      <w:r>
        <w:rPr>
          <w:noProof/>
        </w:rPr>
        <w:tab/>
        <w:t>3.2.2.</w:t>
      </w:r>
      <w:r>
        <w:rPr>
          <w:noProof/>
        </w:rPr>
        <w:tab/>
        <w:t xml:space="preserve">Odhadovaný vplyv na operačné rozpočtové prostriedky </w:t>
      </w:r>
    </w:p>
    <w:p>
      <w:pPr>
        <w:pStyle w:val="ManualHeading3"/>
        <w:rPr>
          <w:noProof/>
        </w:rPr>
      </w:pPr>
      <w:r>
        <w:rPr>
          <w:noProof/>
        </w:rPr>
        <w:tab/>
        <w:t>3.2.3.</w:t>
      </w:r>
      <w:r>
        <w:rPr>
          <w:noProof/>
        </w:rPr>
        <w:tab/>
        <w:t>Odhadovaný vplyv na administratívne rozpočtové prostriedky</w:t>
      </w:r>
    </w:p>
    <w:p>
      <w:pPr>
        <w:pStyle w:val="ManualHeading3"/>
        <w:rPr>
          <w:noProof/>
        </w:rPr>
      </w:pPr>
      <w:r>
        <w:rPr>
          <w:noProof/>
        </w:rPr>
        <w:tab/>
        <w:t>3.2.4.</w:t>
      </w:r>
      <w:r>
        <w:rPr>
          <w:noProof/>
        </w:rPr>
        <w:tab/>
        <w:t>Súlad s platným viacročným finančným rámcom</w:t>
      </w:r>
    </w:p>
    <w:p>
      <w:pPr>
        <w:pStyle w:val="ManualHeading3"/>
        <w:rPr>
          <w:noProof/>
        </w:rPr>
      </w:pPr>
      <w:r>
        <w:rPr>
          <w:noProof/>
        </w:rPr>
        <w:tab/>
        <w:t>3.2.5.</w:t>
      </w:r>
      <w:r>
        <w:rPr>
          <w:noProof/>
        </w:rPr>
        <w:tab/>
        <w:t xml:space="preserve">Príspevky od tretích strán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Odhadovaný vplyv na príjmy</w:t>
      </w:r>
    </w:p>
    <w:p>
      <w:pPr>
        <w:jc w:val="center"/>
        <w:rPr>
          <w:b/>
          <w:noProof/>
          <w:u w:val="single"/>
        </w:rPr>
      </w:pPr>
      <w:r>
        <w:rPr>
          <w:b/>
          <w:noProof/>
          <w:u w:val="single"/>
        </w:rPr>
        <w:t>LEGISLATÍVNY FINANČNÝ VÝKAZ</w:t>
      </w:r>
    </w:p>
    <w:p>
      <w:pPr>
        <w:pStyle w:val="ManualHeading1"/>
        <w:rPr>
          <w:noProof/>
        </w:rPr>
      </w:pPr>
      <w:r>
        <w:rPr>
          <w:noProof/>
        </w:rPr>
        <w:t>1.</w:t>
      </w:r>
      <w:r>
        <w:rPr>
          <w:noProof/>
        </w:rPr>
        <w:tab/>
        <w:t xml:space="preserve">RÁMEC NÁVRHU/INICIATÍVY </w:t>
      </w:r>
    </w:p>
    <w:p>
      <w:pPr>
        <w:pStyle w:val="ManualHeading2"/>
        <w:rPr>
          <w:noProof/>
        </w:rPr>
      </w:pPr>
      <w:r>
        <w:rPr>
          <w:noProof/>
        </w:rPr>
        <w:t>1.1.</w:t>
      </w:r>
      <w:r>
        <w:rPr>
          <w:noProof/>
        </w:rPr>
        <w:tab/>
        <w:t xml:space="preserve">Názov návrhu/iniciatívy </w:t>
      </w:r>
    </w:p>
    <w:p>
      <w:pPr>
        <w:pStyle w:val="Text1"/>
        <w:pBdr>
          <w:top w:val="single" w:sz="4" w:space="1" w:color="auto"/>
          <w:left w:val="single" w:sz="4" w:space="4" w:color="auto"/>
          <w:bottom w:val="single" w:sz="4" w:space="1" w:color="auto"/>
          <w:right w:val="single" w:sz="4" w:space="4" w:color="auto"/>
        </w:pBdr>
        <w:rPr>
          <w:noProof/>
        </w:rPr>
      </w:pPr>
      <w:r>
        <w:rPr>
          <w:noProof/>
        </w:rPr>
        <w:t>Návrh</w:t>
      </w:r>
    </w:p>
    <w:p>
      <w:pPr>
        <w:pStyle w:val="Text1"/>
        <w:pBdr>
          <w:top w:val="single" w:sz="4" w:space="1" w:color="auto"/>
          <w:left w:val="single" w:sz="4" w:space="4" w:color="auto"/>
          <w:bottom w:val="single" w:sz="4" w:space="1" w:color="auto"/>
          <w:right w:val="single" w:sz="4" w:space="4" w:color="auto"/>
        </w:pBdr>
        <w:rPr>
          <w:noProof/>
        </w:rPr>
      </w:pPr>
      <w:r>
        <w:rPr>
          <w:noProof/>
        </w:rPr>
        <w:t>NARIADENIE EURÓPSKEHO PARLAMENTU A RADY,</w:t>
      </w:r>
    </w:p>
    <w:p>
      <w:pPr>
        <w:pStyle w:val="Text1"/>
        <w:pBdr>
          <w:top w:val="single" w:sz="4" w:space="1" w:color="auto"/>
          <w:left w:val="single" w:sz="4" w:space="4" w:color="auto"/>
          <w:bottom w:val="single" w:sz="4" w:space="1" w:color="auto"/>
          <w:right w:val="single" w:sz="4" w:space="4" w:color="auto"/>
        </w:pBdr>
        <w:rPr>
          <w:noProof/>
        </w:rPr>
      </w:pPr>
      <w:r>
        <w:rPr>
          <w:noProof/>
        </w:rPr>
        <w:t>ktorým sa mení nariadenie (EÚ) č. 1303/2013, pokiaľ ide o zdroje na hospodársku, sociálnu a územnú súdržnosť, a ktorým sa opravuje uvedené nariadenie, pokiaľ ide o zdroje na cieľ Investovanie do rastu a zamestnanosti</w:t>
      </w:r>
    </w:p>
    <w:p>
      <w:pPr>
        <w:pStyle w:val="ManualHeading2"/>
        <w:rPr>
          <w:noProof/>
          <w:szCs w:val="24"/>
        </w:rPr>
      </w:pPr>
      <w:r>
        <w:rPr>
          <w:noProof/>
        </w:rPr>
        <w:t>1.2.</w:t>
      </w:r>
      <w:r>
        <w:rPr>
          <w:noProof/>
        </w:rPr>
        <w:tab/>
        <w:t>Príslušné oblasti politiky v rámci ABM/ABB</w:t>
      </w:r>
      <w:r>
        <w:rPr>
          <w:rStyle w:val="FootnoteReference"/>
          <w:noProof/>
        </w:rPr>
        <w:footnoteReference w:id="7"/>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4 Zamestnanosť, sociálne záležitosti a začlenenie</w:t>
      </w:r>
    </w:p>
    <w:p>
      <w:pPr>
        <w:pStyle w:val="Text1"/>
        <w:pBdr>
          <w:top w:val="single" w:sz="4" w:space="1" w:color="auto"/>
          <w:left w:val="single" w:sz="4" w:space="4" w:color="auto"/>
          <w:bottom w:val="single" w:sz="4" w:space="1" w:color="auto"/>
          <w:right w:val="single" w:sz="4" w:space="4" w:color="auto"/>
        </w:pBdr>
        <w:rPr>
          <w:noProof/>
        </w:rPr>
      </w:pPr>
      <w:r>
        <w:rPr>
          <w:noProof/>
        </w:rPr>
        <w:t>04 02 60 – Európsky sociálny fond – Menej rozvinuté regióny – Cieľ Investovanie do rastu a zamestnanosti</w:t>
      </w:r>
    </w:p>
    <w:p>
      <w:pPr>
        <w:pStyle w:val="Text1"/>
        <w:pBdr>
          <w:top w:val="single" w:sz="4" w:space="1" w:color="auto"/>
          <w:left w:val="single" w:sz="4" w:space="4" w:color="auto"/>
          <w:bottom w:val="single" w:sz="4" w:space="1" w:color="auto"/>
          <w:right w:val="single" w:sz="4" w:space="4" w:color="auto"/>
        </w:pBdr>
        <w:rPr>
          <w:noProof/>
        </w:rPr>
      </w:pPr>
      <w:r>
        <w:rPr>
          <w:noProof/>
        </w:rPr>
        <w:t>04 02 61 – Európsky sociálny fond – Prechodné regióny – Cieľ Investovanie do rastu a zamestnanosti</w:t>
      </w:r>
    </w:p>
    <w:p>
      <w:pPr>
        <w:pStyle w:val="Text1"/>
        <w:pBdr>
          <w:top w:val="single" w:sz="4" w:space="1" w:color="auto"/>
          <w:left w:val="single" w:sz="4" w:space="4" w:color="auto"/>
          <w:bottom w:val="single" w:sz="4" w:space="1" w:color="auto"/>
          <w:right w:val="single" w:sz="4" w:space="4" w:color="auto"/>
        </w:pBdr>
        <w:rPr>
          <w:noProof/>
        </w:rPr>
      </w:pPr>
      <w:r>
        <w:rPr>
          <w:noProof/>
        </w:rPr>
        <w:t xml:space="preserve">04 02 62 – Európsky sociálny fond – Rozvinutejšie regióny – Cieľ Investovanie do rastu a zamestnanosti </w:t>
      </w:r>
    </w:p>
    <w:p>
      <w:pPr>
        <w:pStyle w:val="Text1"/>
        <w:pBdr>
          <w:top w:val="single" w:sz="4" w:space="1" w:color="auto"/>
          <w:left w:val="single" w:sz="4" w:space="4" w:color="auto"/>
          <w:bottom w:val="single" w:sz="4" w:space="1" w:color="auto"/>
          <w:right w:val="single" w:sz="4" w:space="4" w:color="auto"/>
        </w:pBdr>
        <w:rPr>
          <w:noProof/>
        </w:rPr>
      </w:pPr>
      <w:r>
        <w:rPr>
          <w:noProof/>
        </w:rPr>
        <w:t>04 02 64 – Iniciatíva na podporu zamestnanosti mladých ľudí (YEI)</w:t>
      </w:r>
    </w:p>
    <w:p>
      <w:pPr>
        <w:pStyle w:val="Text1"/>
        <w:pBdr>
          <w:top w:val="single" w:sz="4" w:space="1" w:color="auto"/>
          <w:left w:val="single" w:sz="4" w:space="4" w:color="auto"/>
          <w:bottom w:val="single" w:sz="4" w:space="1" w:color="auto"/>
          <w:right w:val="single" w:sz="4" w:space="4" w:color="auto"/>
        </w:pBdr>
        <w:rPr>
          <w:noProof/>
        </w:rPr>
      </w:pPr>
      <w:r>
        <w:rPr>
          <w:noProof/>
        </w:rPr>
        <w:t xml:space="preserve">13 Regionálna a mestská politika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60 – Európsky fond regionálneho rozvoja (EFRR) – Menej rozvinuté regióny – Cieľ Investovanie do rastu a zamestnanosti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61 – Európsky fond regionálneho rozvoja (EFRR) – Prechodné regióny – Cieľ Investovanie do rastu a zamestnanosti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13 03 62 – Európsky fond regionálneho rozvoja (EFRR) – Rozvinutejšie regióny – Cieľ Investovanie do rastu a zamestnanosti </w:t>
      </w:r>
    </w:p>
    <w:p>
      <w:pPr>
        <w:pStyle w:val="Text1"/>
        <w:pBdr>
          <w:top w:val="single" w:sz="4" w:space="1" w:color="auto"/>
          <w:left w:val="single" w:sz="4" w:space="4" w:color="auto"/>
          <w:bottom w:val="single" w:sz="4" w:space="1" w:color="auto"/>
          <w:right w:val="single" w:sz="4" w:space="4" w:color="auto"/>
        </w:pBdr>
        <w:rPr>
          <w:noProof/>
        </w:rPr>
      </w:pPr>
      <w:r>
        <w:rPr>
          <w:noProof/>
        </w:rPr>
        <w:t>13 03 63 – Európsky fond regionálneho rozvoja (EFRR) – Dodatočné pridelené prostriedky pre najvzdialenejšie a riedko osídlené regióny – Cieľ Investovanie do rastu a zamestnanosti</w:t>
      </w:r>
    </w:p>
    <w:p>
      <w:pPr>
        <w:pStyle w:val="Text1"/>
        <w:pBdr>
          <w:top w:val="single" w:sz="4" w:space="1" w:color="auto"/>
          <w:left w:val="single" w:sz="4" w:space="4" w:color="auto"/>
          <w:bottom w:val="single" w:sz="4" w:space="1" w:color="auto"/>
          <w:right w:val="single" w:sz="4" w:space="4" w:color="auto"/>
        </w:pBdr>
        <w:rPr>
          <w:noProof/>
        </w:rPr>
      </w:pPr>
      <w:r>
        <w:rPr>
          <w:noProof/>
        </w:rPr>
        <w:t>13 03 64 01 – Európsky fond regionálneho rozvoja (EFRR) – Európska územná spolupráca</w:t>
      </w:r>
    </w:p>
    <w:p>
      <w:pPr>
        <w:pStyle w:val="Text1"/>
        <w:pBdr>
          <w:top w:val="single" w:sz="4" w:space="1" w:color="auto"/>
          <w:left w:val="single" w:sz="4" w:space="4" w:color="auto"/>
          <w:bottom w:val="single" w:sz="4" w:space="1" w:color="auto"/>
          <w:right w:val="single" w:sz="4" w:space="4" w:color="auto"/>
        </w:pBdr>
        <w:rPr>
          <w:noProof/>
        </w:rPr>
      </w:pPr>
      <w:r>
        <w:rPr>
          <w:noProof/>
        </w:rPr>
        <w:t>13 04 60 – Kohézny fond – Cieľ Investovanie do rastu a zamestnanosti</w:t>
      </w:r>
    </w:p>
    <w:p>
      <w:pPr>
        <w:pStyle w:val="ManualHeading2"/>
        <w:rPr>
          <w:bCs/>
          <w:noProof/>
          <w:szCs w:val="24"/>
        </w:rPr>
      </w:pPr>
      <w:r>
        <w:rPr>
          <w:noProof/>
        </w:rPr>
        <w:t>1.3.</w:t>
      </w:r>
      <w:r>
        <w:rPr>
          <w:noProof/>
        </w:rPr>
        <w:tab/>
        <w:t xml:space="preserve">Druh návrhu/iniciatívy </w:t>
      </w:r>
    </w:p>
    <w:p>
      <w:pPr>
        <w:pStyle w:val="Text1"/>
        <w:rPr>
          <w:b/>
          <w:noProof/>
          <w:sz w:val="22"/>
        </w:rPr>
      </w:pPr>
      <w:r>
        <w:rPr>
          <w:noProof/>
          <w:sz w:val="22"/>
        </w:rPr>
        <w:sym w:font="Wingdings" w:char="F0A8"/>
      </w:r>
      <w:r>
        <w:rPr>
          <w:b/>
          <w:i/>
          <w:noProof/>
          <w:sz w:val="22"/>
        </w:rPr>
        <w:t xml:space="preserve"> </w:t>
      </w:r>
      <w:r>
        <w:rPr>
          <w:noProof/>
        </w:rPr>
        <w:t xml:space="preserve">Návrh/iniciatíva sa týka </w:t>
      </w:r>
      <w:r>
        <w:rPr>
          <w:b/>
          <w:noProof/>
        </w:rPr>
        <w:t>novej akcie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Návrh/iniciatíva sa týka </w:t>
      </w:r>
      <w:r>
        <w:rPr>
          <w:b/>
          <w:noProof/>
        </w:rPr>
        <w:t>novej akcie, ktorá nadväzuje na pilotný projekt/prípravnú akciu</w:t>
      </w:r>
      <w:r>
        <w:rPr>
          <w:rStyle w:val="FootnoteReference"/>
          <w:b/>
          <w:noProof/>
        </w:rPr>
        <w:footnoteReference w:id="8"/>
      </w:r>
      <w:r>
        <w:rPr>
          <w:noProof/>
          <w:sz w:val="22"/>
        </w:rPr>
        <w:t xml:space="preserve"> </w:t>
      </w:r>
    </w:p>
    <w:p>
      <w:pPr>
        <w:pStyle w:val="Text1"/>
        <w:rPr>
          <w:noProof/>
          <w:sz w:val="22"/>
        </w:rPr>
      </w:pPr>
      <w:r>
        <w:rPr>
          <w:noProof/>
          <w:sz w:val="22"/>
        </w:rPr>
        <w:sym w:font="Wingdings" w:char="F078"/>
      </w:r>
      <w:r>
        <w:rPr>
          <w:i/>
          <w:noProof/>
          <w:sz w:val="22"/>
        </w:rPr>
        <w:t xml:space="preserve"> </w:t>
      </w:r>
      <w:r>
        <w:rPr>
          <w:noProof/>
        </w:rPr>
        <w:t xml:space="preserve">Návrh/iniciatíva sa týka </w:t>
      </w:r>
      <w:r>
        <w:rPr>
          <w:b/>
          <w:noProof/>
        </w:rPr>
        <w:t>predĺženia trvania existujúcej akcie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Návrh/iniciatíva sa týka </w:t>
      </w:r>
      <w:r>
        <w:rPr>
          <w:b/>
          <w:noProof/>
        </w:rPr>
        <w:t>akcie presmerovanej na novú akciu</w:t>
      </w:r>
      <w:r>
        <w:rPr>
          <w:noProof/>
        </w:rPr>
        <w:t xml:space="preserve"> </w:t>
      </w:r>
    </w:p>
    <w:p>
      <w:pPr>
        <w:pStyle w:val="ManualHeading2"/>
        <w:rPr>
          <w:bCs/>
          <w:noProof/>
          <w:szCs w:val="24"/>
        </w:rPr>
      </w:pPr>
      <w:r>
        <w:rPr>
          <w:noProof/>
        </w:rPr>
        <w:t>1.4.</w:t>
      </w:r>
      <w:r>
        <w:rPr>
          <w:noProof/>
        </w:rPr>
        <w:tab/>
        <w:t>Ciele</w:t>
      </w:r>
    </w:p>
    <w:p>
      <w:pPr>
        <w:pStyle w:val="ManualHeading3"/>
        <w:rPr>
          <w:noProof/>
        </w:rPr>
      </w:pPr>
      <w:r>
        <w:rPr>
          <w:noProof/>
        </w:rPr>
        <w:t>1.4.1.</w:t>
      </w:r>
      <w:r>
        <w:rPr>
          <w:noProof/>
        </w:rPr>
        <w:tab/>
        <w:t xml:space="preserve">Viacročné strategické ciele Komisie, ktoré sú predmetom návrhu/iniciatívy </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3"/>
        <w:rPr>
          <w:bCs/>
          <w:noProof/>
          <w:szCs w:val="24"/>
        </w:rPr>
      </w:pPr>
      <w:r>
        <w:rPr>
          <w:noProof/>
        </w:rPr>
        <w:t>1.4.2.</w:t>
      </w:r>
      <w:r>
        <w:rPr>
          <w:noProof/>
        </w:rPr>
        <w:tab/>
        <w:t xml:space="preserve">Špecifické ciele a príslušné činnosti v rámci ABM/ABB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Špecifický cieľ č.</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Príslušné činnosti v rámci ABM/ABB</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3"/>
        <w:rPr>
          <w:bCs/>
          <w:noProof/>
          <w:szCs w:val="24"/>
        </w:rPr>
      </w:pPr>
      <w:r>
        <w:rPr>
          <w:noProof/>
        </w:rPr>
        <w:t>1.4.3.</w:t>
      </w:r>
      <w:r>
        <w:rPr>
          <w:noProof/>
        </w:rPr>
        <w:tab/>
        <w:t>Očakávané výsledky a vplyv</w:t>
      </w:r>
    </w:p>
    <w:p>
      <w:pPr>
        <w:pStyle w:val="Text1"/>
        <w:rPr>
          <w:i/>
          <w:noProof/>
          <w:sz w:val="20"/>
        </w:rPr>
      </w:pPr>
      <w:r>
        <w:rPr>
          <w:i/>
          <w:noProof/>
          <w:sz w:val="20"/>
        </w:rPr>
        <w:t>Uveďte, aký vplyv by mal mať návrh/iniciatíva na prijímateľov/cieľové skupiny.</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3"/>
        <w:rPr>
          <w:bCs/>
          <w:noProof/>
          <w:szCs w:val="24"/>
        </w:rPr>
      </w:pPr>
      <w:r>
        <w:rPr>
          <w:noProof/>
        </w:rPr>
        <w:t>1.4.4.</w:t>
      </w:r>
      <w:r>
        <w:rPr>
          <w:noProof/>
        </w:rPr>
        <w:tab/>
        <w:t xml:space="preserve">Ukazovatele výsledkov a vplyvu </w:t>
      </w:r>
    </w:p>
    <w:p>
      <w:pPr>
        <w:pStyle w:val="Text1"/>
        <w:rPr>
          <w:i/>
          <w:noProof/>
          <w:sz w:val="20"/>
        </w:rPr>
      </w:pPr>
      <w:r>
        <w:rPr>
          <w:i/>
          <w:noProof/>
          <w:sz w:val="20"/>
        </w:rPr>
        <w:t>Uveďte ukazovatele, pomocou ktorých je možné sledovať uskutočňovanie návrhu/iniciatívy.</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2"/>
        <w:rPr>
          <w:bCs/>
          <w:noProof/>
          <w:szCs w:val="24"/>
        </w:rPr>
      </w:pPr>
      <w:r>
        <w:rPr>
          <w:noProof/>
        </w:rPr>
        <w:t>1.5.</w:t>
      </w:r>
      <w:r>
        <w:rPr>
          <w:noProof/>
        </w:rPr>
        <w:tab/>
        <w:t xml:space="preserve">Dôvody návrhu/iniciatívy </w:t>
      </w:r>
    </w:p>
    <w:p>
      <w:pPr>
        <w:pStyle w:val="ManualHeading3"/>
        <w:rPr>
          <w:noProof/>
        </w:rPr>
      </w:pPr>
      <w:r>
        <w:rPr>
          <w:noProof/>
        </w:rPr>
        <w:t>1.5.1.</w:t>
      </w:r>
      <w:r>
        <w:rPr>
          <w:noProof/>
        </w:rPr>
        <w:tab/>
        <w:t xml:space="preserve">Potreby, ktoré sa majú uspokojiť v krátkodobom alebo dlhodobom horizonte </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3"/>
        <w:rPr>
          <w:bCs/>
          <w:noProof/>
          <w:szCs w:val="24"/>
        </w:rPr>
      </w:pPr>
      <w:r>
        <w:rPr>
          <w:noProof/>
        </w:rPr>
        <w:t>1.5.2.</w:t>
      </w:r>
      <w:r>
        <w:rPr>
          <w:noProof/>
        </w:rPr>
        <w:tab/>
        <w:t>Prínos zapojenia Európskej únie</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3"/>
        <w:rPr>
          <w:bCs/>
          <w:noProof/>
          <w:szCs w:val="24"/>
        </w:rPr>
      </w:pPr>
      <w:r>
        <w:rPr>
          <w:noProof/>
        </w:rPr>
        <w:t>1.5.3.</w:t>
      </w:r>
      <w:r>
        <w:rPr>
          <w:noProof/>
        </w:rPr>
        <w:tab/>
        <w:t>Poznatky získané z podobných skúseností v minulosti</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3"/>
        <w:rPr>
          <w:bCs/>
          <w:noProof/>
          <w:szCs w:val="24"/>
        </w:rPr>
      </w:pPr>
      <w:r>
        <w:rPr>
          <w:noProof/>
        </w:rPr>
        <w:t>1.5.4.</w:t>
      </w:r>
      <w:r>
        <w:rPr>
          <w:noProof/>
        </w:rPr>
        <w:tab/>
        <w:t>Zlučiteľnosť a možná synergia s inými vhodnými nástrojmi</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2"/>
        <w:rPr>
          <w:bCs/>
          <w:noProof/>
          <w:szCs w:val="24"/>
        </w:rPr>
      </w:pPr>
      <w:r>
        <w:rPr>
          <w:noProof/>
        </w:rPr>
        <w:t>1.6.</w:t>
      </w:r>
      <w:r>
        <w:rPr>
          <w:noProof/>
        </w:rPr>
        <w:tab/>
        <w:t xml:space="preserve">Trvanie a finančný vplyv </w:t>
      </w:r>
    </w:p>
    <w:p>
      <w:pPr>
        <w:pStyle w:val="Text1"/>
        <w:rPr>
          <w:noProof/>
        </w:rPr>
      </w:pPr>
      <w:r>
        <w:rPr>
          <w:noProof/>
        </w:rPr>
        <w:sym w:font="Wingdings" w:char="F0A8"/>
      </w:r>
      <w:r>
        <w:rPr>
          <w:b/>
          <w:i/>
          <w:noProof/>
        </w:rPr>
        <w:t xml:space="preserve"> </w:t>
      </w:r>
      <w:r>
        <w:rPr>
          <w:noProof/>
        </w:rPr>
        <w:t xml:space="preserve">Návrh/iniciatíva s </w:t>
      </w:r>
      <w:r>
        <w:rPr>
          <w:b/>
          <w:noProof/>
        </w:rPr>
        <w:t xml:space="preserve">obmedzeným trvaním </w:t>
      </w:r>
    </w:p>
    <w:p>
      <w:pPr>
        <w:pStyle w:val="ListDash2"/>
        <w:rPr>
          <w:noProof/>
        </w:rPr>
      </w:pPr>
      <w:r>
        <w:rPr>
          <w:noProof/>
        </w:rPr>
        <w:sym w:font="Wingdings" w:char="F078"/>
      </w:r>
      <w:r>
        <w:rPr>
          <w:noProof/>
        </w:rPr>
        <w:tab/>
        <w:t>Návrh/iniciatíva je v platnosti od 1. 1. 2017 do 31. 12. 2023.</w:t>
      </w:r>
    </w:p>
    <w:p>
      <w:pPr>
        <w:pStyle w:val="ListDash2"/>
        <w:rPr>
          <w:noProof/>
        </w:rPr>
      </w:pPr>
      <w:r>
        <w:rPr>
          <w:noProof/>
        </w:rPr>
        <w:sym w:font="Wingdings" w:char="F078"/>
      </w:r>
      <w:r>
        <w:rPr>
          <w:noProof/>
        </w:rPr>
        <w:tab/>
        <w:t>Finančný vplyv trvá od roku 2017 do roku 2020.</w:t>
      </w:r>
    </w:p>
    <w:p>
      <w:pPr>
        <w:pStyle w:val="Text1"/>
        <w:rPr>
          <w:noProof/>
        </w:rPr>
      </w:pPr>
      <w:r>
        <w:rPr>
          <w:noProof/>
        </w:rPr>
        <w:sym w:font="Wingdings" w:char="F0A8"/>
      </w:r>
      <w:r>
        <w:rPr>
          <w:b/>
          <w:i/>
          <w:noProof/>
        </w:rPr>
        <w:t xml:space="preserve"> </w:t>
      </w:r>
      <w:r>
        <w:rPr>
          <w:noProof/>
        </w:rPr>
        <w:t>Návrh/iniciatíva s</w:t>
      </w:r>
      <w:r>
        <w:rPr>
          <w:b/>
          <w:noProof/>
        </w:rPr>
        <w:t xml:space="preserve"> neobmedzeným trvaním</w:t>
      </w:r>
    </w:p>
    <w:p>
      <w:pPr>
        <w:pStyle w:val="ListDash1"/>
        <w:rPr>
          <w:noProof/>
        </w:rPr>
      </w:pPr>
      <w:r>
        <w:rPr>
          <w:noProof/>
        </w:rPr>
        <w:t>Počiatočná fáza implementácie bude trvať od RRRR do RRRR,</w:t>
      </w:r>
    </w:p>
    <w:p>
      <w:pPr>
        <w:pStyle w:val="ListDash1"/>
        <w:rPr>
          <w:noProof/>
        </w:rPr>
      </w:pPr>
      <w:r>
        <w:rPr>
          <w:noProof/>
        </w:rPr>
        <w:t>a potom bude implementácia pokračovať v plnom rozsahu.</w:t>
      </w:r>
    </w:p>
    <w:p>
      <w:pPr>
        <w:pStyle w:val="ManualHeading2"/>
        <w:rPr>
          <w:bCs/>
          <w:noProof/>
          <w:szCs w:val="24"/>
        </w:rPr>
      </w:pPr>
      <w:r>
        <w:rPr>
          <w:noProof/>
        </w:rPr>
        <w:t>1.7.</w:t>
      </w:r>
      <w:r>
        <w:rPr>
          <w:noProof/>
        </w:rPr>
        <w:tab/>
        <w:t>Plánovaný spôsob riadenia</w:t>
      </w:r>
      <w:r>
        <w:rPr>
          <w:rStyle w:val="FootnoteReference"/>
          <w:noProof/>
        </w:rPr>
        <w:footnoteReference w:id="9"/>
      </w:r>
      <w:r>
        <w:rPr>
          <w:rStyle w:val="FootnoteReference"/>
          <w:noProof/>
        </w:rPr>
        <w:t xml:space="preserve"> </w:t>
      </w:r>
    </w:p>
    <w:p>
      <w:pPr>
        <w:pStyle w:val="Text1"/>
        <w:rPr>
          <w:noProof/>
        </w:rPr>
      </w:pPr>
      <w:r>
        <w:rPr>
          <w:noProof/>
        </w:rPr>
        <w:sym w:font="Wingdings" w:char="F0A8"/>
      </w:r>
      <w:r>
        <w:rPr>
          <w:i/>
          <w:noProof/>
        </w:rPr>
        <w:t xml:space="preserve"> </w:t>
      </w:r>
      <w:r>
        <w:rPr>
          <w:b/>
          <w:noProof/>
        </w:rPr>
        <w:t>Priame riadenie</w:t>
      </w:r>
      <w:r>
        <w:rPr>
          <w:noProof/>
        </w:rPr>
        <w:t xml:space="preserve"> na úrovni Komisie</w:t>
      </w:r>
    </w:p>
    <w:p>
      <w:pPr>
        <w:pStyle w:val="ListDash2"/>
        <w:rPr>
          <w:rFonts w:cs="EUAlbertina"/>
          <w:noProof/>
        </w:rPr>
      </w:pPr>
      <w:r>
        <w:rPr>
          <w:noProof/>
        </w:rPr>
        <w:sym w:font="Wingdings" w:char="F0A8"/>
      </w:r>
      <w:r>
        <w:rPr>
          <w:noProof/>
        </w:rPr>
        <w:t xml:space="preserve"> prostredníctvom jej útvarov vrátane zamestnancov v delegáciách Únie </w:t>
      </w:r>
    </w:p>
    <w:p>
      <w:pPr>
        <w:pStyle w:val="ListDash2"/>
        <w:rPr>
          <w:noProof/>
        </w:rPr>
      </w:pPr>
      <w:r>
        <w:rPr>
          <w:noProof/>
        </w:rPr>
        <w:sym w:font="Wingdings" w:char="F0A8"/>
      </w:r>
      <w:r>
        <w:rPr>
          <w:noProof/>
        </w:rPr>
        <w:tab/>
        <w:t xml:space="preserve">prostredníctvom výkonných agentúr </w:t>
      </w:r>
    </w:p>
    <w:p>
      <w:pPr>
        <w:pStyle w:val="Text1"/>
        <w:rPr>
          <w:noProof/>
        </w:rPr>
      </w:pPr>
      <w:r>
        <w:rPr>
          <w:noProof/>
        </w:rPr>
        <w:sym w:font="Wingdings" w:char="F078"/>
      </w:r>
      <w:r>
        <w:rPr>
          <w:b/>
          <w:i/>
          <w:noProof/>
        </w:rPr>
        <w:t xml:space="preserve"> </w:t>
      </w:r>
      <w:r>
        <w:rPr>
          <w:b/>
          <w:noProof/>
        </w:rPr>
        <w:t>Zdieľané riadenie</w:t>
      </w:r>
      <w:r>
        <w:rPr>
          <w:noProof/>
        </w:rPr>
        <w:t xml:space="preserve"> s členskými štátmi </w:t>
      </w:r>
    </w:p>
    <w:p>
      <w:pPr>
        <w:pStyle w:val="Text1"/>
        <w:rPr>
          <w:noProof/>
        </w:rPr>
      </w:pPr>
      <w:r>
        <w:rPr>
          <w:noProof/>
        </w:rPr>
        <w:sym w:font="Wingdings" w:char="F0A8"/>
      </w:r>
      <w:r>
        <w:rPr>
          <w:i/>
          <w:noProof/>
        </w:rPr>
        <w:t xml:space="preserve"> </w:t>
      </w:r>
      <w:r>
        <w:rPr>
          <w:b/>
          <w:noProof/>
        </w:rPr>
        <w:t>Nepriame riadenie</w:t>
      </w:r>
      <w:r>
        <w:rPr>
          <w:noProof/>
        </w:rPr>
        <w:t xml:space="preserve"> s delegovaním úloh súvisiacich s plnením rozpočtu na:</w:t>
      </w:r>
    </w:p>
    <w:p>
      <w:pPr>
        <w:pStyle w:val="ListDash2"/>
        <w:rPr>
          <w:noProof/>
        </w:rPr>
      </w:pPr>
      <w:r>
        <w:rPr>
          <w:noProof/>
        </w:rPr>
        <w:sym w:font="Wingdings" w:char="F0A8"/>
      </w:r>
      <w:r>
        <w:rPr>
          <w:noProof/>
        </w:rPr>
        <w:t xml:space="preserve"> tretie krajiny alebo subjekty, ktoré tieto krajiny určili,</w:t>
      </w:r>
    </w:p>
    <w:p>
      <w:pPr>
        <w:pStyle w:val="ListDash2"/>
        <w:rPr>
          <w:noProof/>
        </w:rPr>
      </w:pPr>
      <w:r>
        <w:rPr>
          <w:noProof/>
        </w:rPr>
        <w:sym w:font="Wingdings" w:char="F0A8"/>
      </w:r>
      <w:r>
        <w:rPr>
          <w:noProof/>
        </w:rPr>
        <w:t xml:space="preserve"> medzinárodné organizácie a ich agentúry (uveďte),</w:t>
      </w:r>
    </w:p>
    <w:p>
      <w:pPr>
        <w:pStyle w:val="ListDash2"/>
        <w:rPr>
          <w:noProof/>
        </w:rPr>
      </w:pPr>
      <w:r>
        <w:rPr>
          <w:noProof/>
        </w:rPr>
        <w:sym w:font="Wingdings" w:char="F0A8"/>
      </w:r>
      <w:r>
        <w:rPr>
          <w:noProof/>
        </w:rPr>
        <w:t>Európsku investičnú banku (EIB) a Európsky investičný fond,</w:t>
      </w:r>
    </w:p>
    <w:p>
      <w:pPr>
        <w:pStyle w:val="ListDash2"/>
        <w:rPr>
          <w:noProof/>
        </w:rPr>
      </w:pPr>
      <w:r>
        <w:rPr>
          <w:noProof/>
        </w:rPr>
        <w:sym w:font="Wingdings" w:char="F0A8"/>
      </w:r>
      <w:r>
        <w:rPr>
          <w:noProof/>
        </w:rPr>
        <w:t xml:space="preserve"> subjekty uvedené v článkoch 208 a 209 nariadenia o rozpočtových pravidlách,</w:t>
      </w:r>
    </w:p>
    <w:p>
      <w:pPr>
        <w:pStyle w:val="ListDash2"/>
        <w:rPr>
          <w:noProof/>
        </w:rPr>
      </w:pPr>
      <w:r>
        <w:rPr>
          <w:noProof/>
        </w:rPr>
        <w:sym w:font="Wingdings" w:char="F0A8"/>
      </w:r>
      <w:r>
        <w:rPr>
          <w:noProof/>
        </w:rPr>
        <w:t xml:space="preserve"> verejnoprávne subjekty,</w:t>
      </w:r>
    </w:p>
    <w:p>
      <w:pPr>
        <w:pStyle w:val="ListDash2"/>
        <w:rPr>
          <w:noProof/>
        </w:rPr>
      </w:pPr>
      <w:r>
        <w:rPr>
          <w:noProof/>
        </w:rPr>
        <w:sym w:font="Wingdings" w:char="F0A8"/>
      </w:r>
      <w:r>
        <w:rPr>
          <w:noProof/>
        </w:rPr>
        <w:t xml:space="preserve"> súkromnoprávne subjekty poverené vykonávaním verejnej služby, pokiaľ tieto subjekty poskytujú dostatočné finančné záruky,</w:t>
      </w:r>
    </w:p>
    <w:p>
      <w:pPr>
        <w:pStyle w:val="ListDash2"/>
        <w:rPr>
          <w:noProof/>
        </w:rPr>
      </w:pPr>
      <w:r>
        <w:rPr>
          <w:noProof/>
        </w:rPr>
        <w:sym w:font="Wingdings" w:char="F0A8"/>
      </w:r>
      <w:r>
        <w:rPr>
          <w:noProof/>
        </w:rPr>
        <w:t xml:space="preserve"> súkromnoprávne subjekty spravované právom členského štátu, ktoré sú poverené vykonávaním verejno-súkromného partnerstva a ktoré poskytujú dostatočné finančné záruky,</w:t>
      </w:r>
    </w:p>
    <w:p>
      <w:pPr>
        <w:pStyle w:val="ListDash2"/>
        <w:rPr>
          <w:noProof/>
        </w:rPr>
      </w:pPr>
      <w:r>
        <w:rPr>
          <w:noProof/>
        </w:rPr>
        <w:sym w:font="Wingdings" w:char="F0A8"/>
      </w:r>
      <w:r>
        <w:rPr>
          <w:noProof/>
        </w:rPr>
        <w:t xml:space="preserve"> osoby poverené vykonávaním osobitných činností v oblasti SZBP podľa hlavy V Zmluvy o Európskej únii a určené v príslušnom základnom akte.</w:t>
      </w:r>
    </w:p>
    <w:p>
      <w:pPr>
        <w:pStyle w:val="ListDash2"/>
        <w:rPr>
          <w:i/>
          <w:noProof/>
          <w:sz w:val="18"/>
          <w:u w:val="single"/>
        </w:rPr>
      </w:pPr>
      <w:r>
        <w:rPr>
          <w:i/>
          <w:noProof/>
          <w:sz w:val="18"/>
        </w:rPr>
        <w:t>V prípade viacerých spôsobov riadenia uveďte v oddiele „Poznámky“ presnejšie vysvetlenie.</w:t>
      </w:r>
    </w:p>
    <w:p>
      <w:pPr>
        <w:rPr>
          <w:noProof/>
        </w:rPr>
      </w:pPr>
      <w:r>
        <w:rPr>
          <w:noProof/>
        </w:rPr>
        <w:t xml:space="preserve">Poznámky </w:t>
      </w:r>
    </w:p>
    <w:p>
      <w:pPr>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1"/>
        <w:rPr>
          <w:bCs/>
          <w:noProof/>
          <w:szCs w:val="24"/>
        </w:rPr>
      </w:pPr>
      <w:r>
        <w:rPr>
          <w:noProof/>
        </w:rPr>
        <w:t>2.</w:t>
      </w:r>
      <w:r>
        <w:rPr>
          <w:noProof/>
        </w:rPr>
        <w:tab/>
        <w:t xml:space="preserve">OPATRENIA V OBLASTI RIADENIA </w:t>
      </w:r>
    </w:p>
    <w:p>
      <w:pPr>
        <w:pStyle w:val="ManualHeading2"/>
        <w:rPr>
          <w:noProof/>
        </w:rPr>
      </w:pPr>
      <w:r>
        <w:rPr>
          <w:noProof/>
        </w:rPr>
        <w:t>2.1.</w:t>
      </w:r>
      <w:r>
        <w:rPr>
          <w:noProof/>
        </w:rPr>
        <w:tab/>
        <w:t xml:space="preserve">Opatrenia týkajúce sa monitorovania a predkladania správ </w:t>
      </w:r>
    </w:p>
    <w:p>
      <w:pPr>
        <w:pStyle w:val="Text1"/>
        <w:rPr>
          <w:i/>
          <w:noProof/>
          <w:sz w:val="20"/>
          <w:u w:val="single"/>
        </w:rPr>
      </w:pPr>
      <w:r>
        <w:rPr>
          <w:i/>
          <w:noProof/>
          <w:sz w:val="20"/>
        </w:rPr>
        <w:t>Uveďte časový interval a podmienky.</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2"/>
        <w:rPr>
          <w:bCs/>
          <w:noProof/>
          <w:szCs w:val="24"/>
        </w:rPr>
      </w:pPr>
      <w:r>
        <w:rPr>
          <w:noProof/>
        </w:rPr>
        <w:t>2.2.</w:t>
      </w:r>
      <w:r>
        <w:rPr>
          <w:noProof/>
        </w:rPr>
        <w:tab/>
        <w:t xml:space="preserve">Systémy riadenia a kontroly </w:t>
      </w:r>
    </w:p>
    <w:p>
      <w:pPr>
        <w:pStyle w:val="ManualHeading3"/>
        <w:rPr>
          <w:noProof/>
        </w:rPr>
      </w:pPr>
      <w:r>
        <w:rPr>
          <w:noProof/>
        </w:rPr>
        <w:t>2.2.1.</w:t>
      </w:r>
      <w:r>
        <w:rPr>
          <w:noProof/>
        </w:rPr>
        <w:tab/>
        <w:t xml:space="preserve">Zistené riziká </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3"/>
        <w:rPr>
          <w:bCs/>
          <w:noProof/>
          <w:szCs w:val="24"/>
        </w:rPr>
      </w:pPr>
      <w:r>
        <w:rPr>
          <w:noProof/>
        </w:rPr>
        <w:t>2.2.2.</w:t>
      </w:r>
      <w:r>
        <w:rPr>
          <w:noProof/>
        </w:rPr>
        <w:tab/>
        <w:t>Údaje o zavedenom systéme vnútornej kontroly.</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3"/>
        <w:rPr>
          <w:noProof/>
        </w:rPr>
      </w:pPr>
      <w:r>
        <w:rPr>
          <w:noProof/>
        </w:rPr>
        <w:t>2.2.3.</w:t>
      </w:r>
      <w:r>
        <w:rPr>
          <w:noProof/>
        </w:rPr>
        <w:tab/>
        <w:t xml:space="preserve">Odhad nákladov a prínosov kontrol a posúdenie očakávanej úrovne rizika chyby </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pStyle w:val="ManualHeading2"/>
        <w:rPr>
          <w:bCs/>
          <w:noProof/>
          <w:szCs w:val="24"/>
        </w:rPr>
      </w:pPr>
      <w:r>
        <w:rPr>
          <w:noProof/>
        </w:rPr>
        <w:t>2.3.</w:t>
      </w:r>
      <w:r>
        <w:rPr>
          <w:noProof/>
        </w:rPr>
        <w:tab/>
        <w:t xml:space="preserve">Opatrenia na predchádzanie podvodom a nezrovnalostiam </w:t>
      </w:r>
    </w:p>
    <w:p>
      <w:pPr>
        <w:pStyle w:val="Text1"/>
        <w:rPr>
          <w:i/>
          <w:noProof/>
          <w:sz w:val="20"/>
        </w:rPr>
      </w:pPr>
      <w:r>
        <w:rPr>
          <w:i/>
          <w:noProof/>
          <w:sz w:val="20"/>
        </w:rPr>
        <w:t>Uveďte existujúce a plánované preventívne a ochranné opatrenia.</w:t>
      </w:r>
    </w:p>
    <w:p>
      <w:pPr>
        <w:pStyle w:val="Text1"/>
        <w:pBdr>
          <w:top w:val="single" w:sz="4" w:space="1" w:color="auto"/>
          <w:left w:val="single" w:sz="4" w:space="4" w:color="auto"/>
          <w:bottom w:val="single" w:sz="4" w:space="1" w:color="auto"/>
          <w:right w:val="single" w:sz="4" w:space="4" w:color="auto"/>
        </w:pBdr>
        <w:rPr>
          <w:noProof/>
        </w:rPr>
      </w:pPr>
      <w:r>
        <w:rPr>
          <w:noProof/>
        </w:rPr>
        <w:t>Neuplatňuje sa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t>3.</w:t>
      </w:r>
      <w:r>
        <w:rPr>
          <w:noProof/>
        </w:rPr>
        <w:tab/>
        <w:t xml:space="preserve">ODHADOVANÝ FINANČNÝ VPLYV NÁVRHU/INICIATÍVY </w:t>
      </w:r>
    </w:p>
    <w:p>
      <w:pPr>
        <w:pStyle w:val="ManualHeading2"/>
        <w:rPr>
          <w:noProof/>
        </w:rPr>
      </w:pPr>
      <w:r>
        <w:rPr>
          <w:noProof/>
        </w:rPr>
        <w:t>3.1.</w:t>
      </w:r>
      <w:r>
        <w:rPr>
          <w:noProof/>
        </w:rPr>
        <w:tab/>
        <w:t xml:space="preserve">Príslušné okruhy viacročného finančného rámca a rozpočtové riadky výdavkov </w:t>
      </w:r>
    </w:p>
    <w:p>
      <w:pPr>
        <w:pStyle w:val="ListBullet1"/>
        <w:rPr>
          <w:noProof/>
        </w:rPr>
      </w:pPr>
      <w:r>
        <w:rPr>
          <w:noProof/>
        </w:rPr>
        <w:t xml:space="preserve">Existujúce rozpočtové riadky </w:t>
      </w:r>
    </w:p>
    <w:p>
      <w:pPr>
        <w:pStyle w:val="Text1"/>
        <w:rPr>
          <w:noProof/>
        </w:rPr>
      </w:pPr>
      <w:r>
        <w:rPr>
          <w:noProof/>
          <w:u w:val="single"/>
        </w:rPr>
        <w:t>V poradí</w:t>
      </w:r>
      <w:r>
        <w:rPr>
          <w:noProof/>
        </w:rPr>
        <w:t>, 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3546"/>
        <w:gridCol w:w="1080"/>
        <w:gridCol w:w="956"/>
        <w:gridCol w:w="1080"/>
        <w:gridCol w:w="956"/>
        <w:gridCol w:w="1448"/>
      </w:tblGrid>
      <w:tr>
        <w:tc>
          <w:tcPr>
            <w:tcW w:w="1494" w:type="dxa"/>
            <w:vMerge w:val="restart"/>
            <w:vAlign w:val="center"/>
          </w:tcPr>
          <w:p>
            <w:pPr>
              <w:spacing w:before="60" w:after="60"/>
              <w:jc w:val="center"/>
              <w:rPr>
                <w:noProof/>
              </w:rPr>
            </w:pPr>
            <w:r>
              <w:rPr>
                <w:noProof/>
                <w:sz w:val="18"/>
              </w:rPr>
              <w:t>Okruh viacročného finančného rámca</w:t>
            </w:r>
          </w:p>
        </w:tc>
        <w:tc>
          <w:tcPr>
            <w:tcW w:w="3546" w:type="dxa"/>
            <w:vAlign w:val="center"/>
          </w:tcPr>
          <w:p>
            <w:pPr>
              <w:spacing w:before="60" w:after="60"/>
              <w:jc w:val="center"/>
              <w:rPr>
                <w:noProof/>
              </w:rPr>
            </w:pPr>
            <w:r>
              <w:rPr>
                <w:noProof/>
                <w:sz w:val="20"/>
              </w:rPr>
              <w:t>Rozpočtový riadok</w:t>
            </w:r>
          </w:p>
        </w:tc>
        <w:tc>
          <w:tcPr>
            <w:tcW w:w="1080" w:type="dxa"/>
            <w:vAlign w:val="center"/>
          </w:tcPr>
          <w:p>
            <w:pPr>
              <w:spacing w:before="60" w:after="60"/>
              <w:jc w:val="center"/>
              <w:rPr>
                <w:noProof/>
              </w:rPr>
            </w:pPr>
            <w:r>
              <w:rPr>
                <w:noProof/>
                <w:sz w:val="18"/>
              </w:rPr>
              <w:t xml:space="preserve">Druh </w:t>
            </w:r>
            <w:r>
              <w:rPr>
                <w:noProof/>
              </w:rPr>
              <w:br/>
            </w:r>
            <w:r>
              <w:rPr>
                <w:noProof/>
                <w:sz w:val="18"/>
              </w:rPr>
              <w:t>výdavkov</w:t>
            </w:r>
          </w:p>
        </w:tc>
        <w:tc>
          <w:tcPr>
            <w:tcW w:w="4440" w:type="dxa"/>
            <w:gridSpan w:val="4"/>
            <w:vAlign w:val="center"/>
          </w:tcPr>
          <w:p>
            <w:pPr>
              <w:spacing w:before="60" w:after="60"/>
              <w:jc w:val="center"/>
              <w:rPr>
                <w:noProof/>
              </w:rPr>
            </w:pPr>
            <w:r>
              <w:rPr>
                <w:noProof/>
                <w:sz w:val="20"/>
              </w:rPr>
              <w:t xml:space="preserve">Príspevky </w:t>
            </w:r>
          </w:p>
        </w:tc>
      </w:tr>
      <w:tr>
        <w:tc>
          <w:tcPr>
            <w:tcW w:w="1494" w:type="dxa"/>
            <w:vMerge/>
            <w:vAlign w:val="center"/>
          </w:tcPr>
          <w:p>
            <w:pPr>
              <w:jc w:val="center"/>
              <w:rPr>
                <w:noProof/>
              </w:rPr>
            </w:pPr>
          </w:p>
        </w:tc>
        <w:tc>
          <w:tcPr>
            <w:tcW w:w="3546" w:type="dxa"/>
            <w:vAlign w:val="center"/>
          </w:tcPr>
          <w:p>
            <w:pPr>
              <w:rPr>
                <w:noProof/>
              </w:rPr>
            </w:pPr>
            <w:r>
              <w:rPr>
                <w:noProof/>
                <w:sz w:val="20"/>
              </w:rPr>
              <w:t xml:space="preserve">Číslo </w:t>
            </w:r>
            <w:r>
              <w:rPr>
                <w:noProof/>
              </w:rPr>
              <w:br/>
            </w:r>
            <w:r>
              <w:rPr>
                <w:noProof/>
                <w:sz w:val="20"/>
              </w:rPr>
              <w:t>[Okruh………………………...……………]</w:t>
            </w:r>
          </w:p>
        </w:tc>
        <w:tc>
          <w:tcPr>
            <w:tcW w:w="1080" w:type="dxa"/>
            <w:vAlign w:val="center"/>
          </w:tcPr>
          <w:p>
            <w:pPr>
              <w:jc w:val="center"/>
              <w:rPr>
                <w:noProof/>
              </w:rPr>
            </w:pPr>
            <w:r>
              <w:rPr>
                <w:noProof/>
                <w:sz w:val="18"/>
              </w:rPr>
              <w:t>DRP/NRP</w:t>
            </w:r>
            <w:r>
              <w:rPr>
                <w:rStyle w:val="FootnoteReference"/>
                <w:noProof/>
                <w:sz w:val="18"/>
              </w:rPr>
              <w:footnoteReference w:id="10"/>
            </w:r>
            <w:r>
              <w:rPr>
                <w:noProof/>
              </w:rPr>
              <w:t>.</w:t>
            </w:r>
          </w:p>
        </w:tc>
        <w:tc>
          <w:tcPr>
            <w:tcW w:w="956" w:type="dxa"/>
            <w:vAlign w:val="center"/>
          </w:tcPr>
          <w:p>
            <w:pPr>
              <w:jc w:val="center"/>
              <w:rPr>
                <w:noProof/>
              </w:rPr>
            </w:pPr>
            <w:r>
              <w:rPr>
                <w:noProof/>
                <w:sz w:val="18"/>
              </w:rPr>
              <w:t>krajín EZVO</w:t>
            </w:r>
            <w:r>
              <w:rPr>
                <w:rStyle w:val="FootnoteReference"/>
                <w:noProof/>
                <w:sz w:val="18"/>
              </w:rPr>
              <w:footnoteReference w:id="11"/>
            </w:r>
          </w:p>
          <w:p>
            <w:pPr>
              <w:spacing w:before="0" w:after="0"/>
              <w:jc w:val="center"/>
              <w:rPr>
                <w:b/>
                <w:noProof/>
                <w:sz w:val="18"/>
              </w:rPr>
            </w:pPr>
          </w:p>
        </w:tc>
        <w:tc>
          <w:tcPr>
            <w:tcW w:w="1080" w:type="dxa"/>
            <w:vAlign w:val="center"/>
          </w:tcPr>
          <w:p>
            <w:pPr>
              <w:jc w:val="center"/>
              <w:rPr>
                <w:noProof/>
              </w:rPr>
            </w:pPr>
            <w:r>
              <w:rPr>
                <w:noProof/>
                <w:sz w:val="18"/>
              </w:rPr>
              <w:t>kandidátskych krajín</w:t>
            </w:r>
            <w:r>
              <w:rPr>
                <w:rStyle w:val="FootnoteReference"/>
                <w:noProof/>
                <w:sz w:val="18"/>
              </w:rPr>
              <w:footnoteReference w:id="12"/>
            </w:r>
          </w:p>
          <w:p>
            <w:pPr>
              <w:spacing w:before="0" w:after="0"/>
              <w:jc w:val="center"/>
              <w:rPr>
                <w:noProof/>
                <w:sz w:val="18"/>
              </w:rPr>
            </w:pPr>
          </w:p>
        </w:tc>
        <w:tc>
          <w:tcPr>
            <w:tcW w:w="956" w:type="dxa"/>
            <w:vAlign w:val="center"/>
          </w:tcPr>
          <w:p>
            <w:pPr>
              <w:jc w:val="center"/>
              <w:rPr>
                <w:noProof/>
                <w:sz w:val="18"/>
              </w:rPr>
            </w:pPr>
            <w:r>
              <w:rPr>
                <w:noProof/>
                <w:sz w:val="18"/>
              </w:rPr>
              <w:t>tretích krajín</w:t>
            </w:r>
          </w:p>
        </w:tc>
        <w:tc>
          <w:tcPr>
            <w:tcW w:w="1448" w:type="dxa"/>
            <w:vAlign w:val="center"/>
          </w:tcPr>
          <w:p>
            <w:pPr>
              <w:jc w:val="center"/>
              <w:rPr>
                <w:noProof/>
              </w:rPr>
            </w:pPr>
            <w:r>
              <w:rPr>
                <w:noProof/>
                <w:sz w:val="16"/>
              </w:rPr>
              <w:t xml:space="preserve">v zmysle článku 21 ods. 2 písm. b) nariadenia o rozpočtových pravidlách </w:t>
            </w:r>
          </w:p>
        </w:tc>
      </w:tr>
      <w:tr>
        <w:tc>
          <w:tcPr>
            <w:tcW w:w="1494" w:type="dxa"/>
            <w:shd w:val="clear" w:color="auto" w:fill="auto"/>
            <w:vAlign w:val="center"/>
          </w:tcPr>
          <w:p>
            <w:pPr>
              <w:jc w:val="center"/>
              <w:rPr>
                <w:noProof/>
                <w:color w:val="0000FF"/>
              </w:rPr>
            </w:pPr>
            <w:r>
              <w:rPr>
                <w:noProof/>
              </w:rPr>
              <w:t>1 Inteligentný a inkluzívny rast</w:t>
            </w:r>
          </w:p>
        </w:tc>
        <w:tc>
          <w:tcPr>
            <w:tcW w:w="3546" w:type="dxa"/>
            <w:vAlign w:val="center"/>
          </w:tcPr>
          <w:p>
            <w:pPr>
              <w:spacing w:after="60"/>
              <w:rPr>
                <w:noProof/>
              </w:rPr>
            </w:pPr>
            <w:r>
              <w:rPr>
                <w:noProof/>
              </w:rPr>
              <w:t>04 02 60 – Európsky sociálny fond – Menej rozvinuté regióny – Cieľ Investovanie do rastu a zamestnanosti</w:t>
            </w:r>
          </w:p>
          <w:p>
            <w:pPr>
              <w:spacing w:after="60"/>
              <w:rPr>
                <w:noProof/>
              </w:rPr>
            </w:pPr>
            <w:r>
              <w:rPr>
                <w:noProof/>
              </w:rPr>
              <w:t>04 02 61 – Európsky sociálny fond – Prechodné regióny – Cieľ Investovanie do rastu a zamestnanosti</w:t>
            </w:r>
          </w:p>
          <w:p>
            <w:pPr>
              <w:spacing w:after="60"/>
              <w:rPr>
                <w:noProof/>
              </w:rPr>
            </w:pPr>
            <w:r>
              <w:rPr>
                <w:noProof/>
              </w:rPr>
              <w:t>04 02 62 – Európsky sociálny fond – Rozvinutejšie regióny – Cieľ Investovanie do rastu a zamestnanosti</w:t>
            </w:r>
          </w:p>
          <w:p>
            <w:pPr>
              <w:spacing w:after="60"/>
              <w:rPr>
                <w:noProof/>
              </w:rPr>
            </w:pPr>
            <w:r>
              <w:rPr>
                <w:noProof/>
              </w:rPr>
              <w:t>04 02 64 – Iniciatíva na podporu zamestnanosti mladých ľudí (YEI)</w:t>
            </w:r>
          </w:p>
          <w:p>
            <w:pPr>
              <w:spacing w:after="60"/>
              <w:rPr>
                <w:noProof/>
              </w:rPr>
            </w:pPr>
            <w:r>
              <w:rPr>
                <w:noProof/>
              </w:rPr>
              <w:t xml:space="preserve">13 03 60 – Európsky fond regionálneho rozvoja (EFRR) – Menej rozvinuté regióny – Cieľ Investovanie do rastu a zamestnanosti </w:t>
            </w:r>
          </w:p>
          <w:p>
            <w:pPr>
              <w:spacing w:after="60"/>
              <w:rPr>
                <w:noProof/>
              </w:rPr>
            </w:pPr>
            <w:r>
              <w:rPr>
                <w:noProof/>
              </w:rPr>
              <w:t xml:space="preserve">13 03 61 – Európsky fond regionálneho rozvoja (EFRR) – Prechodné regióny – Cieľ Investovanie do rastu a zamestnanosti </w:t>
            </w:r>
          </w:p>
          <w:p>
            <w:pPr>
              <w:spacing w:after="60"/>
              <w:rPr>
                <w:noProof/>
              </w:rPr>
            </w:pPr>
            <w:r>
              <w:rPr>
                <w:noProof/>
              </w:rPr>
              <w:t xml:space="preserve">13 03 62 – Európsky fond regionálneho rozvoja (EFRR) – Rozvinutejšie regióny – Cieľ Investovanie do rastu a zamestnanosti </w:t>
            </w:r>
          </w:p>
          <w:p>
            <w:pPr>
              <w:spacing w:after="60"/>
              <w:rPr>
                <w:bCs/>
                <w:iCs/>
                <w:noProof/>
              </w:rPr>
            </w:pPr>
            <w:r>
              <w:rPr>
                <w:noProof/>
              </w:rPr>
              <w:t>13 03 63 – Európsky fond regionálneho rozvoja (EFRR) – Dodatočné rozpočtové prostriedky pre najvzdialenejšie a riedko osídlené regióny – Cieľ Investovanie do rastu a zamestnanosti</w:t>
            </w:r>
          </w:p>
          <w:p>
            <w:pPr>
              <w:spacing w:after="60"/>
              <w:rPr>
                <w:bCs/>
                <w:iCs/>
                <w:noProof/>
              </w:rPr>
            </w:pPr>
            <w:r>
              <w:rPr>
                <w:noProof/>
              </w:rPr>
              <w:t>13 03 64 01 – Európsky fond regionálneho rozvoja (EFRR) – Európska územná spolupráca</w:t>
            </w:r>
          </w:p>
          <w:p>
            <w:pPr>
              <w:spacing w:after="60"/>
              <w:rPr>
                <w:noProof/>
              </w:rPr>
            </w:pPr>
            <w:r>
              <w:rPr>
                <w:noProof/>
              </w:rPr>
              <w:t>13 04 60 – Kohézny fond – Cieľ Investovanie do rastu a zamestnanosti</w:t>
            </w:r>
          </w:p>
        </w:tc>
        <w:tc>
          <w:tcPr>
            <w:tcW w:w="1080" w:type="dxa"/>
            <w:vAlign w:val="center"/>
          </w:tcPr>
          <w:p>
            <w:pPr>
              <w:jc w:val="center"/>
              <w:rPr>
                <w:noProof/>
                <w:color w:val="0000FF"/>
              </w:rPr>
            </w:pPr>
            <w:r>
              <w:rPr>
                <w:noProof/>
              </w:rPr>
              <w:t>DRP</w:t>
            </w:r>
          </w:p>
        </w:tc>
        <w:tc>
          <w:tcPr>
            <w:tcW w:w="956" w:type="dxa"/>
            <w:vAlign w:val="center"/>
          </w:tcPr>
          <w:p>
            <w:pPr>
              <w:jc w:val="center"/>
              <w:rPr>
                <w:noProof/>
              </w:rPr>
            </w:pPr>
            <w:r>
              <w:rPr>
                <w:noProof/>
              </w:rPr>
              <w:t>NIE</w:t>
            </w:r>
          </w:p>
        </w:tc>
        <w:tc>
          <w:tcPr>
            <w:tcW w:w="1080" w:type="dxa"/>
            <w:vAlign w:val="center"/>
          </w:tcPr>
          <w:p>
            <w:pPr>
              <w:jc w:val="center"/>
              <w:rPr>
                <w:noProof/>
              </w:rPr>
            </w:pPr>
            <w:r>
              <w:rPr>
                <w:noProof/>
              </w:rPr>
              <w:t>NIE</w:t>
            </w:r>
          </w:p>
        </w:tc>
        <w:tc>
          <w:tcPr>
            <w:tcW w:w="956" w:type="dxa"/>
            <w:vAlign w:val="center"/>
          </w:tcPr>
          <w:p>
            <w:pPr>
              <w:jc w:val="center"/>
              <w:rPr>
                <w:noProof/>
              </w:rPr>
            </w:pPr>
            <w:r>
              <w:rPr>
                <w:noProof/>
              </w:rPr>
              <w:t>NIE</w:t>
            </w:r>
          </w:p>
        </w:tc>
        <w:tc>
          <w:tcPr>
            <w:tcW w:w="1448" w:type="dxa"/>
            <w:vAlign w:val="center"/>
          </w:tcPr>
          <w:p>
            <w:pPr>
              <w:jc w:val="center"/>
              <w:rPr>
                <w:noProof/>
              </w:rPr>
            </w:pPr>
            <w:r>
              <w:rPr>
                <w:noProof/>
              </w:rPr>
              <w:t>NIE</w:t>
            </w:r>
          </w:p>
        </w:tc>
      </w:tr>
    </w:tbl>
    <w:p>
      <w:pPr>
        <w:rPr>
          <w:noProof/>
        </w:rPr>
      </w:pPr>
    </w:p>
    <w:p>
      <w:pPr>
        <w:pStyle w:val="ListBullet1"/>
        <w:rPr>
          <w:noProof/>
        </w:rPr>
      </w:pPr>
      <w:r>
        <w:rPr>
          <w:noProof/>
        </w:rPr>
        <w:t xml:space="preserve">Požadované nové rozpočtové riadky </w:t>
      </w:r>
    </w:p>
    <w:p>
      <w:pPr>
        <w:pStyle w:val="Text1"/>
        <w:rPr>
          <w:i/>
          <w:noProof/>
          <w:sz w:val="20"/>
        </w:rPr>
      </w:pPr>
      <w:r>
        <w:rPr>
          <w:i/>
          <w:noProof/>
          <w:u w:val="single"/>
        </w:rPr>
        <w:t>V poradí</w:t>
      </w:r>
      <w:r>
        <w:rPr>
          <w:i/>
          <w:noProof/>
        </w:rPr>
        <w:t>,</w:t>
      </w:r>
      <w:r>
        <w:rPr>
          <w:noProof/>
        </w:rPr>
        <w:t xml:space="preserve"> </w:t>
      </w:r>
      <w:r>
        <w:rPr>
          <w:i/>
          <w:noProof/>
        </w:rPr>
        <w:t>v akom za sebou nasledujú okruhy viacročného finančného rámca a rozpočtové riadky.</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3829"/>
        <w:gridCol w:w="1080"/>
        <w:gridCol w:w="956"/>
        <w:gridCol w:w="1364"/>
        <w:gridCol w:w="851"/>
        <w:gridCol w:w="1269"/>
      </w:tblGrid>
      <w:tr>
        <w:tc>
          <w:tcPr>
            <w:tcW w:w="1211" w:type="dxa"/>
            <w:vMerge w:val="restart"/>
            <w:vAlign w:val="center"/>
          </w:tcPr>
          <w:p>
            <w:pPr>
              <w:spacing w:before="60" w:after="60"/>
              <w:jc w:val="center"/>
              <w:rPr>
                <w:noProof/>
                <w:sz w:val="18"/>
                <w:szCs w:val="18"/>
              </w:rPr>
            </w:pPr>
            <w:r>
              <w:rPr>
                <w:noProof/>
                <w:sz w:val="18"/>
              </w:rPr>
              <w:t>Okruh viacročného finančného rámca</w:t>
            </w:r>
          </w:p>
        </w:tc>
        <w:tc>
          <w:tcPr>
            <w:tcW w:w="3829" w:type="dxa"/>
            <w:vAlign w:val="center"/>
          </w:tcPr>
          <w:p>
            <w:pPr>
              <w:spacing w:before="60" w:after="60"/>
              <w:jc w:val="center"/>
              <w:rPr>
                <w:noProof/>
              </w:rPr>
            </w:pPr>
            <w:r>
              <w:rPr>
                <w:noProof/>
                <w:sz w:val="20"/>
              </w:rPr>
              <w:t>Rozpočtový riadok</w:t>
            </w:r>
          </w:p>
        </w:tc>
        <w:tc>
          <w:tcPr>
            <w:tcW w:w="1080" w:type="dxa"/>
            <w:vAlign w:val="center"/>
          </w:tcPr>
          <w:p>
            <w:pPr>
              <w:spacing w:before="60" w:after="60"/>
              <w:jc w:val="center"/>
              <w:rPr>
                <w:noProof/>
              </w:rPr>
            </w:pPr>
            <w:r>
              <w:rPr>
                <w:noProof/>
                <w:sz w:val="18"/>
              </w:rPr>
              <w:t>Druh</w:t>
            </w:r>
            <w:r>
              <w:rPr>
                <w:noProof/>
              </w:rPr>
              <w:br/>
            </w:r>
            <w:r>
              <w:rPr>
                <w:noProof/>
                <w:sz w:val="18"/>
              </w:rPr>
              <w:t>výdavkov</w:t>
            </w:r>
          </w:p>
        </w:tc>
        <w:tc>
          <w:tcPr>
            <w:tcW w:w="4440" w:type="dxa"/>
            <w:gridSpan w:val="4"/>
            <w:vAlign w:val="center"/>
          </w:tcPr>
          <w:p>
            <w:pPr>
              <w:spacing w:before="60" w:after="60"/>
              <w:jc w:val="center"/>
              <w:rPr>
                <w:noProof/>
              </w:rPr>
            </w:pPr>
            <w:r>
              <w:rPr>
                <w:noProof/>
                <w:sz w:val="20"/>
              </w:rPr>
              <w:t xml:space="preserve">Príspevky </w:t>
            </w:r>
          </w:p>
        </w:tc>
      </w:tr>
      <w:tr>
        <w:tc>
          <w:tcPr>
            <w:tcW w:w="1211" w:type="dxa"/>
            <w:vMerge/>
            <w:vAlign w:val="center"/>
          </w:tcPr>
          <w:p>
            <w:pPr>
              <w:jc w:val="center"/>
              <w:rPr>
                <w:noProof/>
              </w:rPr>
            </w:pPr>
          </w:p>
        </w:tc>
        <w:tc>
          <w:tcPr>
            <w:tcW w:w="3829" w:type="dxa"/>
            <w:vAlign w:val="center"/>
          </w:tcPr>
          <w:p>
            <w:pPr>
              <w:rPr>
                <w:noProof/>
              </w:rPr>
            </w:pPr>
            <w:r>
              <w:rPr>
                <w:noProof/>
                <w:sz w:val="20"/>
              </w:rPr>
              <w:t xml:space="preserve">Číslo </w:t>
            </w:r>
            <w:r>
              <w:rPr>
                <w:noProof/>
              </w:rPr>
              <w:br/>
            </w:r>
            <w:r>
              <w:rPr>
                <w:noProof/>
                <w:sz w:val="20"/>
              </w:rPr>
              <w:t>[Okruh………………………………………]</w:t>
            </w:r>
          </w:p>
        </w:tc>
        <w:tc>
          <w:tcPr>
            <w:tcW w:w="1080" w:type="dxa"/>
            <w:vAlign w:val="center"/>
          </w:tcPr>
          <w:p>
            <w:pPr>
              <w:jc w:val="center"/>
              <w:rPr>
                <w:noProof/>
              </w:rPr>
            </w:pPr>
            <w:r>
              <w:rPr>
                <w:noProof/>
                <w:sz w:val="18"/>
              </w:rPr>
              <w:t>DRP/NRP</w:t>
            </w:r>
          </w:p>
        </w:tc>
        <w:tc>
          <w:tcPr>
            <w:tcW w:w="956" w:type="dxa"/>
            <w:vAlign w:val="center"/>
          </w:tcPr>
          <w:p>
            <w:pPr>
              <w:jc w:val="center"/>
              <w:rPr>
                <w:noProof/>
                <w:sz w:val="18"/>
              </w:rPr>
            </w:pPr>
            <w:r>
              <w:rPr>
                <w:noProof/>
                <w:sz w:val="18"/>
              </w:rPr>
              <w:t>krajín EZVO</w:t>
            </w:r>
          </w:p>
        </w:tc>
        <w:tc>
          <w:tcPr>
            <w:tcW w:w="1364" w:type="dxa"/>
            <w:vAlign w:val="center"/>
          </w:tcPr>
          <w:p>
            <w:pPr>
              <w:jc w:val="center"/>
              <w:rPr>
                <w:noProof/>
                <w:sz w:val="18"/>
              </w:rPr>
            </w:pPr>
            <w:r>
              <w:rPr>
                <w:noProof/>
                <w:sz w:val="18"/>
              </w:rPr>
              <w:t>kandidátskych krajín</w:t>
            </w:r>
          </w:p>
        </w:tc>
        <w:tc>
          <w:tcPr>
            <w:tcW w:w="851" w:type="dxa"/>
            <w:vAlign w:val="center"/>
          </w:tcPr>
          <w:p>
            <w:pPr>
              <w:jc w:val="center"/>
              <w:rPr>
                <w:noProof/>
                <w:sz w:val="18"/>
              </w:rPr>
            </w:pPr>
            <w:r>
              <w:rPr>
                <w:noProof/>
                <w:sz w:val="18"/>
              </w:rPr>
              <w:t>tretích krajín</w:t>
            </w:r>
          </w:p>
        </w:tc>
        <w:tc>
          <w:tcPr>
            <w:tcW w:w="1269" w:type="dxa"/>
            <w:vAlign w:val="center"/>
          </w:tcPr>
          <w:p>
            <w:pPr>
              <w:jc w:val="center"/>
              <w:rPr>
                <w:noProof/>
              </w:rPr>
            </w:pPr>
            <w:r>
              <w:rPr>
                <w:noProof/>
                <w:sz w:val="16"/>
              </w:rPr>
              <w:t xml:space="preserve">v zmysle článku 21 ods. 2 písm. b) nariadenia o rozpočtových pravidlách </w:t>
            </w:r>
          </w:p>
        </w:tc>
      </w:tr>
      <w:tr>
        <w:tc>
          <w:tcPr>
            <w:tcW w:w="1211" w:type="dxa"/>
            <w:vAlign w:val="center"/>
          </w:tcPr>
          <w:p>
            <w:pPr>
              <w:jc w:val="center"/>
              <w:rPr>
                <w:noProof/>
                <w:color w:val="0000FF"/>
              </w:rPr>
            </w:pPr>
          </w:p>
        </w:tc>
        <w:tc>
          <w:tcPr>
            <w:tcW w:w="3829" w:type="dxa"/>
            <w:vAlign w:val="center"/>
          </w:tcPr>
          <w:p>
            <w:pPr>
              <w:spacing w:before="60"/>
              <w:rPr>
                <w:noProof/>
              </w:rPr>
            </w:pPr>
            <w:r>
              <w:rPr>
                <w:noProof/>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rPr>
            </w:pPr>
            <w:r>
              <w:rPr>
                <w:noProof/>
              </w:rPr>
              <w:t>ÁNO/NIE</w:t>
            </w:r>
          </w:p>
        </w:tc>
        <w:tc>
          <w:tcPr>
            <w:tcW w:w="1364" w:type="dxa"/>
            <w:vAlign w:val="center"/>
          </w:tcPr>
          <w:p>
            <w:pPr>
              <w:jc w:val="center"/>
              <w:rPr>
                <w:noProof/>
                <w:color w:val="0000FF"/>
                <w:sz w:val="18"/>
              </w:rPr>
            </w:pPr>
            <w:r>
              <w:rPr>
                <w:noProof/>
              </w:rPr>
              <w:t>ÁNO/NIE</w:t>
            </w:r>
          </w:p>
        </w:tc>
        <w:tc>
          <w:tcPr>
            <w:tcW w:w="851" w:type="dxa"/>
            <w:vAlign w:val="center"/>
          </w:tcPr>
          <w:p>
            <w:pPr>
              <w:jc w:val="center"/>
              <w:rPr>
                <w:noProof/>
                <w:color w:val="0000FF"/>
                <w:sz w:val="18"/>
              </w:rPr>
            </w:pPr>
            <w:r>
              <w:rPr>
                <w:noProof/>
              </w:rPr>
              <w:t>ÁNO/NIE</w:t>
            </w:r>
          </w:p>
        </w:tc>
        <w:tc>
          <w:tcPr>
            <w:tcW w:w="1269" w:type="dxa"/>
            <w:vAlign w:val="center"/>
          </w:tcPr>
          <w:p>
            <w:pPr>
              <w:jc w:val="center"/>
              <w:rPr>
                <w:noProof/>
              </w:rPr>
            </w:pPr>
            <w:r>
              <w:rPr>
                <w:noProof/>
              </w:rPr>
              <w:t>ÁNO/NIE</w:t>
            </w:r>
          </w:p>
        </w:tc>
      </w:tr>
    </w:tbl>
    <w:p>
      <w:pPr>
        <w:pStyle w:val="Institutionquisigne"/>
        <w:rPr>
          <w:noProof/>
        </w:rPr>
        <w:sectPr>
          <w:pgSz w:w="11907" w:h="16839"/>
          <w:pgMar w:top="1134" w:right="1417" w:bottom="1134" w:left="1417" w:header="709" w:footer="709" w:gutter="0"/>
          <w:cols w:space="708"/>
          <w:docGrid w:linePitch="360"/>
        </w:sectPr>
      </w:pPr>
    </w:p>
    <w:p>
      <w:pPr>
        <w:pStyle w:val="ManualHeading2"/>
        <w:rPr>
          <w:bCs/>
          <w:noProof/>
          <w:szCs w:val="24"/>
        </w:rPr>
      </w:pPr>
      <w:r>
        <w:rPr>
          <w:noProof/>
        </w:rPr>
        <w:t>3.2.</w:t>
      </w:r>
      <w:r>
        <w:rPr>
          <w:noProof/>
        </w:rPr>
        <w:tab/>
        <w:t xml:space="preserve">Odhadovaný vplyv na výdavky </w:t>
      </w:r>
    </w:p>
    <w:p>
      <w:pPr>
        <w:pBdr>
          <w:top w:val="nil"/>
          <w:left w:val="nil"/>
          <w:bottom w:val="nil"/>
          <w:right w:val="nil"/>
          <w:between w:val="nil"/>
          <w:bar w:val="nil"/>
        </w:pBdr>
        <w:spacing w:before="0" w:after="240"/>
        <w:rPr>
          <w:noProof/>
        </w:rPr>
      </w:pPr>
      <w:r>
        <w:rPr>
          <w:noProof/>
        </w:rPr>
        <w:t xml:space="preserve">Viazané rozpočtové prostriedky na osobitné pridelené prostriedky na iniciatívu na podporu zamestnanosti mladých ľudí na rok 2018 by sa mali zvýšiť o 116,7 milióna EUR v bežných cenách a suma na rok 2020 by sa mala znížiť o rovnakú sumu. Platobné rozpočtové prostriedky sa preto zodpovedajúcim spôsobom upravili. </w:t>
      </w:r>
    </w:p>
    <w:p>
      <w:pPr>
        <w:pStyle w:val="ManualHeading3"/>
        <w:rPr>
          <w:noProof/>
          <w:u w:val="single"/>
        </w:rPr>
      </w:pPr>
      <w:r>
        <w:rPr>
          <w:noProof/>
        </w:rPr>
        <w:t>3.2.1.</w:t>
      </w:r>
      <w:r>
        <w:rPr>
          <w:noProof/>
        </w:rPr>
        <w:tab/>
        <w:t xml:space="preserve">Zhrnutie odhadovaného vplyvu na výdavky </w:t>
      </w:r>
    </w:p>
    <w:p>
      <w:pPr>
        <w:jc w:val="right"/>
        <w:rPr>
          <w:noProof/>
          <w:sz w:val="20"/>
        </w:rPr>
      </w:pPr>
      <w:r>
        <w:rPr>
          <w:noProof/>
          <w:sz w:val="20"/>
        </w:rPr>
        <w:t xml:space="preserve">v EUR, v bežných cenách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1"/>
        <w:gridCol w:w="1080"/>
        <w:gridCol w:w="7817"/>
      </w:tblGrid>
      <w:tr>
        <w:trPr>
          <w:jc w:val="center"/>
        </w:trPr>
        <w:tc>
          <w:tcPr>
            <w:tcW w:w="5351" w:type="dxa"/>
            <w:shd w:val="thinDiagStripe" w:color="C0C0C0" w:fill="auto"/>
            <w:vAlign w:val="center"/>
          </w:tcPr>
          <w:p>
            <w:pPr>
              <w:spacing w:before="60" w:after="60"/>
              <w:jc w:val="center"/>
              <w:rPr>
                <w:b/>
                <w:noProof/>
              </w:rPr>
            </w:pPr>
            <w:r>
              <w:rPr>
                <w:b/>
                <w:noProof/>
              </w:rPr>
              <w:t xml:space="preserve">Okruh viacročného finančného </w:t>
            </w:r>
            <w:r>
              <w:rPr>
                <w:noProof/>
              </w:rPr>
              <w:br/>
            </w:r>
            <w:r>
              <w:rPr>
                <w:b/>
                <w:noProof/>
              </w:rPr>
              <w:t xml:space="preserve">rámca </w:t>
            </w:r>
          </w:p>
        </w:tc>
        <w:tc>
          <w:tcPr>
            <w:tcW w:w="1080" w:type="dxa"/>
            <w:vAlign w:val="center"/>
          </w:tcPr>
          <w:p>
            <w:pPr>
              <w:spacing w:before="60" w:after="60"/>
              <w:jc w:val="center"/>
              <w:rPr>
                <w:noProof/>
              </w:rPr>
            </w:pPr>
            <w:r>
              <w:rPr>
                <w:noProof/>
                <w:sz w:val="22"/>
              </w:rPr>
              <w:t>Číslo</w:t>
            </w:r>
          </w:p>
          <w:p>
            <w:pPr>
              <w:spacing w:before="60" w:after="60"/>
              <w:jc w:val="center"/>
              <w:rPr>
                <w:noProof/>
              </w:rPr>
            </w:pPr>
            <w:r>
              <w:rPr>
                <w:noProof/>
                <w:sz w:val="22"/>
              </w:rPr>
              <w:t>1</w:t>
            </w:r>
          </w:p>
        </w:tc>
        <w:tc>
          <w:tcPr>
            <w:tcW w:w="7817" w:type="dxa"/>
            <w:vAlign w:val="center"/>
          </w:tcPr>
          <w:p>
            <w:pPr>
              <w:spacing w:before="60" w:after="60"/>
              <w:rPr>
                <w:noProof/>
              </w:rPr>
            </w:pPr>
            <w:r>
              <w:rPr>
                <w:noProof/>
              </w:rPr>
              <w:t>Inteligentný a inkluzívny rast</w:t>
            </w:r>
          </w:p>
        </w:tc>
      </w:tr>
    </w:tbl>
    <w:p>
      <w:pPr>
        <w:rPr>
          <w:noProof/>
          <w:sz w:val="16"/>
        </w:rPr>
      </w:pPr>
    </w:p>
    <w:tbl>
      <w:tblPr>
        <w:tblW w:w="144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119"/>
        <w:gridCol w:w="425"/>
        <w:gridCol w:w="709"/>
        <w:gridCol w:w="708"/>
        <w:gridCol w:w="709"/>
        <w:gridCol w:w="1276"/>
        <w:gridCol w:w="1276"/>
        <w:gridCol w:w="1275"/>
        <w:gridCol w:w="1276"/>
        <w:gridCol w:w="1518"/>
      </w:tblGrid>
      <w:tr>
        <w:tc>
          <w:tcPr>
            <w:tcW w:w="2203" w:type="dxa"/>
            <w:vAlign w:val="center"/>
          </w:tcPr>
          <w:p>
            <w:pPr>
              <w:jc w:val="center"/>
              <w:rPr>
                <w:noProof/>
              </w:rPr>
            </w:pPr>
            <w:r>
              <w:rPr>
                <w:noProof/>
                <w:sz w:val="22"/>
              </w:rPr>
              <w:t xml:space="preserve">GR: </w:t>
            </w:r>
            <w:r>
              <w:rPr>
                <w:noProof/>
              </w:rPr>
              <w:t xml:space="preserve">EMPL, REGIO </w:t>
            </w:r>
          </w:p>
        </w:tc>
        <w:tc>
          <w:tcPr>
            <w:tcW w:w="3119" w:type="dxa"/>
          </w:tcPr>
          <w:p>
            <w:pPr>
              <w:rPr>
                <w:noProof/>
                <w:sz w:val="20"/>
              </w:rPr>
            </w:pPr>
          </w:p>
        </w:tc>
        <w:tc>
          <w:tcPr>
            <w:tcW w:w="425" w:type="dxa"/>
          </w:tcPr>
          <w:p>
            <w:pPr>
              <w:jc w:val="center"/>
              <w:rPr>
                <w:noProof/>
                <w:sz w:val="20"/>
              </w:rPr>
            </w:pPr>
          </w:p>
        </w:tc>
        <w:tc>
          <w:tcPr>
            <w:tcW w:w="709" w:type="dxa"/>
          </w:tcPr>
          <w:p>
            <w:pPr>
              <w:rPr>
                <w:noProof/>
              </w:rPr>
            </w:pPr>
            <w:r>
              <w:rPr>
                <w:noProof/>
              </w:rPr>
              <w:t>2014</w:t>
            </w:r>
          </w:p>
        </w:tc>
        <w:tc>
          <w:tcPr>
            <w:tcW w:w="708" w:type="dxa"/>
          </w:tcPr>
          <w:p>
            <w:pPr>
              <w:rPr>
                <w:noProof/>
              </w:rPr>
            </w:pPr>
            <w:r>
              <w:rPr>
                <w:noProof/>
              </w:rPr>
              <w:t>2015</w:t>
            </w:r>
          </w:p>
        </w:tc>
        <w:tc>
          <w:tcPr>
            <w:tcW w:w="709" w:type="dxa"/>
          </w:tcPr>
          <w:p>
            <w:pPr>
              <w:rPr>
                <w:noProof/>
              </w:rPr>
            </w:pPr>
            <w:r>
              <w:rPr>
                <w:noProof/>
              </w:rPr>
              <w:t>2016</w:t>
            </w:r>
          </w:p>
        </w:tc>
        <w:tc>
          <w:tcPr>
            <w:tcW w:w="1276" w:type="dxa"/>
          </w:tcPr>
          <w:p>
            <w:pPr>
              <w:rPr>
                <w:noProof/>
              </w:rPr>
            </w:pPr>
            <w:r>
              <w:rPr>
                <w:noProof/>
              </w:rPr>
              <w:t>2017</w:t>
            </w:r>
          </w:p>
        </w:tc>
        <w:tc>
          <w:tcPr>
            <w:tcW w:w="1276" w:type="dxa"/>
          </w:tcPr>
          <w:p>
            <w:pPr>
              <w:rPr>
                <w:noProof/>
              </w:rPr>
            </w:pPr>
            <w:r>
              <w:rPr>
                <w:noProof/>
              </w:rPr>
              <w:t>2018</w:t>
            </w:r>
            <w:r>
              <w:rPr>
                <w:rStyle w:val="FootnoteReference"/>
                <w:noProof/>
              </w:rPr>
              <w:footnoteReference w:id="13"/>
            </w:r>
          </w:p>
        </w:tc>
        <w:tc>
          <w:tcPr>
            <w:tcW w:w="1275" w:type="dxa"/>
          </w:tcPr>
          <w:p>
            <w:pPr>
              <w:rPr>
                <w:noProof/>
              </w:rPr>
            </w:pPr>
            <w:r>
              <w:rPr>
                <w:noProof/>
              </w:rPr>
              <w:t>2019</w:t>
            </w:r>
          </w:p>
        </w:tc>
        <w:tc>
          <w:tcPr>
            <w:tcW w:w="1276" w:type="dxa"/>
          </w:tcPr>
          <w:p>
            <w:pPr>
              <w:rPr>
                <w:noProof/>
              </w:rPr>
            </w:pPr>
            <w:r>
              <w:rPr>
                <w:noProof/>
              </w:rPr>
              <w:t>2020</w:t>
            </w:r>
          </w:p>
        </w:tc>
        <w:tc>
          <w:tcPr>
            <w:tcW w:w="1518" w:type="dxa"/>
            <w:vAlign w:val="center"/>
          </w:tcPr>
          <w:p>
            <w:pPr>
              <w:jc w:val="center"/>
              <w:rPr>
                <w:b/>
                <w:noProof/>
                <w:sz w:val="20"/>
              </w:rPr>
            </w:pPr>
            <w:r>
              <w:rPr>
                <w:b/>
                <w:noProof/>
                <w:sz w:val="20"/>
              </w:rPr>
              <w:t>SPOLU</w:t>
            </w:r>
          </w:p>
        </w:tc>
      </w:tr>
      <w:tr>
        <w:trPr>
          <w:trHeight w:val="213"/>
        </w:trPr>
        <w:tc>
          <w:tcPr>
            <w:tcW w:w="5747" w:type="dxa"/>
            <w:gridSpan w:val="3"/>
            <w:vAlign w:val="center"/>
          </w:tcPr>
          <w:p>
            <w:pPr>
              <w:spacing w:before="20" w:after="20"/>
              <w:rPr>
                <w:noProof/>
                <w:sz w:val="21"/>
              </w:rPr>
            </w:pPr>
            <w:r>
              <w:rPr>
                <w:noProof/>
                <w:sz w:val="21"/>
              </w:rPr>
              <w:sym w:font="Wingdings" w:char="F09F"/>
            </w:r>
            <w:r>
              <w:rPr>
                <w:noProof/>
                <w:sz w:val="21"/>
              </w:rPr>
              <w:t xml:space="preserve"> Operačné rozpočtové prostriedky</w:t>
            </w:r>
          </w:p>
        </w:tc>
        <w:tc>
          <w:tcPr>
            <w:tcW w:w="709" w:type="dxa"/>
            <w:vAlign w:val="center"/>
          </w:tcPr>
          <w:p>
            <w:pPr>
              <w:rPr>
                <w:noProof/>
                <w:sz w:val="20"/>
              </w:rPr>
            </w:pPr>
          </w:p>
        </w:tc>
        <w:tc>
          <w:tcPr>
            <w:tcW w:w="708" w:type="dxa"/>
            <w:vAlign w:val="center"/>
          </w:tcPr>
          <w:p>
            <w:pPr>
              <w:rPr>
                <w:noProof/>
                <w:sz w:val="20"/>
              </w:rPr>
            </w:pPr>
          </w:p>
        </w:tc>
        <w:tc>
          <w:tcPr>
            <w:tcW w:w="709" w:type="dxa"/>
            <w:vAlign w:val="center"/>
          </w:tcPr>
          <w:p>
            <w:pPr>
              <w:rPr>
                <w:noProof/>
                <w:sz w:val="20"/>
              </w:rPr>
            </w:pPr>
          </w:p>
        </w:tc>
        <w:tc>
          <w:tcPr>
            <w:tcW w:w="1276" w:type="dxa"/>
            <w:vAlign w:val="center"/>
          </w:tcPr>
          <w:p>
            <w:pPr>
              <w:rPr>
                <w:noProof/>
                <w:sz w:val="20"/>
              </w:rPr>
            </w:pPr>
          </w:p>
        </w:tc>
        <w:tc>
          <w:tcPr>
            <w:tcW w:w="1276" w:type="dxa"/>
            <w:vAlign w:val="center"/>
          </w:tcPr>
          <w:p>
            <w:pPr>
              <w:rPr>
                <w:noProof/>
                <w:sz w:val="20"/>
              </w:rPr>
            </w:pPr>
          </w:p>
        </w:tc>
        <w:tc>
          <w:tcPr>
            <w:tcW w:w="1275" w:type="dxa"/>
            <w:vAlign w:val="center"/>
          </w:tcPr>
          <w:p>
            <w:pPr>
              <w:rPr>
                <w:noProof/>
                <w:sz w:val="20"/>
              </w:rPr>
            </w:pPr>
          </w:p>
        </w:tc>
        <w:tc>
          <w:tcPr>
            <w:tcW w:w="1276" w:type="dxa"/>
            <w:vAlign w:val="center"/>
          </w:tcPr>
          <w:p>
            <w:pPr>
              <w:rPr>
                <w:b/>
                <w:noProof/>
                <w:sz w:val="20"/>
              </w:rPr>
            </w:pPr>
          </w:p>
        </w:tc>
        <w:tc>
          <w:tcPr>
            <w:tcW w:w="1518" w:type="dxa"/>
            <w:vAlign w:val="center"/>
          </w:tcPr>
          <w:p>
            <w:pPr>
              <w:rPr>
                <w:b/>
                <w:noProof/>
                <w:sz w:val="20"/>
              </w:rPr>
            </w:pPr>
          </w:p>
        </w:tc>
      </w:tr>
      <w:tr>
        <w:trPr>
          <w:trHeight w:val="277"/>
        </w:trPr>
        <w:tc>
          <w:tcPr>
            <w:tcW w:w="2203" w:type="dxa"/>
            <w:vAlign w:val="center"/>
          </w:tcPr>
          <w:p>
            <w:pPr>
              <w:spacing w:before="60"/>
              <w:rPr>
                <w:noProof/>
                <w:sz w:val="21"/>
              </w:rPr>
            </w:pPr>
            <w:r>
              <w:rPr>
                <w:noProof/>
                <w:sz w:val="21"/>
              </w:rPr>
              <w:t>1b: Hospodárska, sociálna a územná súdržnosť</w:t>
            </w:r>
          </w:p>
          <w:p>
            <w:pPr>
              <w:spacing w:before="60"/>
              <w:rPr>
                <w:noProof/>
              </w:rPr>
            </w:pPr>
            <w:r>
              <w:rPr>
                <w:noProof/>
                <w:sz w:val="21"/>
              </w:rPr>
              <w:t>Európsky fond regionálneho rozvoja, Európsky sociálny fond, Kohézny fond</w:t>
            </w:r>
          </w:p>
        </w:tc>
        <w:tc>
          <w:tcPr>
            <w:tcW w:w="3119" w:type="dxa"/>
            <w:vAlign w:val="center"/>
          </w:tcPr>
          <w:p>
            <w:pPr>
              <w:spacing w:before="20" w:after="20"/>
              <w:rPr>
                <w:noProof/>
                <w:sz w:val="18"/>
              </w:rPr>
            </w:pPr>
            <w:r>
              <w:rPr>
                <w:noProof/>
                <w:sz w:val="18"/>
              </w:rPr>
              <w:t xml:space="preserve">Záväzky </w:t>
            </w:r>
          </w:p>
          <w:p>
            <w:pPr>
              <w:spacing w:before="20" w:after="20"/>
              <w:rPr>
                <w:noProof/>
                <w:sz w:val="18"/>
              </w:rPr>
            </w:pPr>
          </w:p>
          <w:p>
            <w:pPr>
              <w:spacing w:before="20" w:after="20"/>
              <w:rPr>
                <w:noProof/>
                <w:sz w:val="18"/>
              </w:rPr>
            </w:pPr>
          </w:p>
          <w:p>
            <w:pPr>
              <w:spacing w:after="60"/>
              <w:rPr>
                <w:noProof/>
              </w:rPr>
            </w:pPr>
            <w:r>
              <w:rPr>
                <w:noProof/>
              </w:rPr>
              <w:t>04 02 60 – Európsky sociálny fond – Menej rozvinuté regióny – Cieľ Investovanie do rastu a zamestnanosti</w:t>
            </w:r>
          </w:p>
          <w:p>
            <w:pPr>
              <w:spacing w:before="20" w:after="20"/>
              <w:rPr>
                <w:noProof/>
                <w:sz w:val="18"/>
              </w:rPr>
            </w:pPr>
          </w:p>
          <w:p>
            <w:pPr>
              <w:spacing w:after="60"/>
              <w:rPr>
                <w:noProof/>
              </w:rPr>
            </w:pPr>
            <w:r>
              <w:rPr>
                <w:noProof/>
              </w:rPr>
              <w:t>04 02 61 – Európsky sociálny fond – Prechodné regióny – Cieľ Investovanie do rastu a zamestnanosti</w:t>
            </w:r>
          </w:p>
          <w:p>
            <w:pPr>
              <w:spacing w:before="20" w:after="20"/>
              <w:rPr>
                <w:noProof/>
                <w:sz w:val="18"/>
              </w:rPr>
            </w:pPr>
          </w:p>
          <w:p>
            <w:pPr>
              <w:spacing w:after="60"/>
              <w:rPr>
                <w:noProof/>
              </w:rPr>
            </w:pPr>
            <w:r>
              <w:rPr>
                <w:noProof/>
              </w:rPr>
              <w:t xml:space="preserve">04 02 62 – Európsky sociálny fond – Rozvinutejšie regióny – Cieľ Investovanie do rastu a zamestnanosti </w:t>
            </w:r>
          </w:p>
          <w:p>
            <w:pPr>
              <w:spacing w:after="60"/>
              <w:rPr>
                <w:noProof/>
              </w:rPr>
            </w:pPr>
            <w:r>
              <w:rPr>
                <w:noProof/>
              </w:rPr>
              <w:t>04 02 64 – Iniciatíva na podporu zamestnanosti mladých ľudí (YEI)</w:t>
            </w:r>
          </w:p>
          <w:p>
            <w:pPr>
              <w:spacing w:before="20" w:after="20"/>
              <w:rPr>
                <w:noProof/>
                <w:sz w:val="18"/>
              </w:rPr>
            </w:pPr>
          </w:p>
          <w:p>
            <w:pPr>
              <w:spacing w:after="60"/>
              <w:rPr>
                <w:noProof/>
              </w:rPr>
            </w:pPr>
            <w:r>
              <w:rPr>
                <w:noProof/>
              </w:rPr>
              <w:t xml:space="preserve">13 03 60 – Európsky fond regionálneho rozvoja (EFRR) – Menej rozvinuté regióny – Cieľ Investovanie do rastu a zamestnanosti </w:t>
            </w:r>
          </w:p>
          <w:p>
            <w:pPr>
              <w:spacing w:before="20" w:after="20"/>
              <w:rPr>
                <w:noProof/>
                <w:sz w:val="18"/>
              </w:rPr>
            </w:pPr>
          </w:p>
          <w:p>
            <w:pPr>
              <w:spacing w:after="60"/>
              <w:rPr>
                <w:noProof/>
              </w:rPr>
            </w:pPr>
            <w:r>
              <w:rPr>
                <w:noProof/>
              </w:rPr>
              <w:t xml:space="preserve">13 03 61 – Európsky fond regionálneho rozvoja (EFRR) – Prechodné regióny – Cieľ Investovanie do rastu a zamestnanosti </w:t>
            </w:r>
          </w:p>
          <w:p>
            <w:pPr>
              <w:spacing w:after="60"/>
              <w:rPr>
                <w:noProof/>
              </w:rPr>
            </w:pPr>
            <w:r>
              <w:rPr>
                <w:noProof/>
              </w:rPr>
              <w:t xml:space="preserve">13 03 62 – Európsky fond regionálneho rozvoja (EFRR) – Rozvinutejšie regióny – Cieľ Investovanie do rastu a zamestnanosti </w:t>
            </w:r>
          </w:p>
          <w:p>
            <w:pPr>
              <w:spacing w:before="20" w:after="20"/>
              <w:rPr>
                <w:noProof/>
                <w:sz w:val="18"/>
              </w:rPr>
            </w:pPr>
          </w:p>
          <w:p>
            <w:pPr>
              <w:spacing w:after="60"/>
              <w:rPr>
                <w:noProof/>
                <w:sz w:val="18"/>
              </w:rPr>
            </w:pPr>
            <w:r>
              <w:rPr>
                <w:noProof/>
              </w:rPr>
              <w:t>13 04 60 – Kohézny fond – Cieľ Investovanie do rastu a zamestnanosti</w:t>
            </w:r>
          </w:p>
          <w:p>
            <w:pPr>
              <w:spacing w:before="20" w:after="20"/>
              <w:rPr>
                <w:noProof/>
                <w:sz w:val="18"/>
              </w:rPr>
            </w:pPr>
          </w:p>
        </w:tc>
        <w:tc>
          <w:tcPr>
            <w:tcW w:w="425" w:type="dxa"/>
            <w:vAlign w:val="center"/>
          </w:tcPr>
          <w:p>
            <w:pPr>
              <w:spacing w:before="20" w:after="20"/>
              <w:jc w:val="center"/>
              <w:rPr>
                <w:noProof/>
                <w:sz w:val="14"/>
              </w:rPr>
            </w:pPr>
            <w:r>
              <w:rPr>
                <w:noProof/>
                <w:sz w:val="14"/>
              </w:rPr>
              <w:t>(1)</w:t>
            </w:r>
          </w:p>
        </w:tc>
        <w:tc>
          <w:tcPr>
            <w:tcW w:w="709" w:type="dxa"/>
            <w:vAlign w:val="center"/>
          </w:tcPr>
          <w:p>
            <w:pPr>
              <w:spacing w:before="20" w:after="20"/>
              <w:jc w:val="right"/>
              <w:rPr>
                <w:noProof/>
                <w:sz w:val="20"/>
              </w:rPr>
            </w:pPr>
          </w:p>
          <w:p>
            <w:pPr>
              <w:spacing w:before="20" w:after="20"/>
              <w:jc w:val="right"/>
              <w:rPr>
                <w:noProof/>
                <w:sz w:val="20"/>
              </w:rPr>
            </w:pPr>
          </w:p>
        </w:tc>
        <w:tc>
          <w:tcPr>
            <w:tcW w:w="708"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 xml:space="preserve">237 320 881 </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251 466 089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87 329 881</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500 000 000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237 320 880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251 466 089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87 329 881</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-26 071 285</w:t>
            </w: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242 067 299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256 495 412</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89 076 479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350 000 000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242 067 299</w:t>
            </w:r>
          </w:p>
          <w:p>
            <w:pPr>
              <w:spacing w:before="20" w:after="20"/>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256 495 411</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89 076 479</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-26 592 711</w:t>
            </w:r>
          </w:p>
        </w:tc>
        <w:tc>
          <w:tcPr>
            <w:tcW w:w="1275"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 xml:space="preserve">246 908 645 </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261 625 320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90 858 008</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233 333 333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246 908 645</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261 625 320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90 858 009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-27 124 565</w:t>
            </w:r>
          </w:p>
        </w:tc>
        <w:tc>
          <w:tcPr>
            <w:tcW w:w="1276" w:type="dxa"/>
            <w:vAlign w:val="center"/>
          </w:tcPr>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251 846 817</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266 857 826</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92 675 169</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116 666 667</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251 846 645</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266 857 826</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92 675 168</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-27 667 056</w:t>
            </w:r>
          </w:p>
        </w:tc>
        <w:tc>
          <w:tcPr>
            <w:tcW w:w="1518" w:type="dxa"/>
            <w:vAlign w:val="center"/>
          </w:tcPr>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978 143 642</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1 036 444 647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359 939 537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1 200 000 000</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978 143 469</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1 036 444 646</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359 939 537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-107 455 617</w:t>
            </w:r>
          </w:p>
        </w:tc>
      </w:tr>
    </w:tbl>
    <w:p>
      <w:pPr>
        <w:rPr>
          <w:noProof/>
        </w:rPr>
      </w:pPr>
      <w:r>
        <w:rPr>
          <w:noProof/>
        </w:rPr>
        <w:br w:type="page"/>
      </w:r>
    </w:p>
    <w:p>
      <w:pPr>
        <w:rPr>
          <w:noProof/>
        </w:rPr>
      </w:pPr>
    </w:p>
    <w:p>
      <w:pPr>
        <w:rPr>
          <w:noProof/>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3077"/>
        <w:gridCol w:w="42"/>
        <w:gridCol w:w="425"/>
        <w:gridCol w:w="567"/>
        <w:gridCol w:w="709"/>
        <w:gridCol w:w="567"/>
        <w:gridCol w:w="1417"/>
        <w:gridCol w:w="1418"/>
        <w:gridCol w:w="1417"/>
        <w:gridCol w:w="1418"/>
        <w:gridCol w:w="1417"/>
      </w:tblGrid>
      <w:tr>
        <w:trPr>
          <w:trHeight w:val="85"/>
        </w:trPr>
        <w:tc>
          <w:tcPr>
            <w:tcW w:w="2203" w:type="dxa"/>
          </w:tcPr>
          <w:p>
            <w:pPr>
              <w:jc w:val="center"/>
              <w:rPr>
                <w:noProof/>
                <w:sz w:val="20"/>
              </w:rPr>
            </w:pPr>
            <w:r>
              <w:rPr>
                <w:noProof/>
              </w:rPr>
              <w:br w:type="page"/>
            </w:r>
          </w:p>
        </w:tc>
        <w:tc>
          <w:tcPr>
            <w:tcW w:w="3119" w:type="dxa"/>
            <w:gridSpan w:val="2"/>
            <w:vAlign w:val="center"/>
          </w:tcPr>
          <w:p>
            <w:pPr>
              <w:spacing w:before="20" w:after="20"/>
              <w:rPr>
                <w:noProof/>
                <w:sz w:val="18"/>
              </w:rPr>
            </w:pPr>
            <w:r>
              <w:rPr>
                <w:noProof/>
                <w:sz w:val="18"/>
              </w:rPr>
              <w:t xml:space="preserve">Platby </w:t>
            </w:r>
          </w:p>
          <w:p>
            <w:pPr>
              <w:spacing w:after="60"/>
              <w:rPr>
                <w:noProof/>
              </w:rPr>
            </w:pPr>
            <w:r>
              <w:rPr>
                <w:noProof/>
              </w:rPr>
              <w:t>04 02 60 – Európsky sociálny fond – Menej rozvinuté regióny – Cieľ Investovanie do rastu a zamestnanosti</w:t>
            </w:r>
          </w:p>
          <w:p>
            <w:pPr>
              <w:spacing w:after="60"/>
              <w:rPr>
                <w:noProof/>
              </w:rPr>
            </w:pPr>
          </w:p>
          <w:p>
            <w:pPr>
              <w:spacing w:after="60"/>
              <w:rPr>
                <w:noProof/>
              </w:rPr>
            </w:pPr>
            <w:r>
              <w:rPr>
                <w:noProof/>
              </w:rPr>
              <w:t>04 02 61 – Európsky sociálny fond – Prechodné regióny – Cieľ Investovanie do rastu a zamestnanosti</w:t>
            </w:r>
          </w:p>
          <w:p>
            <w:pPr>
              <w:spacing w:after="60"/>
              <w:rPr>
                <w:noProof/>
              </w:rPr>
            </w:pPr>
          </w:p>
          <w:p>
            <w:pPr>
              <w:spacing w:after="60"/>
              <w:rPr>
                <w:noProof/>
              </w:rPr>
            </w:pPr>
            <w:r>
              <w:rPr>
                <w:noProof/>
              </w:rPr>
              <w:t xml:space="preserve">04 02 62 – Európsky sociálny fond – Rozvinutejšie regióny – Cieľ Investovanie do rastu a zamestnanosti </w:t>
            </w:r>
          </w:p>
          <w:p>
            <w:pPr>
              <w:spacing w:after="60"/>
              <w:rPr>
                <w:noProof/>
              </w:rPr>
            </w:pPr>
          </w:p>
          <w:p>
            <w:pPr>
              <w:spacing w:after="60"/>
              <w:rPr>
                <w:noProof/>
              </w:rPr>
            </w:pPr>
            <w:r>
              <w:rPr>
                <w:noProof/>
              </w:rPr>
              <w:t>04 02 64 – Iniciatíva na podporu zamestnanosti mladých ľudí (YEI)</w:t>
            </w:r>
          </w:p>
          <w:p>
            <w:pPr>
              <w:spacing w:after="60"/>
              <w:rPr>
                <w:noProof/>
              </w:rPr>
            </w:pPr>
          </w:p>
          <w:p>
            <w:pPr>
              <w:spacing w:after="60"/>
              <w:rPr>
                <w:noProof/>
              </w:rPr>
            </w:pPr>
            <w:r>
              <w:rPr>
                <w:noProof/>
              </w:rPr>
              <w:t xml:space="preserve">13 03 60 – Európsky fond regionálneho rozvoja (EFRR) – Menej rozvinuté regióny – Cieľ Investovanie do rastu a zamestnanosti </w:t>
            </w:r>
          </w:p>
          <w:p>
            <w:pPr>
              <w:spacing w:after="60"/>
              <w:rPr>
                <w:noProof/>
              </w:rPr>
            </w:pPr>
          </w:p>
          <w:p>
            <w:pPr>
              <w:spacing w:after="60"/>
              <w:rPr>
                <w:noProof/>
              </w:rPr>
            </w:pPr>
            <w:r>
              <w:rPr>
                <w:noProof/>
              </w:rPr>
              <w:t xml:space="preserve">13 03 61 – Európsky fond regionálneho rozvoja (EFRR) – Prechodné regióny – Cieľ Investovanie do rastu a zamestnanosti </w:t>
            </w:r>
          </w:p>
          <w:p>
            <w:pPr>
              <w:spacing w:after="60"/>
              <w:rPr>
                <w:noProof/>
              </w:rPr>
            </w:pPr>
          </w:p>
          <w:p>
            <w:pPr>
              <w:spacing w:after="60"/>
              <w:rPr>
                <w:noProof/>
              </w:rPr>
            </w:pPr>
            <w:r>
              <w:rPr>
                <w:noProof/>
              </w:rPr>
              <w:t xml:space="preserve">13 03 62 – Európsky fond regionálneho rozvoja (EFRR) – Rozvinutejšie regióny – Cieľ Investovanie do rastu a zamestnanosti </w:t>
            </w:r>
          </w:p>
          <w:p>
            <w:pPr>
              <w:spacing w:after="60"/>
              <w:rPr>
                <w:noProof/>
              </w:rPr>
            </w:pPr>
          </w:p>
          <w:p>
            <w:pPr>
              <w:spacing w:after="60"/>
              <w:rPr>
                <w:bCs/>
                <w:iCs/>
                <w:noProof/>
              </w:rPr>
            </w:pPr>
            <w:r>
              <w:rPr>
                <w:noProof/>
              </w:rPr>
              <w:t>13 03 63 – Európsky fond regionálneho rozvoja (EFRR) – Dodatočné rozpočtové prostriedky pre najvzdialenejšie a riedko osídlené regióny – Cieľ Investovanie do rastu a zamestnanosti</w:t>
            </w:r>
          </w:p>
          <w:p>
            <w:pPr>
              <w:spacing w:after="60"/>
              <w:rPr>
                <w:bCs/>
                <w:iCs/>
                <w:noProof/>
              </w:rPr>
            </w:pPr>
          </w:p>
          <w:p>
            <w:pPr>
              <w:spacing w:after="60"/>
              <w:rPr>
                <w:bCs/>
                <w:iCs/>
                <w:noProof/>
              </w:rPr>
            </w:pPr>
            <w:r>
              <w:rPr>
                <w:noProof/>
              </w:rPr>
              <w:t>13 03 64 01 – Európsky fond regionálneho rozvoja (EFRR) – Európska územná spolupráca</w:t>
            </w:r>
          </w:p>
          <w:p>
            <w:pPr>
              <w:spacing w:after="60"/>
              <w:rPr>
                <w:bCs/>
                <w:iCs/>
                <w:noProof/>
              </w:rPr>
            </w:pPr>
          </w:p>
          <w:p>
            <w:pPr>
              <w:spacing w:after="60"/>
              <w:rPr>
                <w:noProof/>
                <w:sz w:val="18"/>
              </w:rPr>
            </w:pPr>
            <w:r>
              <w:rPr>
                <w:noProof/>
              </w:rPr>
              <w:t>13 04 60 – Kohézny fond – Cieľ Investovanie do rastu a zamestnanosti</w:t>
            </w:r>
          </w:p>
        </w:tc>
        <w:tc>
          <w:tcPr>
            <w:tcW w:w="425" w:type="dxa"/>
            <w:vAlign w:val="center"/>
          </w:tcPr>
          <w:p>
            <w:pPr>
              <w:spacing w:before="20" w:after="20"/>
              <w:jc w:val="center"/>
              <w:rPr>
                <w:noProof/>
                <w:sz w:val="14"/>
              </w:rPr>
            </w:pPr>
            <w:r>
              <w:rPr>
                <w:noProof/>
                <w:sz w:val="14"/>
              </w:rPr>
              <w:t>(2)</w:t>
            </w:r>
          </w:p>
        </w:tc>
        <w:tc>
          <w:tcPr>
            <w:tcW w:w="567" w:type="dxa"/>
            <w:vAlign w:val="center"/>
          </w:tcPr>
          <w:p>
            <w:pPr>
              <w:spacing w:before="20" w:after="20"/>
              <w:rPr>
                <w:noProof/>
                <w:sz w:val="20"/>
              </w:rPr>
            </w:pPr>
          </w:p>
        </w:tc>
        <w:tc>
          <w:tcPr>
            <w:tcW w:w="709" w:type="dxa"/>
            <w:vAlign w:val="center"/>
          </w:tcPr>
          <w:p>
            <w:pPr>
              <w:spacing w:before="20" w:after="20"/>
              <w:rPr>
                <w:noProof/>
                <w:sz w:val="20"/>
              </w:rPr>
            </w:pPr>
          </w:p>
        </w:tc>
        <w:tc>
          <w:tcPr>
            <w:tcW w:w="567" w:type="dxa"/>
            <w:vAlign w:val="center"/>
          </w:tcPr>
          <w:p>
            <w:pPr>
              <w:spacing w:before="20" w:after="20"/>
              <w:rPr>
                <w:noProof/>
                <w:sz w:val="20"/>
              </w:rPr>
            </w:pPr>
          </w:p>
        </w:tc>
        <w:tc>
          <w:tcPr>
            <w:tcW w:w="1417"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85 000,000</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tc>
        <w:tc>
          <w:tcPr>
            <w:tcW w:w="1418"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25 285 013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26 792 094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9 304 437</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329 000 000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25 285 013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26 792 094</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9 304 437</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-2 777 728</w:t>
            </w:r>
          </w:p>
          <w:p>
            <w:pPr>
              <w:spacing w:before="20" w:after="20"/>
              <w:rPr>
                <w:noProof/>
                <w:sz w:val="20"/>
              </w:rPr>
            </w:pPr>
          </w:p>
          <w:p>
            <w:pPr>
              <w:spacing w:before="20" w:after="20"/>
              <w:rPr>
                <w:noProof/>
                <w:sz w:val="20"/>
              </w:rPr>
            </w:pPr>
          </w:p>
        </w:tc>
        <w:tc>
          <w:tcPr>
            <w:tcW w:w="1417" w:type="dxa"/>
            <w:vAlign w:val="center"/>
          </w:tcPr>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50 887 923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53 921 033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18 725 854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center"/>
              <w:rPr>
                <w:noProof/>
                <w:sz w:val="20"/>
              </w:rPr>
            </w:pPr>
            <w:r>
              <w:rPr>
                <w:noProof/>
                <w:sz w:val="20"/>
              </w:rPr>
              <w:t>231 000 000</w:t>
            </w:r>
          </w:p>
          <w:p>
            <w:pPr>
              <w:spacing w:before="20" w:after="20"/>
              <w:jc w:val="right"/>
              <w:rPr>
                <w:noProof/>
                <w:sz w:val="20"/>
              </w:rPr>
            </w:pPr>
          </w:p>
          <w:p>
            <w:pPr>
              <w:spacing w:before="20" w:after="20"/>
              <w:jc w:val="right"/>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50 887 923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53 921 033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18 725 854</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-5 590 378</w:t>
            </w:r>
          </w:p>
        </w:tc>
        <w:tc>
          <w:tcPr>
            <w:tcW w:w="1418" w:type="dxa"/>
            <w:vAlign w:val="center"/>
          </w:tcPr>
          <w:p>
            <w:pPr>
              <w:spacing w:before="20" w:after="20"/>
              <w:jc w:val="right"/>
              <w:rPr>
                <w:b/>
                <w:noProof/>
                <w:sz w:val="20"/>
              </w:rPr>
            </w:pPr>
          </w:p>
          <w:p>
            <w:pPr>
              <w:spacing w:before="20" w:after="20"/>
              <w:jc w:val="right"/>
              <w:rPr>
                <w:b/>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rPr>
                <w:noProof/>
                <w:sz w:val="20"/>
              </w:rPr>
            </w:pPr>
            <w:r>
              <w:rPr>
                <w:noProof/>
                <w:sz w:val="20"/>
              </w:rPr>
              <w:t>108 495 693</w:t>
            </w: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p>
          <w:p>
            <w:pPr>
              <w:spacing w:before="20" w:after="20"/>
              <w:jc w:val="right"/>
              <w:rPr>
                <w:noProof/>
                <w:sz w:val="20"/>
              </w:rPr>
            </w:pPr>
            <w:r>
              <w:rPr>
                <w:noProof/>
                <w:sz w:val="20"/>
              </w:rPr>
              <w:t>114 962 440</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noProof/>
                <w:sz w:val="20"/>
              </w:rPr>
            </w:pPr>
            <w:r>
              <w:rPr>
                <w:noProof/>
                <w:sz w:val="20"/>
              </w:rPr>
              <w:t>39 924 494</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noProof/>
                <w:sz w:val="20"/>
              </w:rPr>
            </w:pPr>
            <w:r>
              <w:rPr>
                <w:noProof/>
                <w:sz w:val="20"/>
              </w:rPr>
              <w:t>175 000 000</w:t>
            </w:r>
          </w:p>
          <w:p>
            <w:pPr>
              <w:spacing w:before="20" w:after="20"/>
              <w:jc w:val="right"/>
              <w:rPr>
                <w:b/>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108 495 693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114 962 440</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39 924 493</w:t>
            </w: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p>
          <w:p>
            <w:pPr>
              <w:spacing w:before="20" w:after="20"/>
              <w:rPr>
                <w:noProof/>
                <w:sz w:val="20"/>
              </w:rPr>
            </w:pPr>
            <w:r>
              <w:rPr>
                <w:noProof/>
                <w:sz w:val="20"/>
              </w:rPr>
              <w:t>-11 918 977</w:t>
            </w:r>
          </w:p>
        </w:tc>
        <w:tc>
          <w:tcPr>
            <w:tcW w:w="1417" w:type="dxa"/>
            <w:vAlign w:val="center"/>
          </w:tcPr>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b/>
                <w:noProof/>
                <w:sz w:val="20"/>
              </w:rPr>
            </w:pPr>
            <w:r>
              <w:rPr>
                <w:b/>
                <w:noProof/>
                <w:sz w:val="20"/>
              </w:rPr>
              <w:t>184 668 629</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center"/>
              <w:rPr>
                <w:b/>
                <w:noProof/>
                <w:sz w:val="20"/>
              </w:rPr>
            </w:pPr>
            <w:r>
              <w:rPr>
                <w:b/>
                <w:noProof/>
                <w:sz w:val="20"/>
              </w:rPr>
              <w:t>195 675 567</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center"/>
              <w:rPr>
                <w:b/>
                <w:noProof/>
                <w:sz w:val="20"/>
              </w:rPr>
            </w:pPr>
            <w:r>
              <w:rPr>
                <w:b/>
                <w:noProof/>
                <w:sz w:val="20"/>
              </w:rPr>
              <w:t>67 954 785</w:t>
            </w: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jc w:val="right"/>
              <w:rPr>
                <w:b/>
                <w:noProof/>
                <w:sz w:val="20"/>
              </w:rPr>
            </w:pPr>
          </w:p>
          <w:p>
            <w:pPr>
              <w:spacing w:before="20" w:after="20"/>
              <w:rPr>
                <w:b/>
                <w:noProof/>
                <w:sz w:val="20"/>
              </w:rPr>
            </w:pPr>
            <w:r>
              <w:rPr>
                <w:b/>
                <w:noProof/>
                <w:sz w:val="20"/>
              </w:rPr>
              <w:t>820 000 000</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184 668 629</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195 675 567</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67 954 785</w:t>
            </w: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p>
          <w:p>
            <w:pPr>
              <w:spacing w:before="20" w:after="20"/>
              <w:rPr>
                <w:b/>
                <w:noProof/>
                <w:sz w:val="20"/>
              </w:rPr>
            </w:pPr>
            <w:r>
              <w:rPr>
                <w:b/>
                <w:noProof/>
                <w:sz w:val="20"/>
              </w:rPr>
              <w:t>-20 287 083</w:t>
            </w:r>
          </w:p>
        </w:tc>
      </w:tr>
      <w:tr>
        <w:trPr>
          <w:trHeight w:val="231"/>
        </w:trPr>
        <w:tc>
          <w:tcPr>
            <w:tcW w:w="5747" w:type="dxa"/>
            <w:gridSpan w:val="4"/>
            <w:vAlign w:val="center"/>
          </w:tcPr>
          <w:p>
            <w:pPr>
              <w:spacing w:before="20" w:after="20"/>
              <w:rPr>
                <w:noProof/>
              </w:rPr>
            </w:pPr>
            <w:r>
              <w:rPr>
                <w:noProof/>
                <w:sz w:val="21"/>
              </w:rPr>
              <w:t>Administratívne rozpočtové prostriedky financované z balíka prostriedkov určených na implementáciu osobitných programov</w:t>
            </w:r>
            <w:r>
              <w:rPr>
                <w:rStyle w:val="FootnoteReference"/>
                <w:noProof/>
                <w:sz w:val="21"/>
              </w:rPr>
              <w:footnoteReference w:id="14"/>
            </w:r>
            <w:r>
              <w:rPr>
                <w:noProof/>
                <w:sz w:val="21"/>
              </w:rPr>
              <w:t xml:space="preserve"> </w:t>
            </w:r>
          </w:p>
          <w:p>
            <w:pPr>
              <w:spacing w:before="0" w:after="0"/>
              <w:rPr>
                <w:noProof/>
              </w:rPr>
            </w:pPr>
          </w:p>
        </w:tc>
        <w:tc>
          <w:tcPr>
            <w:tcW w:w="567" w:type="dxa"/>
            <w:vAlign w:val="center"/>
          </w:tcPr>
          <w:p>
            <w:pPr>
              <w:rPr>
                <w:b/>
                <w:noProof/>
                <w:sz w:val="20"/>
              </w:rPr>
            </w:pPr>
          </w:p>
        </w:tc>
        <w:tc>
          <w:tcPr>
            <w:tcW w:w="709" w:type="dxa"/>
            <w:vAlign w:val="center"/>
          </w:tcPr>
          <w:p>
            <w:pPr>
              <w:rPr>
                <w:b/>
                <w:noProof/>
                <w:sz w:val="20"/>
              </w:rPr>
            </w:pPr>
          </w:p>
        </w:tc>
        <w:tc>
          <w:tcPr>
            <w:tcW w:w="567" w:type="dxa"/>
            <w:vAlign w:val="center"/>
          </w:tcPr>
          <w:p>
            <w:pPr>
              <w:rPr>
                <w:b/>
                <w:noProof/>
                <w:sz w:val="20"/>
              </w:rPr>
            </w:pPr>
          </w:p>
        </w:tc>
        <w:tc>
          <w:tcPr>
            <w:tcW w:w="1417" w:type="dxa"/>
            <w:vAlign w:val="center"/>
          </w:tcPr>
          <w:p>
            <w:pPr>
              <w:rPr>
                <w:b/>
                <w:noProof/>
                <w:sz w:val="20"/>
              </w:rPr>
            </w:pPr>
          </w:p>
        </w:tc>
        <w:tc>
          <w:tcPr>
            <w:tcW w:w="1418" w:type="dxa"/>
            <w:vAlign w:val="center"/>
          </w:tcPr>
          <w:p>
            <w:pPr>
              <w:rPr>
                <w:b/>
                <w:noProof/>
                <w:sz w:val="20"/>
              </w:rPr>
            </w:pPr>
          </w:p>
        </w:tc>
        <w:tc>
          <w:tcPr>
            <w:tcW w:w="1417" w:type="dxa"/>
            <w:vAlign w:val="center"/>
          </w:tcPr>
          <w:p>
            <w:pPr>
              <w:rPr>
                <w:b/>
                <w:noProof/>
                <w:sz w:val="20"/>
              </w:rPr>
            </w:pPr>
          </w:p>
        </w:tc>
        <w:tc>
          <w:tcPr>
            <w:tcW w:w="1418" w:type="dxa"/>
            <w:vAlign w:val="center"/>
          </w:tcPr>
          <w:p>
            <w:pPr>
              <w:rPr>
                <w:b/>
                <w:noProof/>
                <w:sz w:val="20"/>
              </w:rPr>
            </w:pPr>
          </w:p>
        </w:tc>
        <w:tc>
          <w:tcPr>
            <w:tcW w:w="1417" w:type="dxa"/>
            <w:vAlign w:val="center"/>
          </w:tcPr>
          <w:p>
            <w:pPr>
              <w:rPr>
                <w:b/>
                <w:noProof/>
                <w:sz w:val="20"/>
              </w:rPr>
            </w:pPr>
          </w:p>
        </w:tc>
      </w:tr>
      <w:tr>
        <w:trPr>
          <w:trHeight w:val="319"/>
        </w:trPr>
        <w:tc>
          <w:tcPr>
            <w:tcW w:w="2203" w:type="dxa"/>
            <w:vAlign w:val="center"/>
          </w:tcPr>
          <w:p>
            <w:pPr>
              <w:spacing w:before="60" w:after="60"/>
              <w:rPr>
                <w:noProof/>
              </w:rPr>
            </w:pPr>
            <w:r>
              <w:rPr>
                <w:noProof/>
                <w:sz w:val="20"/>
              </w:rPr>
              <w:t>Neuplatňuje sa</w:t>
            </w:r>
          </w:p>
        </w:tc>
        <w:tc>
          <w:tcPr>
            <w:tcW w:w="3077" w:type="dxa"/>
            <w:vAlign w:val="center"/>
          </w:tcPr>
          <w:p>
            <w:pPr>
              <w:spacing w:before="40" w:after="40"/>
              <w:jc w:val="right"/>
              <w:rPr>
                <w:noProof/>
                <w:sz w:val="18"/>
              </w:rPr>
            </w:pPr>
          </w:p>
        </w:tc>
        <w:tc>
          <w:tcPr>
            <w:tcW w:w="467" w:type="dxa"/>
            <w:gridSpan w:val="2"/>
            <w:vAlign w:val="center"/>
          </w:tcPr>
          <w:p>
            <w:pPr>
              <w:spacing w:before="40" w:after="40"/>
              <w:jc w:val="center"/>
              <w:rPr>
                <w:noProof/>
                <w:sz w:val="14"/>
              </w:rPr>
            </w:pPr>
            <w:r>
              <w:rPr>
                <w:noProof/>
                <w:sz w:val="14"/>
              </w:rPr>
              <w:t>(3)</w:t>
            </w:r>
          </w:p>
        </w:tc>
        <w:tc>
          <w:tcPr>
            <w:tcW w:w="567" w:type="dxa"/>
            <w:vAlign w:val="center"/>
          </w:tcPr>
          <w:p>
            <w:pPr>
              <w:spacing w:before="40" w:after="40"/>
              <w:jc w:val="right"/>
              <w:rPr>
                <w:b/>
                <w:noProof/>
                <w:sz w:val="20"/>
              </w:rPr>
            </w:pPr>
          </w:p>
        </w:tc>
        <w:tc>
          <w:tcPr>
            <w:tcW w:w="709" w:type="dxa"/>
            <w:vAlign w:val="center"/>
          </w:tcPr>
          <w:p>
            <w:pPr>
              <w:spacing w:before="40" w:after="40"/>
              <w:jc w:val="right"/>
              <w:rPr>
                <w:b/>
                <w:noProof/>
                <w:sz w:val="20"/>
              </w:rPr>
            </w:pPr>
          </w:p>
        </w:tc>
        <w:tc>
          <w:tcPr>
            <w:tcW w:w="567" w:type="dxa"/>
            <w:vAlign w:val="center"/>
          </w:tcPr>
          <w:p>
            <w:pPr>
              <w:spacing w:before="40" w:after="40"/>
              <w:jc w:val="right"/>
              <w:rPr>
                <w:b/>
                <w:noProof/>
                <w:sz w:val="20"/>
              </w:rPr>
            </w:pPr>
          </w:p>
        </w:tc>
        <w:tc>
          <w:tcPr>
            <w:tcW w:w="1417" w:type="dxa"/>
            <w:vAlign w:val="center"/>
          </w:tcPr>
          <w:p>
            <w:pPr>
              <w:spacing w:before="40" w:after="40"/>
              <w:jc w:val="right"/>
              <w:rPr>
                <w:b/>
                <w:noProof/>
                <w:sz w:val="20"/>
              </w:rPr>
            </w:pPr>
          </w:p>
        </w:tc>
        <w:tc>
          <w:tcPr>
            <w:tcW w:w="1418" w:type="dxa"/>
            <w:vAlign w:val="center"/>
          </w:tcPr>
          <w:p>
            <w:pPr>
              <w:spacing w:before="40" w:after="40"/>
              <w:jc w:val="right"/>
              <w:rPr>
                <w:b/>
                <w:noProof/>
                <w:sz w:val="20"/>
              </w:rPr>
            </w:pPr>
          </w:p>
        </w:tc>
        <w:tc>
          <w:tcPr>
            <w:tcW w:w="1417" w:type="dxa"/>
            <w:vAlign w:val="center"/>
          </w:tcPr>
          <w:p>
            <w:pPr>
              <w:spacing w:before="40" w:after="40"/>
              <w:jc w:val="right"/>
              <w:rPr>
                <w:b/>
                <w:noProof/>
                <w:sz w:val="20"/>
              </w:rPr>
            </w:pPr>
          </w:p>
        </w:tc>
        <w:tc>
          <w:tcPr>
            <w:tcW w:w="1418" w:type="dxa"/>
            <w:vAlign w:val="center"/>
          </w:tcPr>
          <w:p>
            <w:pPr>
              <w:spacing w:before="40" w:after="40"/>
              <w:jc w:val="right"/>
              <w:rPr>
                <w:b/>
                <w:noProof/>
                <w:sz w:val="20"/>
              </w:rPr>
            </w:pPr>
          </w:p>
        </w:tc>
        <w:tc>
          <w:tcPr>
            <w:tcW w:w="1417" w:type="dxa"/>
            <w:vAlign w:val="center"/>
          </w:tcPr>
          <w:p>
            <w:pPr>
              <w:spacing w:before="40" w:after="40"/>
              <w:jc w:val="right"/>
              <w:rPr>
                <w:b/>
                <w:noProof/>
                <w:sz w:val="20"/>
              </w:rPr>
            </w:pPr>
          </w:p>
        </w:tc>
      </w:tr>
      <w:tr>
        <w:tc>
          <w:tcPr>
            <w:tcW w:w="2203" w:type="dxa"/>
            <w:vMerge w:val="restart"/>
            <w:vAlign w:val="center"/>
          </w:tcPr>
          <w:p>
            <w:pPr>
              <w:jc w:val="center"/>
              <w:rPr>
                <w:b/>
                <w:noProof/>
              </w:rPr>
            </w:pPr>
            <w:r>
              <w:rPr>
                <w:b/>
                <w:noProof/>
                <w:sz w:val="22"/>
              </w:rPr>
              <w:t>Rozpočtové prostriedky</w:t>
            </w:r>
            <w:r>
              <w:rPr>
                <w:noProof/>
              </w:rPr>
              <w:br/>
            </w:r>
            <w:r>
              <w:rPr>
                <w:b/>
                <w:noProof/>
                <w:sz w:val="22"/>
              </w:rPr>
              <w:t xml:space="preserve">pre GR </w:t>
            </w:r>
            <w:r>
              <w:rPr>
                <w:noProof/>
              </w:rPr>
              <w:t xml:space="preserve">EMPL, REGIO </w:t>
            </w:r>
            <w:r>
              <w:rPr>
                <w:b/>
                <w:noProof/>
              </w:rPr>
              <w:t>SPOLU</w:t>
            </w:r>
            <w:r>
              <w:rPr>
                <w:noProof/>
              </w:rPr>
              <w:t xml:space="preserve"> </w:t>
            </w:r>
          </w:p>
        </w:tc>
        <w:tc>
          <w:tcPr>
            <w:tcW w:w="3077" w:type="dxa"/>
            <w:vAlign w:val="center"/>
          </w:tcPr>
          <w:p>
            <w:pPr>
              <w:rPr>
                <w:noProof/>
                <w:sz w:val="18"/>
              </w:rPr>
            </w:pPr>
            <w:r>
              <w:rPr>
                <w:noProof/>
                <w:sz w:val="18"/>
              </w:rPr>
              <w:t>Záväzky</w:t>
            </w:r>
          </w:p>
        </w:tc>
        <w:tc>
          <w:tcPr>
            <w:tcW w:w="467" w:type="dxa"/>
            <w:gridSpan w:val="2"/>
            <w:vAlign w:val="center"/>
          </w:tcPr>
          <w:p>
            <w:pPr>
              <w:jc w:val="center"/>
              <w:rPr>
                <w:noProof/>
                <w:sz w:val="14"/>
              </w:rPr>
            </w:pPr>
            <w:r>
              <w:rPr>
                <w:noProof/>
                <w:sz w:val="14"/>
              </w:rPr>
              <w:t>= 1 + 1a + 3</w:t>
            </w:r>
          </w:p>
        </w:tc>
        <w:tc>
          <w:tcPr>
            <w:tcW w:w="567"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567" w:type="dxa"/>
            <w:vAlign w:val="center"/>
          </w:tcPr>
          <w:p>
            <w:pPr>
              <w:spacing w:before="20" w:after="20"/>
              <w:jc w:val="right"/>
              <w:rPr>
                <w:noProof/>
                <w:sz w:val="20"/>
              </w:rPr>
            </w:pPr>
          </w:p>
        </w:tc>
        <w:tc>
          <w:tcPr>
            <w:tcW w:w="1417" w:type="dxa"/>
            <w:vAlign w:val="center"/>
          </w:tcPr>
          <w:p>
            <w:pPr>
              <w:spacing w:before="20" w:after="20"/>
              <w:jc w:val="right"/>
              <w:rPr>
                <w:noProof/>
                <w:sz w:val="20"/>
              </w:rPr>
            </w:pPr>
            <w:r>
              <w:rPr>
                <w:noProof/>
                <w:sz w:val="20"/>
              </w:rPr>
              <w:t>1 626 162 416</w:t>
            </w:r>
          </w:p>
        </w:tc>
        <w:tc>
          <w:tcPr>
            <w:tcW w:w="1418" w:type="dxa"/>
            <w:vAlign w:val="center"/>
          </w:tcPr>
          <w:p>
            <w:pPr>
              <w:spacing w:before="20" w:after="20"/>
              <w:jc w:val="right"/>
              <w:rPr>
                <w:noProof/>
                <w:sz w:val="20"/>
              </w:rPr>
            </w:pPr>
            <w:r>
              <w:rPr>
                <w:noProof/>
                <w:sz w:val="20"/>
              </w:rPr>
              <w:t>1 498 685 668</w:t>
            </w:r>
          </w:p>
          <w:p>
            <w:pPr>
              <w:spacing w:before="20" w:after="20"/>
              <w:jc w:val="right"/>
              <w:rPr>
                <w:noProof/>
                <w:sz w:val="20"/>
              </w:rPr>
            </w:pPr>
          </w:p>
        </w:tc>
        <w:tc>
          <w:tcPr>
            <w:tcW w:w="1417" w:type="dxa"/>
            <w:vAlign w:val="center"/>
          </w:tcPr>
          <w:p>
            <w:pPr>
              <w:spacing w:before="20" w:after="20"/>
              <w:jc w:val="right"/>
              <w:rPr>
                <w:noProof/>
                <w:sz w:val="20"/>
              </w:rPr>
            </w:pPr>
            <w:r>
              <w:rPr>
                <w:noProof/>
                <w:sz w:val="20"/>
              </w:rPr>
              <w:t>1 404 992 715</w:t>
            </w:r>
          </w:p>
        </w:tc>
        <w:tc>
          <w:tcPr>
            <w:tcW w:w="1418" w:type="dxa"/>
            <w:vAlign w:val="center"/>
          </w:tcPr>
          <w:p>
            <w:pPr>
              <w:spacing w:before="20" w:after="20"/>
              <w:jc w:val="right"/>
              <w:rPr>
                <w:noProof/>
                <w:sz w:val="20"/>
              </w:rPr>
            </w:pPr>
            <w:r>
              <w:rPr>
                <w:noProof/>
                <w:sz w:val="20"/>
              </w:rPr>
              <w:t>1 311 759 062</w:t>
            </w:r>
          </w:p>
          <w:p>
            <w:pPr>
              <w:spacing w:before="20" w:after="20"/>
              <w:jc w:val="right"/>
              <w:rPr>
                <w:b/>
                <w:noProof/>
                <w:sz w:val="20"/>
              </w:rPr>
            </w:pPr>
          </w:p>
        </w:tc>
        <w:tc>
          <w:tcPr>
            <w:tcW w:w="1417" w:type="dxa"/>
            <w:vAlign w:val="center"/>
          </w:tcPr>
          <w:p>
            <w:pPr>
              <w:spacing w:before="20" w:after="20"/>
              <w:jc w:val="right"/>
              <w:rPr>
                <w:b/>
                <w:noProof/>
                <w:sz w:val="20"/>
              </w:rPr>
            </w:pPr>
            <w:r>
              <w:rPr>
                <w:b/>
                <w:noProof/>
                <w:sz w:val="20"/>
              </w:rPr>
              <w:t>5 841 599 861</w:t>
            </w:r>
          </w:p>
        </w:tc>
      </w:tr>
      <w:tr>
        <w:tc>
          <w:tcPr>
            <w:tcW w:w="2203" w:type="dxa"/>
            <w:vMerge/>
          </w:tcPr>
          <w:p>
            <w:pPr>
              <w:rPr>
                <w:noProof/>
                <w:sz w:val="20"/>
              </w:rPr>
            </w:pPr>
          </w:p>
        </w:tc>
        <w:tc>
          <w:tcPr>
            <w:tcW w:w="3077" w:type="dxa"/>
            <w:vAlign w:val="center"/>
          </w:tcPr>
          <w:p>
            <w:pPr>
              <w:rPr>
                <w:noProof/>
                <w:sz w:val="18"/>
              </w:rPr>
            </w:pPr>
            <w:r>
              <w:rPr>
                <w:noProof/>
                <w:sz w:val="18"/>
              </w:rPr>
              <w:t>Platby</w:t>
            </w:r>
          </w:p>
        </w:tc>
        <w:tc>
          <w:tcPr>
            <w:tcW w:w="467" w:type="dxa"/>
            <w:gridSpan w:val="2"/>
            <w:vAlign w:val="center"/>
          </w:tcPr>
          <w:p>
            <w:pPr>
              <w:jc w:val="center"/>
              <w:rPr>
                <w:noProof/>
                <w:sz w:val="14"/>
              </w:rPr>
            </w:pPr>
            <w:r>
              <w:rPr>
                <w:noProof/>
                <w:sz w:val="14"/>
              </w:rPr>
              <w:t>= 2 + 2a</w:t>
            </w:r>
          </w:p>
          <w:p>
            <w:pPr>
              <w:jc w:val="center"/>
              <w:rPr>
                <w:noProof/>
                <w:sz w:val="14"/>
              </w:rPr>
            </w:pPr>
            <w:r>
              <w:rPr>
                <w:noProof/>
                <w:sz w:val="14"/>
              </w:rPr>
              <w:t>+3</w:t>
            </w:r>
          </w:p>
        </w:tc>
        <w:tc>
          <w:tcPr>
            <w:tcW w:w="567" w:type="dxa"/>
            <w:vAlign w:val="center"/>
          </w:tcPr>
          <w:p>
            <w:pPr>
              <w:spacing w:before="20" w:after="20"/>
              <w:jc w:val="right"/>
              <w:rPr>
                <w:noProof/>
                <w:sz w:val="20"/>
              </w:rPr>
            </w:pPr>
          </w:p>
        </w:tc>
        <w:tc>
          <w:tcPr>
            <w:tcW w:w="709" w:type="dxa"/>
            <w:vAlign w:val="center"/>
          </w:tcPr>
          <w:p>
            <w:pPr>
              <w:spacing w:before="20" w:after="20"/>
              <w:jc w:val="right"/>
              <w:rPr>
                <w:noProof/>
                <w:sz w:val="20"/>
              </w:rPr>
            </w:pPr>
          </w:p>
        </w:tc>
        <w:tc>
          <w:tcPr>
            <w:tcW w:w="567" w:type="dxa"/>
            <w:vAlign w:val="center"/>
          </w:tcPr>
          <w:p>
            <w:pPr>
              <w:spacing w:before="20" w:after="20"/>
              <w:jc w:val="right"/>
              <w:rPr>
                <w:noProof/>
                <w:sz w:val="20"/>
              </w:rPr>
            </w:pPr>
          </w:p>
        </w:tc>
        <w:tc>
          <w:tcPr>
            <w:tcW w:w="1417" w:type="dxa"/>
            <w:vAlign w:val="center"/>
          </w:tcPr>
          <w:p>
            <w:pPr>
              <w:spacing w:before="20" w:after="20"/>
              <w:jc w:val="right"/>
              <w:rPr>
                <w:noProof/>
                <w:sz w:val="20"/>
              </w:rPr>
            </w:pPr>
            <w:r>
              <w:rPr>
                <w:noProof/>
                <w:sz w:val="20"/>
              </w:rPr>
              <w:t>85 000 000</w:t>
            </w:r>
          </w:p>
        </w:tc>
        <w:tc>
          <w:tcPr>
            <w:tcW w:w="1418" w:type="dxa"/>
            <w:vAlign w:val="center"/>
          </w:tcPr>
          <w:p>
            <w:pPr>
              <w:spacing w:before="20" w:after="20"/>
              <w:jc w:val="right"/>
              <w:rPr>
                <w:noProof/>
                <w:sz w:val="20"/>
              </w:rPr>
            </w:pPr>
            <w:r>
              <w:rPr>
                <w:noProof/>
                <w:sz w:val="20"/>
              </w:rPr>
              <w:t>448 985 360</w:t>
            </w:r>
          </w:p>
        </w:tc>
        <w:tc>
          <w:tcPr>
            <w:tcW w:w="1417" w:type="dxa"/>
            <w:vAlign w:val="center"/>
          </w:tcPr>
          <w:p>
            <w:pPr>
              <w:spacing w:before="20" w:after="20"/>
              <w:jc w:val="right"/>
              <w:rPr>
                <w:noProof/>
                <w:sz w:val="20"/>
              </w:rPr>
            </w:pPr>
            <w:r>
              <w:rPr>
                <w:noProof/>
                <w:sz w:val="20"/>
              </w:rPr>
              <w:t>472 479 242</w:t>
            </w:r>
          </w:p>
        </w:tc>
        <w:tc>
          <w:tcPr>
            <w:tcW w:w="1418" w:type="dxa"/>
            <w:vAlign w:val="center"/>
          </w:tcPr>
          <w:p>
            <w:pPr>
              <w:spacing w:before="20" w:after="20"/>
              <w:jc w:val="right"/>
              <w:rPr>
                <w:noProof/>
                <w:sz w:val="20"/>
              </w:rPr>
            </w:pPr>
            <w:r>
              <w:rPr>
                <w:noProof/>
                <w:sz w:val="20"/>
              </w:rPr>
              <w:t>689 846 276</w:t>
            </w:r>
          </w:p>
        </w:tc>
        <w:tc>
          <w:tcPr>
            <w:tcW w:w="1417" w:type="dxa"/>
            <w:vAlign w:val="center"/>
          </w:tcPr>
          <w:p>
            <w:pPr>
              <w:spacing w:before="20" w:after="20"/>
              <w:jc w:val="center"/>
              <w:rPr>
                <w:b/>
                <w:noProof/>
                <w:sz w:val="20"/>
              </w:rPr>
            </w:pPr>
          </w:p>
          <w:p>
            <w:pPr>
              <w:spacing w:before="20" w:after="20"/>
              <w:jc w:val="center"/>
              <w:rPr>
                <w:b/>
                <w:noProof/>
                <w:sz w:val="20"/>
              </w:rPr>
            </w:pPr>
            <w:r>
              <w:rPr>
                <w:b/>
                <w:noProof/>
                <w:sz w:val="20"/>
              </w:rPr>
              <w:t>1 696 310 879</w:t>
            </w:r>
          </w:p>
          <w:p>
            <w:pPr>
              <w:spacing w:before="20" w:after="20"/>
              <w:jc w:val="center"/>
              <w:rPr>
                <w:b/>
                <w:noProof/>
                <w:sz w:val="20"/>
              </w:rPr>
            </w:pPr>
          </w:p>
        </w:tc>
      </w:tr>
    </w:tbl>
    <w:p>
      <w:pPr>
        <w:rPr>
          <w:noProof/>
          <w:sz w:val="16"/>
        </w:rPr>
      </w:pPr>
    </w:p>
    <w:p>
      <w:pPr>
        <w:rPr>
          <w:noProof/>
          <w:sz w:val="16"/>
        </w:rPr>
      </w:pPr>
    </w:p>
    <w:p>
      <w:pPr>
        <w:rPr>
          <w:noProof/>
        </w:rPr>
      </w:pPr>
    </w:p>
    <w:tbl>
      <w:tblPr>
        <w:tblW w:w="144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026"/>
        <w:gridCol w:w="1320"/>
        <w:gridCol w:w="891"/>
        <w:gridCol w:w="1066"/>
        <w:gridCol w:w="1200"/>
        <w:gridCol w:w="480"/>
        <w:gridCol w:w="1173"/>
        <w:gridCol w:w="1214"/>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Operačné rozpočtové prostriedky SPOLU</w:t>
            </w:r>
          </w:p>
        </w:tc>
        <w:tc>
          <w:tcPr>
            <w:tcW w:w="1440" w:type="dxa"/>
            <w:vAlign w:val="center"/>
          </w:tcPr>
          <w:p>
            <w:pPr>
              <w:spacing w:beforeLines="20" w:before="48" w:afterLines="20" w:after="48"/>
              <w:rPr>
                <w:noProof/>
                <w:sz w:val="18"/>
              </w:rPr>
            </w:pPr>
            <w:r>
              <w:rPr>
                <w:noProof/>
                <w:sz w:val="18"/>
              </w:rPr>
              <w:t>Záväzky</w:t>
            </w:r>
          </w:p>
        </w:tc>
        <w:tc>
          <w:tcPr>
            <w:tcW w:w="654" w:type="dxa"/>
            <w:vAlign w:val="center"/>
          </w:tcPr>
          <w:p>
            <w:pPr>
              <w:spacing w:beforeLines="20" w:before="48" w:afterLines="20" w:after="48"/>
              <w:jc w:val="center"/>
              <w:rPr>
                <w:noProof/>
                <w:sz w:val="14"/>
              </w:rPr>
            </w:pPr>
            <w:r>
              <w:rPr>
                <w:noProof/>
                <w:sz w:val="14"/>
              </w:rPr>
              <w:t>(4)</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vAlign w:val="center"/>
          </w:tcPr>
          <w:p>
            <w:pPr>
              <w:spacing w:before="20" w:after="20"/>
              <w:jc w:val="right"/>
              <w:rPr>
                <w:noProof/>
                <w:sz w:val="20"/>
              </w:rPr>
            </w:pPr>
            <w:r>
              <w:rPr>
                <w:noProof/>
                <w:sz w:val="20"/>
              </w:rPr>
              <w:t>0</w:t>
            </w:r>
          </w:p>
        </w:tc>
        <w:tc>
          <w:tcPr>
            <w:tcW w:w="1200" w:type="dxa"/>
            <w:vAlign w:val="center"/>
          </w:tcPr>
          <w:p>
            <w:pPr>
              <w:spacing w:before="20" w:after="20"/>
              <w:jc w:val="right"/>
              <w:rPr>
                <w:noProof/>
                <w:sz w:val="20"/>
              </w:rPr>
            </w:pPr>
            <w:r>
              <w:rPr>
                <w:noProof/>
                <w:sz w:val="20"/>
              </w:rPr>
              <w:t>0</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noProof/>
                <w:sz w:val="20"/>
              </w:rPr>
            </w:pPr>
          </w:p>
        </w:tc>
        <w:tc>
          <w:tcPr>
            <w:tcW w:w="1214"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Administratívne rozpočtové prostriedky financované z balíka prostriedkov určených na implementáciu osobitných programov SPOLU</w:t>
            </w:r>
          </w:p>
        </w:tc>
        <w:tc>
          <w:tcPr>
            <w:tcW w:w="654" w:type="dxa"/>
            <w:vAlign w:val="center"/>
          </w:tcPr>
          <w:p>
            <w:pPr>
              <w:spacing w:beforeLines="20" w:before="48" w:afterLines="20" w:after="48"/>
              <w:jc w:val="center"/>
              <w:rPr>
                <w:noProof/>
                <w:sz w:val="14"/>
              </w:rPr>
            </w:pPr>
            <w:r>
              <w:rPr>
                <w:noProof/>
                <w:sz w:val="14"/>
              </w:rPr>
              <w:t>(6)</w:t>
            </w:r>
          </w:p>
        </w:tc>
        <w:tc>
          <w:tcPr>
            <w:tcW w:w="1026" w:type="dxa"/>
            <w:vAlign w:val="center"/>
          </w:tcPr>
          <w:p>
            <w:pPr>
              <w:spacing w:before="20" w:after="20"/>
              <w:jc w:val="right"/>
              <w:rPr>
                <w:b/>
                <w:noProof/>
                <w:sz w:val="20"/>
              </w:rPr>
            </w:pPr>
            <w:r>
              <w:rPr>
                <w:b/>
                <w:noProof/>
                <w:sz w:val="20"/>
              </w:rPr>
              <w:t>0</w:t>
            </w:r>
          </w:p>
        </w:tc>
        <w:tc>
          <w:tcPr>
            <w:tcW w:w="1320" w:type="dxa"/>
            <w:vAlign w:val="center"/>
          </w:tcPr>
          <w:p>
            <w:pPr>
              <w:spacing w:before="20" w:after="20"/>
              <w:jc w:val="right"/>
              <w:rPr>
                <w:b/>
                <w:noProof/>
                <w:sz w:val="20"/>
              </w:rPr>
            </w:pPr>
            <w:r>
              <w:rPr>
                <w:b/>
                <w:noProof/>
                <w:sz w:val="20"/>
              </w:rPr>
              <w:t>0</w:t>
            </w:r>
          </w:p>
        </w:tc>
        <w:tc>
          <w:tcPr>
            <w:tcW w:w="891" w:type="dxa"/>
            <w:vAlign w:val="center"/>
          </w:tcPr>
          <w:p>
            <w:pPr>
              <w:spacing w:before="20" w:after="20"/>
              <w:jc w:val="right"/>
              <w:rPr>
                <w:b/>
                <w:noProof/>
                <w:sz w:val="20"/>
              </w:rPr>
            </w:pPr>
            <w:r>
              <w:rPr>
                <w:b/>
                <w:noProof/>
                <w:sz w:val="20"/>
              </w:rPr>
              <w:t>0</w:t>
            </w:r>
          </w:p>
        </w:tc>
        <w:tc>
          <w:tcPr>
            <w:tcW w:w="1066" w:type="dxa"/>
            <w:vAlign w:val="center"/>
          </w:tcPr>
          <w:p>
            <w:pPr>
              <w:spacing w:before="20" w:after="20"/>
              <w:jc w:val="right"/>
              <w:rPr>
                <w:b/>
                <w:noProof/>
                <w:sz w:val="20"/>
              </w:rPr>
            </w:pPr>
            <w:r>
              <w:rPr>
                <w:b/>
                <w:noProof/>
                <w:sz w:val="20"/>
              </w:rPr>
              <w:t>0</w:t>
            </w:r>
          </w:p>
        </w:tc>
        <w:tc>
          <w:tcPr>
            <w:tcW w:w="1200" w:type="dxa"/>
            <w:vAlign w:val="center"/>
          </w:tcPr>
          <w:p>
            <w:pPr>
              <w:spacing w:before="20" w:after="20"/>
              <w:jc w:val="right"/>
              <w:rPr>
                <w:b/>
                <w:noProof/>
                <w:sz w:val="20"/>
              </w:rPr>
            </w:pPr>
            <w:r>
              <w:rPr>
                <w:b/>
                <w:noProof/>
                <w:sz w:val="20"/>
              </w:rPr>
              <w:t>0</w:t>
            </w:r>
          </w:p>
        </w:tc>
        <w:tc>
          <w:tcPr>
            <w:tcW w:w="480" w:type="dxa"/>
            <w:vAlign w:val="center"/>
          </w:tcPr>
          <w:p>
            <w:pPr>
              <w:spacing w:before="20" w:after="20"/>
              <w:jc w:val="right"/>
              <w:rPr>
                <w:b/>
                <w:noProof/>
                <w:sz w:val="20"/>
              </w:rPr>
            </w:pPr>
            <w:r>
              <w:rPr>
                <w:b/>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val="restart"/>
            <w:shd w:val="thinDiagStripe" w:color="C0C0C0" w:fill="auto"/>
            <w:vAlign w:val="center"/>
          </w:tcPr>
          <w:p>
            <w:pPr>
              <w:jc w:val="center"/>
              <w:rPr>
                <w:b/>
                <w:noProof/>
              </w:rPr>
            </w:pPr>
            <w:r>
              <w:rPr>
                <w:b/>
                <w:noProof/>
              </w:rPr>
              <w:t xml:space="preserve">Rozpočtové prostriedky OKRUHU 1 </w:t>
            </w:r>
            <w:r>
              <w:rPr>
                <w:noProof/>
              </w:rPr>
              <w:t>viacročného finančného rámca</w:t>
            </w:r>
            <w:r>
              <w:rPr>
                <w:b/>
                <w:noProof/>
              </w:rPr>
              <w:t xml:space="preserve"> SPOLU</w:t>
            </w:r>
            <w:r>
              <w:rPr>
                <w:noProof/>
              </w:rPr>
              <w:t xml:space="preserve"> </w:t>
            </w:r>
          </w:p>
        </w:tc>
        <w:tc>
          <w:tcPr>
            <w:tcW w:w="1440" w:type="dxa"/>
            <w:vAlign w:val="center"/>
          </w:tcPr>
          <w:p>
            <w:pPr>
              <w:rPr>
                <w:noProof/>
                <w:sz w:val="18"/>
              </w:rPr>
            </w:pPr>
            <w:r>
              <w:rPr>
                <w:noProof/>
                <w:sz w:val="18"/>
              </w:rPr>
              <w:t>Záväzky</w:t>
            </w:r>
          </w:p>
        </w:tc>
        <w:tc>
          <w:tcPr>
            <w:tcW w:w="654" w:type="dxa"/>
            <w:vAlign w:val="center"/>
          </w:tcPr>
          <w:p>
            <w:pPr>
              <w:jc w:val="center"/>
              <w:rPr>
                <w:noProof/>
                <w:sz w:val="14"/>
              </w:rPr>
            </w:pPr>
            <w:r>
              <w:rPr>
                <w:noProof/>
                <w:sz w:val="14"/>
              </w:rPr>
              <w:t>= 4 + 6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r>
              <w:rPr>
                <w:noProof/>
                <w:sz w:val="20"/>
              </w:rPr>
              <w:t>0</w:t>
            </w:r>
          </w:p>
        </w:tc>
        <w:tc>
          <w:tcPr>
            <w:tcW w:w="891" w:type="dxa"/>
            <w:vAlign w:val="center"/>
          </w:tcPr>
          <w:p>
            <w:pPr>
              <w:spacing w:before="20" w:after="20"/>
              <w:jc w:val="right"/>
              <w:rPr>
                <w:noProof/>
                <w:sz w:val="20"/>
              </w:rPr>
            </w:pPr>
            <w:r>
              <w:rPr>
                <w:noProof/>
                <w:sz w:val="20"/>
              </w:rPr>
              <w:t>0</w:t>
            </w:r>
          </w:p>
        </w:tc>
        <w:tc>
          <w:tcPr>
            <w:tcW w:w="1066" w:type="dxa"/>
            <w:vAlign w:val="center"/>
          </w:tcPr>
          <w:p>
            <w:pPr>
              <w:spacing w:before="20" w:after="20"/>
              <w:jc w:val="right"/>
              <w:rPr>
                <w:noProof/>
                <w:sz w:val="20"/>
              </w:rPr>
            </w:pPr>
            <w:r>
              <w:rPr>
                <w:noProof/>
                <w:sz w:val="20"/>
              </w:rPr>
              <w:t>0</w:t>
            </w:r>
          </w:p>
        </w:tc>
        <w:tc>
          <w:tcPr>
            <w:tcW w:w="1200" w:type="dxa"/>
            <w:vAlign w:val="center"/>
          </w:tcPr>
          <w:p>
            <w:pPr>
              <w:spacing w:before="20" w:after="20"/>
              <w:jc w:val="right"/>
              <w:rPr>
                <w:noProof/>
                <w:sz w:val="20"/>
              </w:rPr>
            </w:pPr>
            <w:r>
              <w:rPr>
                <w:noProof/>
                <w:sz w:val="20"/>
              </w:rPr>
              <w:t>0</w:t>
            </w:r>
          </w:p>
        </w:tc>
        <w:tc>
          <w:tcPr>
            <w:tcW w:w="480" w:type="dxa"/>
            <w:vAlign w:val="center"/>
          </w:tcPr>
          <w:p>
            <w:pPr>
              <w:spacing w:before="20" w:after="20"/>
              <w:jc w:val="right"/>
              <w:rPr>
                <w:noProof/>
                <w:sz w:val="20"/>
              </w:rPr>
            </w:pPr>
            <w:r>
              <w:rPr>
                <w:noProof/>
                <w:sz w:val="20"/>
              </w:rPr>
              <w:t>0</w:t>
            </w:r>
          </w:p>
        </w:tc>
        <w:tc>
          <w:tcPr>
            <w:tcW w:w="1173" w:type="dxa"/>
            <w:vAlign w:val="center"/>
          </w:tcPr>
          <w:p>
            <w:pPr>
              <w:spacing w:before="20" w:after="20"/>
              <w:jc w:val="right"/>
              <w:rPr>
                <w:noProof/>
                <w:sz w:val="20"/>
              </w:rPr>
            </w:pPr>
            <w:r>
              <w:rPr>
                <w:noProof/>
                <w:sz w:val="20"/>
              </w:rPr>
              <w:t>0</w:t>
            </w:r>
          </w:p>
        </w:tc>
        <w:tc>
          <w:tcPr>
            <w:tcW w:w="1214" w:type="dxa"/>
            <w:vAlign w:val="center"/>
          </w:tcPr>
          <w:p>
            <w:pPr>
              <w:spacing w:before="20" w:after="20"/>
              <w:jc w:val="right"/>
              <w:rPr>
                <w:b/>
                <w:noProof/>
                <w:sz w:val="20"/>
              </w:rPr>
            </w:pPr>
            <w:r>
              <w:rPr>
                <w:b/>
                <w:noProof/>
                <w:sz w:val="20"/>
              </w:rPr>
              <w:t>0</w:t>
            </w: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Platby</w:t>
            </w:r>
          </w:p>
        </w:tc>
        <w:tc>
          <w:tcPr>
            <w:tcW w:w="654" w:type="dxa"/>
            <w:vAlign w:val="center"/>
          </w:tcPr>
          <w:p>
            <w:pPr>
              <w:jc w:val="center"/>
              <w:rPr>
                <w:noProof/>
                <w:sz w:val="14"/>
              </w:rPr>
            </w:pPr>
            <w:r>
              <w:rPr>
                <w:noProof/>
                <w:sz w:val="14"/>
              </w:rPr>
              <w:t>= 5 + 6</w:t>
            </w:r>
          </w:p>
        </w:tc>
        <w:tc>
          <w:tcPr>
            <w:tcW w:w="1026" w:type="dxa"/>
            <w:vAlign w:val="center"/>
          </w:tcPr>
          <w:p>
            <w:pPr>
              <w:spacing w:before="20" w:after="20"/>
              <w:jc w:val="right"/>
              <w:rPr>
                <w:noProof/>
                <w:sz w:val="20"/>
              </w:rPr>
            </w:pPr>
            <w:r>
              <w:rPr>
                <w:noProof/>
                <w:sz w:val="20"/>
              </w:rPr>
              <w:t>0</w:t>
            </w: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noProof/>
                <w:sz w:val="20"/>
              </w:rPr>
            </w:pPr>
          </w:p>
        </w:tc>
        <w:tc>
          <w:tcPr>
            <w:tcW w:w="1214" w:type="dxa"/>
            <w:vAlign w:val="center"/>
          </w:tcPr>
          <w:p>
            <w:pPr>
              <w:spacing w:before="20" w:after="20"/>
              <w:jc w:val="right"/>
              <w:rPr>
                <w:b/>
                <w:noProof/>
                <w:sz w:val="20"/>
              </w:rPr>
            </w:pPr>
            <w:r>
              <w:rPr>
                <w:b/>
                <w:noProof/>
                <w:sz w:val="20"/>
              </w:rPr>
              <w:t>0</w:t>
            </w:r>
          </w:p>
        </w:tc>
      </w:tr>
      <w:tr>
        <w:tc>
          <w:tcPr>
            <w:tcW w:w="3960" w:type="dxa"/>
            <w:shd w:val="thinDiagStripe" w:color="C0C0C0" w:fill="auto"/>
          </w:tcPr>
          <w:p>
            <w:pPr>
              <w:rPr>
                <w:noProof/>
                <w:sz w:val="20"/>
              </w:rPr>
            </w:pPr>
          </w:p>
        </w:tc>
        <w:tc>
          <w:tcPr>
            <w:tcW w:w="1440" w:type="dxa"/>
            <w:vAlign w:val="center"/>
          </w:tcPr>
          <w:p>
            <w:pPr>
              <w:rPr>
                <w:noProof/>
                <w:sz w:val="18"/>
              </w:rPr>
            </w:pPr>
          </w:p>
        </w:tc>
        <w:tc>
          <w:tcPr>
            <w:tcW w:w="654" w:type="dxa"/>
            <w:vAlign w:val="center"/>
          </w:tcPr>
          <w:p>
            <w:pPr>
              <w:jc w:val="center"/>
              <w:rPr>
                <w:noProof/>
                <w:sz w:val="14"/>
              </w:rPr>
            </w:pPr>
          </w:p>
        </w:tc>
        <w:tc>
          <w:tcPr>
            <w:tcW w:w="1026" w:type="dxa"/>
            <w:vAlign w:val="center"/>
          </w:tcPr>
          <w:p>
            <w:pPr>
              <w:spacing w:before="20" w:after="20"/>
              <w:jc w:val="right"/>
              <w:rPr>
                <w:noProof/>
                <w:sz w:val="20"/>
              </w:rPr>
            </w:pPr>
          </w:p>
        </w:tc>
        <w:tc>
          <w:tcPr>
            <w:tcW w:w="1320" w:type="dxa"/>
            <w:vAlign w:val="center"/>
          </w:tcPr>
          <w:p>
            <w:pPr>
              <w:spacing w:before="20" w:after="20"/>
              <w:jc w:val="right"/>
              <w:rPr>
                <w:noProof/>
                <w:sz w:val="20"/>
              </w:rPr>
            </w:pPr>
          </w:p>
        </w:tc>
        <w:tc>
          <w:tcPr>
            <w:tcW w:w="891" w:type="dxa"/>
            <w:vAlign w:val="center"/>
          </w:tcPr>
          <w:p>
            <w:pPr>
              <w:spacing w:before="20" w:after="20"/>
              <w:jc w:val="right"/>
              <w:rPr>
                <w:noProof/>
                <w:sz w:val="20"/>
              </w:rPr>
            </w:pPr>
          </w:p>
        </w:tc>
        <w:tc>
          <w:tcPr>
            <w:tcW w:w="1066" w:type="dxa"/>
            <w:vAlign w:val="center"/>
          </w:tcPr>
          <w:p>
            <w:pPr>
              <w:spacing w:before="20" w:after="20"/>
              <w:jc w:val="right"/>
              <w:rPr>
                <w:noProof/>
                <w:sz w:val="20"/>
              </w:rPr>
            </w:pPr>
          </w:p>
        </w:tc>
        <w:tc>
          <w:tcPr>
            <w:tcW w:w="1200" w:type="dxa"/>
            <w:vAlign w:val="center"/>
          </w:tcPr>
          <w:p>
            <w:pPr>
              <w:spacing w:before="20" w:after="20"/>
              <w:jc w:val="right"/>
              <w:rPr>
                <w:b/>
                <w:noProof/>
                <w:sz w:val="20"/>
              </w:rPr>
            </w:pPr>
          </w:p>
        </w:tc>
        <w:tc>
          <w:tcPr>
            <w:tcW w:w="480" w:type="dxa"/>
            <w:vAlign w:val="center"/>
          </w:tcPr>
          <w:p>
            <w:pPr>
              <w:spacing w:before="20" w:after="20"/>
              <w:jc w:val="right"/>
              <w:rPr>
                <w:noProof/>
                <w:sz w:val="20"/>
              </w:rPr>
            </w:pPr>
          </w:p>
        </w:tc>
        <w:tc>
          <w:tcPr>
            <w:tcW w:w="1173" w:type="dxa"/>
            <w:vAlign w:val="center"/>
          </w:tcPr>
          <w:p>
            <w:pPr>
              <w:spacing w:before="20" w:after="20"/>
              <w:jc w:val="right"/>
              <w:rPr>
                <w:b/>
                <w:noProof/>
                <w:sz w:val="20"/>
              </w:rPr>
            </w:pPr>
          </w:p>
        </w:tc>
        <w:tc>
          <w:tcPr>
            <w:tcW w:w="1214" w:type="dxa"/>
            <w:vAlign w:val="center"/>
          </w:tcPr>
          <w:p>
            <w:pPr>
              <w:spacing w:before="20" w:after="20"/>
              <w:jc w:val="right"/>
              <w:rPr>
                <w:b/>
                <w:noProof/>
                <w:sz w:val="20"/>
              </w:rPr>
            </w:pPr>
          </w:p>
        </w:tc>
      </w:tr>
    </w:tbl>
    <w:p>
      <w:pPr>
        <w:rPr>
          <w:b/>
          <w:noProof/>
          <w:sz w:val="22"/>
          <w:u w:val="single"/>
        </w:rPr>
      </w:pPr>
      <w:r>
        <w:rPr>
          <w:noProof/>
        </w:rPr>
        <w:br/>
      </w:r>
      <w:r>
        <w:rPr>
          <w:noProof/>
        </w:rPr>
        <w:br/>
      </w:r>
    </w:p>
    <w:p>
      <w:pPr>
        <w:spacing w:after="40"/>
        <w:rPr>
          <w:b/>
          <w:noProof/>
          <w:sz w:val="22"/>
          <w:u w:val="single"/>
        </w:rPr>
      </w:pPr>
      <w:r>
        <w:rPr>
          <w:b/>
          <w:noProof/>
          <w:sz w:val="22"/>
          <w:u w:val="single"/>
        </w:rPr>
        <w:t>Ak má návrh/iniciatíva vplyv na viaceré okruhy:</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386"/>
        <w:gridCol w:w="960"/>
        <w:gridCol w:w="840"/>
        <w:gridCol w:w="840"/>
        <w:gridCol w:w="720"/>
        <w:gridCol w:w="720"/>
        <w:gridCol w:w="960"/>
        <w:gridCol w:w="1427"/>
      </w:tblGrid>
      <w:tr>
        <w:trPr>
          <w:trHeight w:val="277"/>
        </w:trPr>
        <w:tc>
          <w:tcPr>
            <w:tcW w:w="3960" w:type="dxa"/>
            <w:vMerge w:val="restart"/>
            <w:tcBorders>
              <w:top w:val="single" w:sz="4" w:space="0" w:color="auto"/>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Operačné rozpočtové prostriedky SPOLU</w:t>
            </w:r>
          </w:p>
        </w:tc>
        <w:tc>
          <w:tcPr>
            <w:tcW w:w="1440" w:type="dxa"/>
            <w:tcBorders>
              <w:top w:val="single" w:sz="4" w:space="0" w:color="auto"/>
            </w:tcBorders>
            <w:vAlign w:val="center"/>
          </w:tcPr>
          <w:p>
            <w:pPr>
              <w:spacing w:beforeLines="20" w:before="48" w:afterLines="20" w:after="48"/>
              <w:rPr>
                <w:noProof/>
                <w:sz w:val="18"/>
              </w:rPr>
            </w:pPr>
            <w:r>
              <w:rPr>
                <w:noProof/>
                <w:sz w:val="18"/>
              </w:rPr>
              <w:t>Záväzky</w:t>
            </w:r>
          </w:p>
        </w:tc>
        <w:tc>
          <w:tcPr>
            <w:tcW w:w="654" w:type="dxa"/>
            <w:tcBorders>
              <w:top w:val="single" w:sz="4" w:space="0" w:color="auto"/>
            </w:tcBorders>
            <w:vAlign w:val="center"/>
          </w:tcPr>
          <w:p>
            <w:pPr>
              <w:spacing w:beforeLines="20" w:before="48" w:afterLines="20" w:after="48"/>
              <w:jc w:val="center"/>
              <w:rPr>
                <w:noProof/>
                <w:sz w:val="14"/>
              </w:rPr>
            </w:pPr>
            <w:r>
              <w:rPr>
                <w:noProof/>
                <w:sz w:val="14"/>
              </w:rPr>
              <w:t>(4)</w:t>
            </w:r>
          </w:p>
        </w:tc>
        <w:tc>
          <w:tcPr>
            <w:tcW w:w="1386"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84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720" w:type="dxa"/>
            <w:tcBorders>
              <w:top w:val="single" w:sz="4" w:space="0" w:color="auto"/>
            </w:tcBorders>
            <w:vAlign w:val="center"/>
          </w:tcPr>
          <w:p>
            <w:pPr>
              <w:spacing w:before="20" w:after="20"/>
              <w:jc w:val="right"/>
              <w:rPr>
                <w:noProof/>
                <w:sz w:val="20"/>
              </w:rPr>
            </w:pPr>
          </w:p>
        </w:tc>
        <w:tc>
          <w:tcPr>
            <w:tcW w:w="960" w:type="dxa"/>
            <w:tcBorders>
              <w:top w:val="single" w:sz="4" w:space="0" w:color="auto"/>
            </w:tcBorders>
            <w:vAlign w:val="center"/>
          </w:tcPr>
          <w:p>
            <w:pPr>
              <w:spacing w:before="20" w:after="20"/>
              <w:jc w:val="right"/>
              <w:rPr>
                <w:b/>
                <w:noProof/>
                <w:sz w:val="20"/>
              </w:rPr>
            </w:pPr>
          </w:p>
        </w:tc>
        <w:tc>
          <w:tcPr>
            <w:tcW w:w="1427" w:type="dxa"/>
            <w:tcBorders>
              <w:top w:val="single" w:sz="4" w:space="0" w:color="auto"/>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Platby</w:t>
            </w:r>
          </w:p>
        </w:tc>
        <w:tc>
          <w:tcPr>
            <w:tcW w:w="654" w:type="dxa"/>
            <w:vAlign w:val="center"/>
          </w:tcPr>
          <w:p>
            <w:pPr>
              <w:spacing w:beforeLines="20" w:before="48" w:afterLines="20" w:after="48"/>
              <w:jc w:val="center"/>
              <w:rPr>
                <w:noProof/>
                <w:sz w:val="14"/>
              </w:rPr>
            </w:pPr>
            <w:r>
              <w:rPr>
                <w:noProof/>
                <w:sz w:val="14"/>
              </w:rPr>
              <w:t>(5)</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sz w:val="21"/>
              </w:rPr>
              <w:t xml:space="preserve"> Administratívne rozpočtové prostriedky financované z balíka prostriedkov určených na implementáciu osobitných programov SPOLU</w:t>
            </w:r>
          </w:p>
        </w:tc>
        <w:tc>
          <w:tcPr>
            <w:tcW w:w="654" w:type="dxa"/>
            <w:vAlign w:val="center"/>
          </w:tcPr>
          <w:p>
            <w:pPr>
              <w:spacing w:beforeLines="20" w:before="48" w:afterLines="20" w:after="48"/>
              <w:jc w:val="center"/>
              <w:rPr>
                <w:noProof/>
                <w:sz w:val="14"/>
              </w:rPr>
            </w:pPr>
            <w:r>
              <w:rPr>
                <w:noProof/>
                <w:sz w:val="14"/>
              </w:rPr>
              <w:t>(6)</w:t>
            </w:r>
          </w:p>
        </w:tc>
        <w:tc>
          <w:tcPr>
            <w:tcW w:w="1386"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84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720" w:type="dxa"/>
            <w:vAlign w:val="center"/>
          </w:tcPr>
          <w:p>
            <w:pPr>
              <w:spacing w:before="20" w:after="20"/>
              <w:jc w:val="right"/>
              <w:rPr>
                <w:b/>
                <w:noProof/>
                <w:sz w:val="20"/>
              </w:rPr>
            </w:pPr>
          </w:p>
        </w:tc>
        <w:tc>
          <w:tcPr>
            <w:tcW w:w="960" w:type="dxa"/>
            <w:vAlign w:val="center"/>
          </w:tcPr>
          <w:p>
            <w:pPr>
              <w:spacing w:before="20" w:after="20"/>
              <w:jc w:val="right"/>
              <w:rPr>
                <w:b/>
                <w:noProof/>
                <w:sz w:val="20"/>
              </w:rPr>
            </w:pPr>
          </w:p>
        </w:tc>
        <w:tc>
          <w:tcPr>
            <w:tcW w:w="142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rPr>
              <w:t xml:space="preserve">Rozpočtové prostriedky OKRUHOV 1 až 4 </w:t>
            </w:r>
            <w:r>
              <w:rPr>
                <w:noProof/>
              </w:rPr>
              <w:t xml:space="preserve">viacročného finančného rámca </w:t>
            </w:r>
            <w:r>
              <w:rPr>
                <w:b/>
                <w:noProof/>
              </w:rPr>
              <w:t>SPOLU</w:t>
            </w:r>
            <w:r>
              <w:rPr>
                <w:noProof/>
              </w:rPr>
              <w:t xml:space="preserve"> </w:t>
            </w:r>
            <w:r>
              <w:rPr>
                <w:noProof/>
              </w:rPr>
              <w:br/>
            </w:r>
            <w:r>
              <w:rPr>
                <w:noProof/>
                <w:sz w:val="20"/>
              </w:rPr>
              <w:t>(referenčná suma)</w:t>
            </w:r>
          </w:p>
        </w:tc>
        <w:tc>
          <w:tcPr>
            <w:tcW w:w="1440" w:type="dxa"/>
            <w:vAlign w:val="center"/>
          </w:tcPr>
          <w:p>
            <w:pPr>
              <w:rPr>
                <w:noProof/>
                <w:sz w:val="18"/>
              </w:rPr>
            </w:pPr>
            <w:r>
              <w:rPr>
                <w:noProof/>
                <w:sz w:val="18"/>
              </w:rPr>
              <w:t>Záväzky</w:t>
            </w:r>
          </w:p>
        </w:tc>
        <w:tc>
          <w:tcPr>
            <w:tcW w:w="654" w:type="dxa"/>
            <w:vAlign w:val="center"/>
          </w:tcPr>
          <w:p>
            <w:pPr>
              <w:jc w:val="center"/>
              <w:rPr>
                <w:noProof/>
                <w:sz w:val="14"/>
              </w:rPr>
            </w:pPr>
            <w:r>
              <w:rPr>
                <w:noProof/>
                <w:sz w:val="14"/>
              </w:rPr>
              <w:t>= 4 + 6</w:t>
            </w:r>
          </w:p>
        </w:tc>
        <w:tc>
          <w:tcPr>
            <w:tcW w:w="1386" w:type="dxa"/>
            <w:vAlign w:val="center"/>
          </w:tcPr>
          <w:p>
            <w:pPr>
              <w:spacing w:before="20" w:after="20"/>
              <w:jc w:val="right"/>
              <w:rPr>
                <w:noProof/>
                <w:sz w:val="20"/>
              </w:rPr>
            </w:pPr>
          </w:p>
        </w:tc>
        <w:tc>
          <w:tcPr>
            <w:tcW w:w="96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84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720" w:type="dxa"/>
            <w:vAlign w:val="center"/>
          </w:tcPr>
          <w:p>
            <w:pPr>
              <w:spacing w:before="20" w:after="20"/>
              <w:jc w:val="right"/>
              <w:rPr>
                <w:noProof/>
                <w:sz w:val="20"/>
              </w:rPr>
            </w:pPr>
          </w:p>
        </w:tc>
        <w:tc>
          <w:tcPr>
            <w:tcW w:w="960" w:type="dxa"/>
            <w:vAlign w:val="center"/>
          </w:tcPr>
          <w:p>
            <w:pPr>
              <w:spacing w:before="20" w:after="20"/>
              <w:jc w:val="right"/>
              <w:rPr>
                <w:b/>
                <w:noProof/>
                <w:sz w:val="20"/>
              </w:rPr>
            </w:pPr>
          </w:p>
        </w:tc>
        <w:tc>
          <w:tcPr>
            <w:tcW w:w="142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auto"/>
            </w:tcBorders>
            <w:shd w:val="thinDiagStripe" w:color="C0C0C0" w:fill="auto"/>
          </w:tcPr>
          <w:p>
            <w:pPr>
              <w:rPr>
                <w:noProof/>
                <w:sz w:val="20"/>
              </w:rPr>
            </w:pPr>
          </w:p>
        </w:tc>
        <w:tc>
          <w:tcPr>
            <w:tcW w:w="1440" w:type="dxa"/>
            <w:tcBorders>
              <w:bottom w:val="single" w:sz="4" w:space="0" w:color="auto"/>
            </w:tcBorders>
            <w:vAlign w:val="center"/>
          </w:tcPr>
          <w:p>
            <w:pPr>
              <w:rPr>
                <w:noProof/>
                <w:sz w:val="18"/>
              </w:rPr>
            </w:pPr>
            <w:r>
              <w:rPr>
                <w:noProof/>
                <w:sz w:val="18"/>
              </w:rPr>
              <w:t>Platby</w:t>
            </w:r>
          </w:p>
        </w:tc>
        <w:tc>
          <w:tcPr>
            <w:tcW w:w="654" w:type="dxa"/>
            <w:tcBorders>
              <w:bottom w:val="single" w:sz="4" w:space="0" w:color="auto"/>
            </w:tcBorders>
            <w:vAlign w:val="center"/>
          </w:tcPr>
          <w:p>
            <w:pPr>
              <w:jc w:val="center"/>
              <w:rPr>
                <w:noProof/>
                <w:sz w:val="14"/>
              </w:rPr>
            </w:pPr>
            <w:r>
              <w:rPr>
                <w:noProof/>
                <w:sz w:val="14"/>
              </w:rPr>
              <w:t>= 5 + 6</w:t>
            </w:r>
          </w:p>
        </w:tc>
        <w:tc>
          <w:tcPr>
            <w:tcW w:w="1386" w:type="dxa"/>
            <w:tcBorders>
              <w:bottom w:val="single" w:sz="4" w:space="0" w:color="auto"/>
            </w:tcBorders>
            <w:vAlign w:val="center"/>
          </w:tcPr>
          <w:p>
            <w:pPr>
              <w:spacing w:before="20" w:after="20"/>
              <w:jc w:val="right"/>
              <w:rPr>
                <w:noProof/>
                <w:sz w:val="20"/>
              </w:rPr>
            </w:pPr>
            <w:r>
              <w:rPr>
                <w:noProof/>
                <w:sz w:val="20"/>
              </w:rPr>
              <w:t>0</w:t>
            </w:r>
          </w:p>
        </w:tc>
        <w:tc>
          <w:tcPr>
            <w:tcW w:w="96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84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720" w:type="dxa"/>
            <w:tcBorders>
              <w:bottom w:val="single" w:sz="4" w:space="0" w:color="auto"/>
            </w:tcBorders>
            <w:vAlign w:val="center"/>
          </w:tcPr>
          <w:p>
            <w:pPr>
              <w:spacing w:before="20" w:after="20"/>
              <w:jc w:val="right"/>
              <w:rPr>
                <w:noProof/>
                <w:sz w:val="20"/>
              </w:rPr>
            </w:pPr>
          </w:p>
        </w:tc>
        <w:tc>
          <w:tcPr>
            <w:tcW w:w="960" w:type="dxa"/>
            <w:tcBorders>
              <w:bottom w:val="single" w:sz="4" w:space="0" w:color="auto"/>
            </w:tcBorders>
            <w:vAlign w:val="center"/>
          </w:tcPr>
          <w:p>
            <w:pPr>
              <w:spacing w:before="20" w:after="20"/>
              <w:jc w:val="right"/>
              <w:rPr>
                <w:b/>
                <w:noProof/>
                <w:sz w:val="20"/>
              </w:rPr>
            </w:pPr>
          </w:p>
        </w:tc>
        <w:tc>
          <w:tcPr>
            <w:tcW w:w="1427" w:type="dxa"/>
            <w:tcBorders>
              <w:bottom w:val="single" w:sz="4" w:space="0" w:color="auto"/>
              <w:right w:val="single" w:sz="4" w:space="0" w:color="auto"/>
            </w:tcBorders>
            <w:vAlign w:val="center"/>
          </w:tcPr>
          <w:p>
            <w:pPr>
              <w:spacing w:before="20" w:after="20"/>
              <w:jc w:val="right"/>
              <w:rPr>
                <w:b/>
                <w:noProof/>
                <w:sz w:val="20"/>
              </w:rPr>
            </w:pPr>
            <w:r>
              <w:rPr>
                <w:b/>
                <w:noProof/>
                <w:sz w:val="20"/>
              </w:rPr>
              <w:t>0</w:t>
            </w:r>
          </w:p>
        </w:tc>
      </w:tr>
    </w:tbl>
    <w:p>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rPr>
              <w:t xml:space="preserve">Okruh viacročného finančného </w:t>
            </w:r>
            <w:r>
              <w:rPr>
                <w:noProof/>
              </w:rPr>
              <w:br/>
            </w:r>
            <w:r>
              <w:rPr>
                <w:b/>
                <w:noProof/>
              </w:rPr>
              <w:t xml:space="preserve">rámca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„Administratívne výdavky“</w:t>
            </w: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rPr>
              <w:br/>
            </w:r>
            <w:r>
              <w:rPr>
                <w:b/>
                <w:noProof/>
                <w:sz w:val="20"/>
              </w:rPr>
              <w:t>N</w:t>
            </w:r>
          </w:p>
        </w:tc>
        <w:tc>
          <w:tcPr>
            <w:tcW w:w="868" w:type="dxa"/>
            <w:vAlign w:val="center"/>
          </w:tcPr>
          <w:p>
            <w:pPr>
              <w:jc w:val="center"/>
              <w:rPr>
                <w:noProof/>
                <w:sz w:val="20"/>
              </w:rPr>
            </w:pPr>
            <w:r>
              <w:rPr>
                <w:noProof/>
                <w:sz w:val="20"/>
              </w:rPr>
              <w:t>Rok</w:t>
            </w:r>
            <w:r>
              <w:rPr>
                <w:noProof/>
              </w:rPr>
              <w:br/>
            </w:r>
            <w:r>
              <w:rPr>
                <w:b/>
                <w:noProof/>
                <w:sz w:val="20"/>
              </w:rPr>
              <w:t>N+1</w:t>
            </w:r>
          </w:p>
        </w:tc>
        <w:tc>
          <w:tcPr>
            <w:tcW w:w="868" w:type="dxa"/>
            <w:vAlign w:val="center"/>
          </w:tcPr>
          <w:p>
            <w:pPr>
              <w:jc w:val="center"/>
              <w:rPr>
                <w:noProof/>
                <w:sz w:val="20"/>
              </w:rPr>
            </w:pPr>
            <w:r>
              <w:rPr>
                <w:noProof/>
                <w:sz w:val="20"/>
              </w:rPr>
              <w:t>Rok</w:t>
            </w:r>
            <w:r>
              <w:rPr>
                <w:noProof/>
              </w:rPr>
              <w:br/>
            </w:r>
            <w:r>
              <w:rPr>
                <w:b/>
                <w:noProof/>
                <w:sz w:val="20"/>
              </w:rPr>
              <w:t>N+2</w:t>
            </w:r>
          </w:p>
        </w:tc>
        <w:tc>
          <w:tcPr>
            <w:tcW w:w="868" w:type="dxa"/>
            <w:vAlign w:val="center"/>
          </w:tcPr>
          <w:p>
            <w:pPr>
              <w:jc w:val="center"/>
              <w:rPr>
                <w:noProof/>
                <w:sz w:val="20"/>
              </w:rPr>
            </w:pPr>
            <w:r>
              <w:rPr>
                <w:noProof/>
                <w:sz w:val="20"/>
              </w:rPr>
              <w:t>Rok</w:t>
            </w:r>
            <w:r>
              <w:rPr>
                <w:noProof/>
              </w:rPr>
              <w:br/>
            </w:r>
            <w:r>
              <w:rPr>
                <w:b/>
                <w:noProof/>
                <w:sz w:val="20"/>
              </w:rPr>
              <w:t>N+3</w:t>
            </w:r>
          </w:p>
        </w:tc>
        <w:tc>
          <w:tcPr>
            <w:tcW w:w="2604" w:type="dxa"/>
            <w:gridSpan w:val="3"/>
            <w:vAlign w:val="center"/>
          </w:tcPr>
          <w:p>
            <w:pPr>
              <w:jc w:val="center"/>
              <w:rPr>
                <w:b/>
                <w:noProof/>
                <w:sz w:val="18"/>
              </w:rPr>
            </w:pPr>
            <w:r>
              <w:rPr>
                <w:noProof/>
                <w:sz w:val="18"/>
              </w:rPr>
              <w:t xml:space="preserve">Uveďte všetky roky, počas ktorých vplyv trvá (pozri bod 1.6) </w:t>
            </w:r>
          </w:p>
        </w:tc>
        <w:tc>
          <w:tcPr>
            <w:tcW w:w="1777" w:type="dxa"/>
            <w:vAlign w:val="center"/>
          </w:tcPr>
          <w:p>
            <w:pPr>
              <w:jc w:val="center"/>
              <w:rPr>
                <w:b/>
                <w:noProof/>
                <w:sz w:val="20"/>
              </w:rPr>
            </w:pPr>
            <w:r>
              <w:rPr>
                <w:b/>
                <w:noProof/>
                <w:sz w:val="20"/>
              </w:rPr>
              <w:t>SPOLU</w:t>
            </w:r>
          </w:p>
        </w:tc>
      </w:tr>
      <w:tr>
        <w:trPr>
          <w:gridAfter w:val="10"/>
          <w:wAfter w:w="9947" w:type="dxa"/>
        </w:trPr>
        <w:tc>
          <w:tcPr>
            <w:tcW w:w="3960" w:type="dxa"/>
            <w:vAlign w:val="center"/>
          </w:tcPr>
          <w:p>
            <w:pPr>
              <w:spacing w:before="60" w:after="60"/>
              <w:jc w:val="center"/>
              <w:rPr>
                <w:noProof/>
              </w:rPr>
            </w:pPr>
            <w:r>
              <w:rPr>
                <w:noProof/>
                <w:sz w:val="22"/>
              </w:rPr>
              <w:t xml:space="preserve">GR: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Ľudské zdroje</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Ostatné administratívne výdavky</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rPr>
              <w:t>GR &lt;…….&gt; SPOLU</w:t>
            </w:r>
          </w:p>
        </w:tc>
        <w:tc>
          <w:tcPr>
            <w:tcW w:w="2094" w:type="dxa"/>
            <w:gridSpan w:val="2"/>
            <w:vAlign w:val="center"/>
          </w:tcPr>
          <w:p>
            <w:pPr>
              <w:rPr>
                <w:noProof/>
                <w:sz w:val="14"/>
              </w:rPr>
            </w:pPr>
            <w:r>
              <w:rPr>
                <w:noProof/>
                <w:sz w:val="18"/>
              </w:rPr>
              <w:t xml:space="preserve">Rozpočtové prostriedky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rPr>
              <w:t xml:space="preserve">Rozpočtové prostriedky OKRUHU 5 </w:t>
            </w:r>
            <w:r>
              <w:rPr>
                <w:noProof/>
              </w:rPr>
              <w:t>viacročného finančného rámca</w:t>
            </w:r>
            <w:r>
              <w:rPr>
                <w:b/>
                <w:noProof/>
              </w:rPr>
              <w:t xml:space="preserve"> SPOLU</w:t>
            </w:r>
            <w:r>
              <w:rPr>
                <w:b/>
                <w:noProof/>
                <w:sz w:val="22"/>
              </w:rPr>
              <w:t xml:space="preserve"> </w:t>
            </w:r>
          </w:p>
        </w:tc>
        <w:tc>
          <w:tcPr>
            <w:tcW w:w="2094" w:type="dxa"/>
            <w:vAlign w:val="center"/>
          </w:tcPr>
          <w:p>
            <w:pPr>
              <w:spacing w:before="40" w:after="40"/>
              <w:rPr>
                <w:noProof/>
              </w:rPr>
            </w:pPr>
            <w:r>
              <w:rPr>
                <w:noProof/>
                <w:sz w:val="18"/>
              </w:rPr>
              <w:t>(Záväzky spolu = Platby spolu)</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v mil. EUR (zaokrúhlené na 3 desatinné miesta)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Rok</w:t>
            </w:r>
            <w:r>
              <w:rPr>
                <w:noProof/>
              </w:rPr>
              <w:br/>
            </w:r>
            <w:r>
              <w:rPr>
                <w:b/>
                <w:noProof/>
                <w:sz w:val="20"/>
              </w:rPr>
              <w:t>N</w:t>
            </w:r>
            <w:r>
              <w:rPr>
                <w:rStyle w:val="FootnoteReference"/>
                <w:b/>
                <w:noProof/>
                <w:sz w:val="20"/>
              </w:rPr>
              <w:footnoteReference w:id="15"/>
            </w:r>
          </w:p>
        </w:tc>
        <w:tc>
          <w:tcPr>
            <w:tcW w:w="868" w:type="dxa"/>
            <w:vAlign w:val="center"/>
          </w:tcPr>
          <w:p>
            <w:pPr>
              <w:jc w:val="center"/>
              <w:rPr>
                <w:noProof/>
                <w:sz w:val="20"/>
              </w:rPr>
            </w:pPr>
            <w:r>
              <w:rPr>
                <w:noProof/>
                <w:sz w:val="20"/>
              </w:rPr>
              <w:t>Rok</w:t>
            </w:r>
            <w:r>
              <w:rPr>
                <w:noProof/>
              </w:rPr>
              <w:br/>
            </w:r>
            <w:r>
              <w:rPr>
                <w:b/>
                <w:noProof/>
                <w:sz w:val="20"/>
              </w:rPr>
              <w:t>N+1</w:t>
            </w:r>
          </w:p>
        </w:tc>
        <w:tc>
          <w:tcPr>
            <w:tcW w:w="868" w:type="dxa"/>
            <w:vAlign w:val="center"/>
          </w:tcPr>
          <w:p>
            <w:pPr>
              <w:jc w:val="center"/>
              <w:rPr>
                <w:noProof/>
                <w:sz w:val="20"/>
              </w:rPr>
            </w:pPr>
            <w:r>
              <w:rPr>
                <w:noProof/>
                <w:sz w:val="20"/>
              </w:rPr>
              <w:t>Rok</w:t>
            </w:r>
            <w:r>
              <w:rPr>
                <w:noProof/>
              </w:rPr>
              <w:br/>
            </w:r>
            <w:r>
              <w:rPr>
                <w:b/>
                <w:noProof/>
                <w:sz w:val="20"/>
              </w:rPr>
              <w:t>N+2</w:t>
            </w:r>
          </w:p>
        </w:tc>
        <w:tc>
          <w:tcPr>
            <w:tcW w:w="868" w:type="dxa"/>
            <w:vAlign w:val="center"/>
          </w:tcPr>
          <w:p>
            <w:pPr>
              <w:jc w:val="center"/>
              <w:rPr>
                <w:noProof/>
                <w:sz w:val="20"/>
              </w:rPr>
            </w:pPr>
            <w:r>
              <w:rPr>
                <w:noProof/>
                <w:sz w:val="20"/>
              </w:rPr>
              <w:t>Rok</w:t>
            </w:r>
            <w:r>
              <w:rPr>
                <w:noProof/>
              </w:rPr>
              <w:br/>
            </w:r>
            <w:r>
              <w:rPr>
                <w:b/>
                <w:noProof/>
                <w:sz w:val="20"/>
              </w:rPr>
              <w:t>N+3</w:t>
            </w:r>
          </w:p>
        </w:tc>
        <w:tc>
          <w:tcPr>
            <w:tcW w:w="2604" w:type="dxa"/>
            <w:gridSpan w:val="3"/>
            <w:vAlign w:val="center"/>
          </w:tcPr>
          <w:p>
            <w:pPr>
              <w:jc w:val="center"/>
              <w:rPr>
                <w:b/>
                <w:noProof/>
                <w:sz w:val="18"/>
              </w:rPr>
            </w:pPr>
            <w:r>
              <w:rPr>
                <w:noProof/>
                <w:sz w:val="18"/>
              </w:rPr>
              <w:t>Uveďte všetky roky, počas ktorých vplyv trvá (pozri bod 1.6)</w:t>
            </w:r>
          </w:p>
        </w:tc>
        <w:tc>
          <w:tcPr>
            <w:tcW w:w="1777" w:type="dxa"/>
            <w:vAlign w:val="center"/>
          </w:tcPr>
          <w:p>
            <w:pPr>
              <w:jc w:val="center"/>
              <w:rPr>
                <w:b/>
                <w:noProof/>
                <w:sz w:val="20"/>
              </w:rPr>
            </w:pPr>
            <w:r>
              <w:rPr>
                <w:b/>
                <w:noProof/>
                <w:sz w:val="20"/>
              </w:rPr>
              <w:t>SPOLU</w:t>
            </w:r>
          </w:p>
        </w:tc>
      </w:tr>
      <w:tr>
        <w:tc>
          <w:tcPr>
            <w:tcW w:w="3960" w:type="dxa"/>
            <w:vMerge w:val="restart"/>
            <w:shd w:val="clear" w:color="auto" w:fill="C0C0C0"/>
            <w:vAlign w:val="center"/>
          </w:tcPr>
          <w:p>
            <w:pPr>
              <w:jc w:val="center"/>
              <w:rPr>
                <w:b/>
                <w:noProof/>
              </w:rPr>
            </w:pPr>
            <w:r>
              <w:rPr>
                <w:b/>
                <w:noProof/>
              </w:rPr>
              <w:t xml:space="preserve">Rozpočtové prostriedky OKRUHOV 1 až 5 </w:t>
            </w:r>
            <w:r>
              <w:rPr>
                <w:noProof/>
              </w:rPr>
              <w:t>viacročného finančného rámca</w:t>
            </w:r>
            <w:r>
              <w:rPr>
                <w:b/>
                <w:noProof/>
              </w:rPr>
              <w:t xml:space="preserve"> SPOLU</w:t>
            </w:r>
            <w:r>
              <w:rPr>
                <w:b/>
                <w:noProof/>
                <w:sz w:val="22"/>
              </w:rPr>
              <w:t xml:space="preserve"> </w:t>
            </w:r>
          </w:p>
        </w:tc>
        <w:tc>
          <w:tcPr>
            <w:tcW w:w="2094" w:type="dxa"/>
            <w:gridSpan w:val="2"/>
            <w:vAlign w:val="center"/>
          </w:tcPr>
          <w:p>
            <w:pPr>
              <w:rPr>
                <w:noProof/>
                <w:sz w:val="14"/>
              </w:rPr>
            </w:pPr>
            <w:r>
              <w:rPr>
                <w:noProof/>
                <w:sz w:val="18"/>
              </w:rPr>
              <w:t>Záväzky</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Platby</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8"/>
          <w:footerReference w:type="default" r:id="rId19"/>
          <w:headerReference w:type="first" r:id="rId20"/>
          <w:footerReference w:type="first" r:id="rId21"/>
          <w:pgSz w:w="16840" w:h="11907" w:orient="landscape" w:code="9"/>
          <w:pgMar w:top="1134" w:right="1418" w:bottom="1134" w:left="1418" w:header="709" w:footer="709" w:gutter="0"/>
          <w:cols w:space="708"/>
          <w:docGrid w:linePitch="360"/>
        </w:sectPr>
      </w:pPr>
    </w:p>
    <w:p>
      <w:pPr>
        <w:pStyle w:val="ManualHeading3"/>
        <w:rPr>
          <w:bCs/>
          <w:noProof/>
          <w:szCs w:val="24"/>
        </w:rPr>
      </w:pPr>
      <w:r>
        <w:rPr>
          <w:noProof/>
        </w:rPr>
        <w:t>3.2.2.</w:t>
      </w:r>
      <w:r>
        <w:rPr>
          <w:noProof/>
        </w:rPr>
        <w:tab/>
        <w:t xml:space="preserve">Odhadovaný vplyv na operačné rozpočtové prostriedky </w:t>
      </w:r>
    </w:p>
    <w:p>
      <w:pPr>
        <w:pStyle w:val="ListDash1"/>
        <w:rPr>
          <w:noProof/>
        </w:rPr>
      </w:pPr>
      <w:r>
        <w:rPr>
          <w:noProof/>
        </w:rPr>
        <w:sym w:font="Wingdings" w:char="F0A8"/>
      </w:r>
      <w:r>
        <w:rPr>
          <w:noProof/>
        </w:rPr>
        <w:tab/>
        <w:t xml:space="preserve">Návrh/iniciatíva si nevyžaduje použitie operačných rozpočtových prostriedkov </w:t>
      </w:r>
    </w:p>
    <w:p>
      <w:pPr>
        <w:pStyle w:val="ListDash1"/>
        <w:rPr>
          <w:noProof/>
        </w:rPr>
      </w:pPr>
      <w:r>
        <w:rPr>
          <w:noProof/>
        </w:rPr>
        <w:sym w:font="Wingdings" w:char="F078"/>
      </w:r>
      <w:r>
        <w:rPr>
          <w:noProof/>
        </w:rPr>
        <w:tab/>
        <w:t>Návrh/iniciatíva si vyžaduje použitie operačných rozpočtových prostriedkov, ako je uvedené v nasledujúcej tabuľke:</w:t>
      </w:r>
    </w:p>
    <w:p>
      <w:pPr>
        <w:jc w:val="right"/>
        <w:rPr>
          <w:noProof/>
          <w:sz w:val="20"/>
        </w:rPr>
      </w:pPr>
      <w:r>
        <w:rPr>
          <w:noProof/>
          <w:sz w:val="20"/>
        </w:rPr>
        <w:t>viazané rozpočtové prostriedky v mil. EUR (zaokrúhlené na 3 desatinné miesta)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szCs w:val="18"/>
              </w:rPr>
            </w:pPr>
            <w:r>
              <w:rPr>
                <w:b/>
                <w:noProof/>
                <w:sz w:val="18"/>
              </w:rPr>
              <w:t xml:space="preserve">Uveďte ciele a výstupy </w:t>
            </w:r>
          </w:p>
          <w:p>
            <w:pPr>
              <w:ind w:right="-29"/>
              <w:jc w:val="center"/>
              <w:rPr>
                <w:b/>
                <w:noProof/>
                <w:sz w:val="18"/>
                <w:szCs w:val="18"/>
              </w:rPr>
            </w:pPr>
          </w:p>
          <w:p>
            <w:pPr>
              <w:ind w:right="-29"/>
              <w:jc w:val="center"/>
              <w:rPr>
                <w:noProof/>
                <w:sz w:val="18"/>
                <w:szCs w:val="18"/>
              </w:rPr>
            </w:pPr>
            <w:r>
              <w:rPr>
                <w:noProof/>
                <w:sz w:val="18"/>
              </w:rPr>
              <w:sym w:font="Wingdings" w:char="F0F2"/>
            </w:r>
          </w:p>
        </w:tc>
        <w:tc>
          <w:tcPr>
            <w:tcW w:w="720"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24" w:type="dxa"/>
            <w:gridSpan w:val="2"/>
            <w:tcBorders>
              <w:left w:val="nil"/>
            </w:tcBorders>
            <w:vAlign w:val="center"/>
          </w:tcPr>
          <w:p>
            <w:pPr>
              <w:ind w:right="-29"/>
              <w:jc w:val="center"/>
              <w:rPr>
                <w:noProof/>
                <w:sz w:val="18"/>
                <w:szCs w:val="18"/>
              </w:rPr>
            </w:pPr>
            <w:r>
              <w:rPr>
                <w:noProof/>
                <w:sz w:val="18"/>
              </w:rPr>
              <w:t>Rok</w:t>
            </w:r>
            <w:r>
              <w:rPr>
                <w:noProof/>
              </w:rPr>
              <w:br/>
            </w:r>
            <w:r>
              <w:rPr>
                <w:b/>
                <w:noProof/>
                <w:sz w:val="18"/>
              </w:rPr>
              <w:t>N</w:t>
            </w:r>
          </w:p>
        </w:tc>
        <w:tc>
          <w:tcPr>
            <w:tcW w:w="1260" w:type="dxa"/>
            <w:gridSpan w:val="2"/>
            <w:vAlign w:val="center"/>
          </w:tcPr>
          <w:p>
            <w:pPr>
              <w:ind w:right="-29"/>
              <w:jc w:val="center"/>
              <w:rPr>
                <w:noProof/>
                <w:sz w:val="18"/>
                <w:szCs w:val="18"/>
              </w:rPr>
            </w:pPr>
            <w:r>
              <w:rPr>
                <w:noProof/>
                <w:sz w:val="18"/>
              </w:rPr>
              <w:t>Rok</w:t>
            </w:r>
            <w:r>
              <w:rPr>
                <w:noProof/>
              </w:rPr>
              <w:br/>
            </w:r>
            <w:r>
              <w:rPr>
                <w:b/>
                <w:noProof/>
                <w:sz w:val="18"/>
              </w:rPr>
              <w:t>N+1</w:t>
            </w:r>
          </w:p>
        </w:tc>
        <w:tc>
          <w:tcPr>
            <w:tcW w:w="1440" w:type="dxa"/>
            <w:gridSpan w:val="2"/>
            <w:vAlign w:val="center"/>
          </w:tcPr>
          <w:p>
            <w:pPr>
              <w:ind w:right="-29"/>
              <w:jc w:val="center"/>
              <w:rPr>
                <w:noProof/>
                <w:sz w:val="18"/>
                <w:szCs w:val="18"/>
              </w:rPr>
            </w:pPr>
            <w:r>
              <w:rPr>
                <w:noProof/>
                <w:sz w:val="18"/>
              </w:rPr>
              <w:t>Rok</w:t>
            </w:r>
            <w:r>
              <w:rPr>
                <w:noProof/>
              </w:rPr>
              <w:br/>
            </w:r>
            <w:r>
              <w:rPr>
                <w:b/>
                <w:noProof/>
                <w:sz w:val="18"/>
              </w:rPr>
              <w:t>N+2</w:t>
            </w:r>
          </w:p>
        </w:tc>
        <w:tc>
          <w:tcPr>
            <w:tcW w:w="1620" w:type="dxa"/>
            <w:gridSpan w:val="3"/>
            <w:vAlign w:val="center"/>
          </w:tcPr>
          <w:p>
            <w:pPr>
              <w:ind w:right="-29"/>
              <w:jc w:val="center"/>
              <w:rPr>
                <w:noProof/>
                <w:sz w:val="18"/>
                <w:szCs w:val="18"/>
              </w:rPr>
            </w:pPr>
            <w:r>
              <w:rPr>
                <w:noProof/>
                <w:sz w:val="18"/>
              </w:rPr>
              <w:t>Rok</w:t>
            </w:r>
            <w:r>
              <w:rPr>
                <w:noProof/>
              </w:rPr>
              <w:br/>
            </w:r>
            <w:r>
              <w:rPr>
                <w:b/>
                <w:noProof/>
                <w:sz w:val="18"/>
              </w:rPr>
              <w:t>N+3</w:t>
            </w:r>
          </w:p>
        </w:tc>
        <w:tc>
          <w:tcPr>
            <w:tcW w:w="3600" w:type="dxa"/>
            <w:gridSpan w:val="6"/>
            <w:vAlign w:val="center"/>
          </w:tcPr>
          <w:p>
            <w:pPr>
              <w:jc w:val="center"/>
              <w:rPr>
                <w:noProof/>
                <w:sz w:val="18"/>
                <w:szCs w:val="18"/>
              </w:rPr>
            </w:pPr>
            <w:r>
              <w:rPr>
                <w:noProof/>
                <w:sz w:val="18"/>
              </w:rPr>
              <w:t>Uveďte všetky roky, počas ktorých vplyv trvá (pozri bod 1.6)</w:t>
            </w:r>
          </w:p>
        </w:tc>
        <w:tc>
          <w:tcPr>
            <w:tcW w:w="1620" w:type="dxa"/>
            <w:gridSpan w:val="2"/>
            <w:tcBorders>
              <w:left w:val="nil"/>
              <w:bottom w:val="nil"/>
            </w:tcBorders>
            <w:vAlign w:val="center"/>
          </w:tcPr>
          <w:p>
            <w:pPr>
              <w:ind w:right="-29"/>
              <w:jc w:val="center"/>
              <w:rPr>
                <w:noProof/>
                <w:sz w:val="18"/>
                <w:szCs w:val="18"/>
              </w:rPr>
            </w:pPr>
            <w:r>
              <w:rPr>
                <w:b/>
                <w:noProof/>
                <w:sz w:val="18"/>
              </w:rPr>
              <w:t>SPOLU</w:t>
            </w:r>
          </w:p>
        </w:tc>
      </w:tr>
      <w:tr>
        <w:trPr>
          <w:jc w:val="center"/>
        </w:trPr>
        <w:tc>
          <w:tcPr>
            <w:tcW w:w="1423" w:type="dxa"/>
            <w:vMerge/>
            <w:vAlign w:val="center"/>
          </w:tcPr>
          <w:p>
            <w:pPr>
              <w:ind w:right="-29"/>
              <w:jc w:val="center"/>
              <w:rPr>
                <w:noProof/>
                <w:sz w:val="18"/>
                <w:szCs w:val="18"/>
              </w:rPr>
            </w:pPr>
          </w:p>
        </w:tc>
        <w:tc>
          <w:tcPr>
            <w:tcW w:w="12185" w:type="dxa"/>
            <w:gridSpan w:val="19"/>
            <w:vAlign w:val="center"/>
          </w:tcPr>
          <w:p>
            <w:pPr>
              <w:spacing w:before="60" w:after="60"/>
              <w:ind w:right="-29"/>
              <w:jc w:val="center"/>
              <w:rPr>
                <w:noProof/>
                <w:sz w:val="18"/>
                <w:szCs w:val="18"/>
              </w:rPr>
            </w:pPr>
            <w:r>
              <w:rPr>
                <w:b/>
                <w:noProof/>
                <w:sz w:val="18"/>
              </w:rPr>
              <w:t>VÝSTUPY</w:t>
            </w:r>
          </w:p>
        </w:tc>
      </w:tr>
      <w:tr>
        <w:trPr>
          <w:cantSplit/>
          <w:trHeight w:val="1134"/>
          <w:jc w:val="center"/>
        </w:trPr>
        <w:tc>
          <w:tcPr>
            <w:tcW w:w="1423" w:type="dxa"/>
            <w:vMerge/>
            <w:vAlign w:val="center"/>
          </w:tcPr>
          <w:p>
            <w:pPr>
              <w:rPr>
                <w:noProof/>
                <w:sz w:val="18"/>
                <w:szCs w:val="18"/>
              </w:rPr>
            </w:pPr>
          </w:p>
        </w:tc>
        <w:tc>
          <w:tcPr>
            <w:tcW w:w="720" w:type="dxa"/>
            <w:vAlign w:val="center"/>
          </w:tcPr>
          <w:p>
            <w:pPr>
              <w:jc w:val="center"/>
              <w:rPr>
                <w:noProof/>
                <w:sz w:val="18"/>
                <w:szCs w:val="18"/>
              </w:rPr>
            </w:pPr>
            <w:r>
              <w:rPr>
                <w:noProof/>
                <w:sz w:val="18"/>
              </w:rPr>
              <w:t>Druh</w:t>
            </w:r>
            <w:r>
              <w:rPr>
                <w:rStyle w:val="FootnoteReference"/>
                <w:noProof/>
                <w:sz w:val="18"/>
              </w:rPr>
              <w:footnoteReference w:id="16"/>
            </w:r>
          </w:p>
          <w:p>
            <w:pPr>
              <w:spacing w:before="0" w:after="0"/>
              <w:jc w:val="center"/>
              <w:rPr>
                <w:noProof/>
                <w:sz w:val="18"/>
                <w:szCs w:val="18"/>
              </w:rPr>
            </w:pPr>
          </w:p>
        </w:tc>
        <w:tc>
          <w:tcPr>
            <w:tcW w:w="701" w:type="dxa"/>
            <w:vAlign w:val="center"/>
          </w:tcPr>
          <w:p>
            <w:pPr>
              <w:jc w:val="center"/>
              <w:rPr>
                <w:noProof/>
                <w:sz w:val="18"/>
                <w:szCs w:val="18"/>
              </w:rPr>
            </w:pPr>
            <w:r>
              <w:rPr>
                <w:noProof/>
                <w:sz w:val="18"/>
              </w:rPr>
              <w:t>Priemerné náklady</w:t>
            </w:r>
          </w:p>
        </w:tc>
        <w:tc>
          <w:tcPr>
            <w:tcW w:w="504" w:type="dxa"/>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72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90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648"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432"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540" w:type="dxa"/>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Počet</w:t>
            </w:r>
          </w:p>
        </w:tc>
        <w:tc>
          <w:tcPr>
            <w:tcW w:w="720" w:type="dxa"/>
            <w:tcBorders>
              <w:left w:val="dashSmallGap" w:sz="4" w:space="0" w:color="auto"/>
            </w:tcBorders>
            <w:shd w:val="pct10" w:color="auto" w:fill="auto"/>
            <w:vAlign w:val="center"/>
          </w:tcPr>
          <w:p>
            <w:pPr>
              <w:jc w:val="center"/>
              <w:rPr>
                <w:noProof/>
                <w:sz w:val="18"/>
                <w:szCs w:val="18"/>
              </w:rPr>
            </w:pPr>
            <w:r>
              <w:rPr>
                <w:noProof/>
                <w:sz w:val="18"/>
              </w:rPr>
              <w:t>Náklady</w:t>
            </w:r>
          </w:p>
        </w:tc>
        <w:tc>
          <w:tcPr>
            <w:tcW w:w="720" w:type="dxa"/>
            <w:tcBorders>
              <w:right w:val="dashSmallGap" w:sz="4" w:space="0" w:color="auto"/>
            </w:tcBorders>
            <w:shd w:val="pct10" w:color="auto" w:fill="auto"/>
            <w:vAlign w:val="center"/>
          </w:tcPr>
          <w:p>
            <w:pPr>
              <w:jc w:val="center"/>
              <w:rPr>
                <w:noProof/>
                <w:sz w:val="18"/>
                <w:szCs w:val="18"/>
              </w:rPr>
            </w:pPr>
            <w:r>
              <w:rPr>
                <w:noProof/>
                <w:sz w:val="18"/>
              </w:rPr>
              <w:t>Spolu</w:t>
            </w:r>
          </w:p>
        </w:tc>
        <w:tc>
          <w:tcPr>
            <w:tcW w:w="900" w:type="dxa"/>
            <w:tcBorders>
              <w:left w:val="dashSmallGap" w:sz="4" w:space="0" w:color="auto"/>
            </w:tcBorders>
            <w:shd w:val="pct10" w:color="auto" w:fill="auto"/>
            <w:vAlign w:val="center"/>
          </w:tcPr>
          <w:p>
            <w:pPr>
              <w:jc w:val="center"/>
              <w:rPr>
                <w:noProof/>
                <w:sz w:val="18"/>
                <w:szCs w:val="18"/>
              </w:rPr>
            </w:pPr>
            <w:r>
              <w:rPr>
                <w:noProof/>
                <w:sz w:val="18"/>
              </w:rPr>
              <w:t>Náklady spolu</w:t>
            </w:r>
          </w:p>
        </w:tc>
      </w:tr>
      <w:tr>
        <w:trPr>
          <w:jc w:val="center"/>
        </w:trPr>
        <w:tc>
          <w:tcPr>
            <w:tcW w:w="2844" w:type="dxa"/>
            <w:gridSpan w:val="3"/>
            <w:vAlign w:val="center"/>
          </w:tcPr>
          <w:p>
            <w:pPr>
              <w:spacing w:before="60" w:after="60"/>
              <w:ind w:right="-29"/>
              <w:jc w:val="center"/>
              <w:rPr>
                <w:noProof/>
                <w:sz w:val="18"/>
                <w:szCs w:val="18"/>
              </w:rPr>
            </w:pPr>
            <w:r>
              <w:rPr>
                <w:noProof/>
                <w:sz w:val="18"/>
              </w:rPr>
              <w:t>ŠPECIFICKÝ CIEĽ č. 1</w:t>
            </w:r>
            <w:r>
              <w:rPr>
                <w:rStyle w:val="FootnoteReference"/>
                <w:noProof/>
                <w:sz w:val="18"/>
              </w:rPr>
              <w:footnoteReference w:id="17"/>
            </w:r>
            <w:r>
              <w:rPr>
                <w:noProof/>
                <w:sz w:val="18"/>
              </w:rPr>
              <w:t>…</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900" w:type="dxa"/>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648" w:type="dxa"/>
            <w:tcBorders>
              <w:left w:val="dashSmallGap" w:sz="4" w:space="0" w:color="auto"/>
            </w:tcBorders>
          </w:tcPr>
          <w:p>
            <w:pPr>
              <w:ind w:right="-29"/>
              <w:jc w:val="center"/>
              <w:rPr>
                <w:noProof/>
                <w:sz w:val="18"/>
                <w:szCs w:val="18"/>
              </w:rPr>
            </w:pPr>
          </w:p>
        </w:tc>
        <w:tc>
          <w:tcPr>
            <w:tcW w:w="432"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540" w:type="dxa"/>
            <w:tcBorders>
              <w:right w:val="dashSmallGap" w:sz="4" w:space="0" w:color="auto"/>
            </w:tcBorders>
          </w:tcPr>
          <w:p>
            <w:pPr>
              <w:ind w:right="-29"/>
              <w:jc w:val="center"/>
              <w:rPr>
                <w:noProof/>
                <w:sz w:val="18"/>
                <w:szCs w:val="18"/>
              </w:rPr>
            </w:pPr>
          </w:p>
        </w:tc>
        <w:tc>
          <w:tcPr>
            <w:tcW w:w="720" w:type="dxa"/>
            <w:tcBorders>
              <w:left w:val="dashSmallGap" w:sz="4" w:space="0" w:color="auto"/>
            </w:tcBorders>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ind w:right="-29"/>
              <w:jc w:val="center"/>
              <w:rPr>
                <w:noProof/>
                <w:sz w:val="18"/>
                <w:szCs w:val="18"/>
              </w:rPr>
            </w:pPr>
            <w:r>
              <w:rPr>
                <w:noProof/>
                <w:sz w:val="18"/>
              </w:rPr>
              <w:t>Špecifický cieľ č. 1 medzisúčet</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vAlign w:val="center"/>
          </w:tcPr>
          <w:p>
            <w:pPr>
              <w:spacing w:before="60" w:after="60"/>
              <w:ind w:right="-29"/>
              <w:jc w:val="center"/>
              <w:rPr>
                <w:noProof/>
                <w:sz w:val="18"/>
                <w:szCs w:val="18"/>
              </w:rPr>
            </w:pPr>
            <w:r>
              <w:rPr>
                <w:noProof/>
                <w:sz w:val="18"/>
              </w:rPr>
              <w:t>ŠPECIFICKÝ CIEĽ č. 2…</w:t>
            </w:r>
          </w:p>
        </w:tc>
        <w:tc>
          <w:tcPr>
            <w:tcW w:w="504"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648" w:type="dxa"/>
            <w:tcBorders>
              <w:top w:val="nil"/>
              <w:left w:val="nil"/>
              <w:bottom w:val="nil"/>
              <w:right w:val="nil"/>
            </w:tcBorders>
          </w:tcPr>
          <w:p>
            <w:pPr>
              <w:spacing w:before="60" w:after="60"/>
              <w:ind w:right="-29"/>
              <w:jc w:val="center"/>
              <w:rPr>
                <w:noProof/>
                <w:sz w:val="18"/>
                <w:szCs w:val="18"/>
              </w:rPr>
            </w:pPr>
          </w:p>
        </w:tc>
        <w:tc>
          <w:tcPr>
            <w:tcW w:w="432"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54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720" w:type="dxa"/>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trHeight w:hRule="exact" w:val="369"/>
          <w:jc w:val="center"/>
        </w:trPr>
        <w:tc>
          <w:tcPr>
            <w:tcW w:w="1423" w:type="dxa"/>
          </w:tcPr>
          <w:p>
            <w:pPr>
              <w:ind w:right="-29"/>
              <w:jc w:val="center"/>
              <w:rPr>
                <w:noProof/>
                <w:sz w:val="18"/>
                <w:szCs w:val="18"/>
              </w:rPr>
            </w:pPr>
            <w:r>
              <w:rPr>
                <w:noProof/>
                <w:sz w:val="18"/>
              </w:rPr>
              <w:t>‒ Výstup</w:t>
            </w:r>
          </w:p>
        </w:tc>
        <w:tc>
          <w:tcPr>
            <w:tcW w:w="720" w:type="dxa"/>
          </w:tcPr>
          <w:p>
            <w:pPr>
              <w:ind w:right="-29"/>
              <w:jc w:val="center"/>
              <w:rPr>
                <w:noProof/>
                <w:sz w:val="18"/>
                <w:szCs w:val="18"/>
              </w:rPr>
            </w:pPr>
          </w:p>
        </w:tc>
        <w:tc>
          <w:tcPr>
            <w:tcW w:w="701" w:type="dxa"/>
          </w:tcPr>
          <w:p>
            <w:pPr>
              <w:ind w:right="-29"/>
              <w:jc w:val="center"/>
              <w:rPr>
                <w:noProof/>
                <w:sz w:val="18"/>
                <w:szCs w:val="18"/>
              </w:rPr>
            </w:pPr>
          </w:p>
        </w:tc>
        <w:tc>
          <w:tcPr>
            <w:tcW w:w="504"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c>
          <w:tcPr>
            <w:tcW w:w="720" w:type="dxa"/>
            <w:gridSpan w:val="2"/>
          </w:tcPr>
          <w:p>
            <w:pPr>
              <w:ind w:right="-29"/>
              <w:jc w:val="center"/>
              <w:rPr>
                <w:noProof/>
                <w:sz w:val="18"/>
                <w:szCs w:val="18"/>
              </w:rPr>
            </w:pPr>
          </w:p>
        </w:tc>
        <w:tc>
          <w:tcPr>
            <w:tcW w:w="540" w:type="dxa"/>
          </w:tcPr>
          <w:p>
            <w:pPr>
              <w:ind w:right="-29"/>
              <w:jc w:val="center"/>
              <w:rPr>
                <w:noProof/>
                <w:sz w:val="18"/>
                <w:szCs w:val="18"/>
              </w:rPr>
            </w:pPr>
          </w:p>
        </w:tc>
        <w:tc>
          <w:tcPr>
            <w:tcW w:w="648" w:type="dxa"/>
          </w:tcPr>
          <w:p>
            <w:pPr>
              <w:ind w:right="-29"/>
              <w:jc w:val="center"/>
              <w:rPr>
                <w:noProof/>
                <w:sz w:val="18"/>
                <w:szCs w:val="18"/>
              </w:rPr>
            </w:pPr>
          </w:p>
        </w:tc>
        <w:tc>
          <w:tcPr>
            <w:tcW w:w="432" w:type="dxa"/>
          </w:tcPr>
          <w:p>
            <w:pPr>
              <w:ind w:right="-29"/>
              <w:jc w:val="center"/>
              <w:rPr>
                <w:noProof/>
                <w:sz w:val="18"/>
                <w:szCs w:val="18"/>
              </w:rPr>
            </w:pPr>
          </w:p>
        </w:tc>
        <w:tc>
          <w:tcPr>
            <w:tcW w:w="720" w:type="dxa"/>
          </w:tcPr>
          <w:p>
            <w:pPr>
              <w:ind w:right="-29"/>
              <w:jc w:val="center"/>
              <w:rPr>
                <w:noProof/>
                <w:sz w:val="18"/>
                <w:szCs w:val="18"/>
              </w:rPr>
            </w:pPr>
          </w:p>
        </w:tc>
        <w:tc>
          <w:tcPr>
            <w:tcW w:w="540" w:type="dxa"/>
          </w:tcPr>
          <w:p>
            <w:pPr>
              <w:ind w:right="-29"/>
              <w:jc w:val="center"/>
              <w:rPr>
                <w:noProof/>
                <w:sz w:val="18"/>
                <w:szCs w:val="18"/>
              </w:rPr>
            </w:pPr>
          </w:p>
        </w:tc>
        <w:tc>
          <w:tcPr>
            <w:tcW w:w="720" w:type="dxa"/>
          </w:tcPr>
          <w:p>
            <w:pPr>
              <w:ind w:right="-29"/>
              <w:jc w:val="center"/>
              <w:rPr>
                <w:noProof/>
                <w:sz w:val="18"/>
                <w:szCs w:val="18"/>
              </w:rPr>
            </w:pPr>
          </w:p>
        </w:tc>
        <w:tc>
          <w:tcPr>
            <w:tcW w:w="720" w:type="dxa"/>
          </w:tcPr>
          <w:p>
            <w:pPr>
              <w:ind w:right="-29"/>
              <w:jc w:val="center"/>
              <w:rPr>
                <w:noProof/>
                <w:sz w:val="18"/>
                <w:szCs w:val="18"/>
              </w:rPr>
            </w:pPr>
          </w:p>
        </w:tc>
        <w:tc>
          <w:tcPr>
            <w:tcW w:w="900" w:type="dxa"/>
          </w:tcPr>
          <w:p>
            <w:pPr>
              <w:ind w:right="-29"/>
              <w:jc w:val="center"/>
              <w:rPr>
                <w:noProof/>
                <w:sz w:val="18"/>
                <w:szCs w:val="18"/>
              </w:rPr>
            </w:pPr>
          </w:p>
        </w:tc>
      </w:tr>
      <w:tr>
        <w:trPr>
          <w:jc w:val="center"/>
        </w:trPr>
        <w:tc>
          <w:tcPr>
            <w:tcW w:w="2844" w:type="dxa"/>
            <w:gridSpan w:val="3"/>
            <w:tcBorders>
              <w:bottom w:val="single" w:sz="12" w:space="0" w:color="auto"/>
            </w:tcBorders>
            <w:vAlign w:val="center"/>
          </w:tcPr>
          <w:p>
            <w:pPr>
              <w:jc w:val="center"/>
              <w:rPr>
                <w:noProof/>
                <w:sz w:val="18"/>
                <w:szCs w:val="18"/>
              </w:rPr>
            </w:pPr>
            <w:r>
              <w:rPr>
                <w:noProof/>
                <w:sz w:val="18"/>
              </w:rPr>
              <w:t>Špecifický cieľ č. 2 medzisúčet</w:t>
            </w:r>
          </w:p>
        </w:tc>
        <w:tc>
          <w:tcPr>
            <w:tcW w:w="504"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51" w:type="dxa"/>
            <w:gridSpan w:val="2"/>
            <w:tcBorders>
              <w:bottom w:val="single" w:sz="12" w:space="0" w:color="auto"/>
            </w:tcBorders>
          </w:tcPr>
          <w:p>
            <w:pPr>
              <w:ind w:right="-29"/>
              <w:jc w:val="center"/>
              <w:rPr>
                <w:noProof/>
                <w:sz w:val="18"/>
                <w:szCs w:val="18"/>
              </w:rPr>
            </w:pPr>
          </w:p>
        </w:tc>
        <w:tc>
          <w:tcPr>
            <w:tcW w:w="669"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648" w:type="dxa"/>
            <w:tcBorders>
              <w:bottom w:val="single" w:sz="12" w:space="0" w:color="auto"/>
            </w:tcBorders>
          </w:tcPr>
          <w:p>
            <w:pPr>
              <w:ind w:right="-29"/>
              <w:jc w:val="center"/>
              <w:rPr>
                <w:noProof/>
                <w:sz w:val="18"/>
                <w:szCs w:val="18"/>
              </w:rPr>
            </w:pPr>
          </w:p>
        </w:tc>
        <w:tc>
          <w:tcPr>
            <w:tcW w:w="432"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54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720" w:type="dxa"/>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NÁKLADY SPOLU</w:t>
            </w:r>
          </w:p>
        </w:tc>
        <w:tc>
          <w:tcPr>
            <w:tcW w:w="504"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tcBorders>
          </w:tcPr>
          <w:p>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648" w:type="dxa"/>
            <w:tcBorders>
              <w:top w:val="single" w:sz="12" w:space="0" w:color="auto"/>
              <w:bottom w:val="single" w:sz="12" w:space="0" w:color="auto"/>
            </w:tcBorders>
          </w:tcPr>
          <w:p>
            <w:pPr>
              <w:spacing w:before="180" w:after="180"/>
              <w:ind w:right="-29"/>
              <w:jc w:val="center"/>
              <w:rPr>
                <w:noProof/>
                <w:sz w:val="18"/>
                <w:szCs w:val="18"/>
              </w:rPr>
            </w:pPr>
          </w:p>
        </w:tc>
        <w:tc>
          <w:tcPr>
            <w:tcW w:w="432"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54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720" w:type="dxa"/>
            <w:tcBorders>
              <w:top w:val="single" w:sz="12" w:space="0" w:color="auto"/>
              <w:bottom w:val="single" w:sz="12" w:space="0" w:color="auto"/>
            </w:tcBorders>
          </w:tcPr>
          <w:p>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rPr>
          <w:noProof/>
        </w:rPr>
        <w:t>3.2.3.</w:t>
      </w:r>
      <w:r>
        <w:rPr>
          <w:noProof/>
        </w:rPr>
        <w:tab/>
        <w:t>Odhadovaný vplyv na administratívne rozpočtové prostriedky</w:t>
      </w:r>
    </w:p>
    <w:p>
      <w:pPr>
        <w:pStyle w:val="ManualHeading4"/>
        <w:rPr>
          <w:noProof/>
        </w:rPr>
      </w:pPr>
      <w:r>
        <w:rPr>
          <w:noProof/>
        </w:rPr>
        <w:t>3.2.3.1.</w:t>
      </w:r>
      <w:r>
        <w:rPr>
          <w:noProof/>
        </w:rPr>
        <w:tab/>
        <w:t xml:space="preserve">Zhrnutie </w:t>
      </w:r>
    </w:p>
    <w:p>
      <w:pPr>
        <w:pStyle w:val="ListDash1"/>
        <w:rPr>
          <w:noProof/>
        </w:rPr>
      </w:pPr>
      <w:r>
        <w:rPr>
          <w:noProof/>
        </w:rPr>
        <w:sym w:font="Wingdings" w:char="F078"/>
      </w:r>
      <w:r>
        <w:rPr>
          <w:noProof/>
        </w:rPr>
        <w:tab/>
        <w:t xml:space="preserve">Návrh/iniciatíva si nevyžaduje použitie administratívnych rozpočtových prostriedkov. </w:t>
      </w:r>
    </w:p>
    <w:p>
      <w:pPr>
        <w:pStyle w:val="ListDash1"/>
        <w:rPr>
          <w:noProof/>
        </w:rPr>
      </w:pPr>
      <w:r>
        <w:rPr>
          <w:noProof/>
        </w:rPr>
        <w:sym w:font="Wingdings" w:char="F0A8"/>
      </w:r>
      <w:r>
        <w:rPr>
          <w:noProof/>
        </w:rPr>
        <w:tab/>
        <w:t>Návrh/iniciatíva si vyžaduje použitie administratívnych rozpočtových prostriedkov, ako je uvedené v nasledujúcej tabuľke:</w:t>
      </w:r>
    </w:p>
    <w:p>
      <w:pPr>
        <w:rPr>
          <w:noProof/>
          <w:sz w:val="20"/>
        </w:rPr>
      </w:pPr>
      <w:r>
        <w:rPr>
          <w:noProof/>
          <w:sz w:val="20"/>
        </w:rPr>
        <w:t>v mil. EUR (zaokrúhlené na 3 desatinné miesta)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Rok</w:t>
            </w:r>
            <w:r>
              <w:rPr>
                <w:noProof/>
              </w:rPr>
              <w:br/>
            </w:r>
            <w:r>
              <w:rPr>
                <w:b/>
                <w:noProof/>
                <w:sz w:val="16"/>
              </w:rPr>
              <w:t xml:space="preserve">N </w:t>
            </w:r>
            <w:r>
              <w:rPr>
                <w:rStyle w:val="FootnoteReference"/>
                <w:b/>
                <w:noProof/>
                <w:sz w:val="16"/>
              </w:rPr>
              <w:footnoteReference w:id="18"/>
            </w:r>
          </w:p>
        </w:tc>
        <w:tc>
          <w:tcPr>
            <w:tcW w:w="1080" w:type="dxa"/>
            <w:vAlign w:val="center"/>
          </w:tcPr>
          <w:p>
            <w:pPr>
              <w:spacing w:before="60" w:after="60" w:line="200" w:lineRule="exact"/>
              <w:jc w:val="center"/>
              <w:rPr>
                <w:noProof/>
                <w:sz w:val="16"/>
                <w:szCs w:val="16"/>
              </w:rPr>
            </w:pPr>
            <w:r>
              <w:rPr>
                <w:noProof/>
                <w:sz w:val="16"/>
              </w:rPr>
              <w:t>Rok</w:t>
            </w:r>
            <w:r>
              <w:rPr>
                <w:noProof/>
              </w:rPr>
              <w:br/>
            </w:r>
            <w:r>
              <w:rPr>
                <w:b/>
                <w:noProof/>
                <w:sz w:val="16"/>
              </w:rPr>
              <w:t>N+1</w:t>
            </w:r>
          </w:p>
        </w:tc>
        <w:tc>
          <w:tcPr>
            <w:tcW w:w="1080" w:type="dxa"/>
            <w:vAlign w:val="center"/>
          </w:tcPr>
          <w:p>
            <w:pPr>
              <w:spacing w:before="60" w:after="60" w:line="200" w:lineRule="exact"/>
              <w:jc w:val="center"/>
              <w:rPr>
                <w:noProof/>
                <w:sz w:val="16"/>
                <w:szCs w:val="16"/>
              </w:rPr>
            </w:pPr>
            <w:r>
              <w:rPr>
                <w:noProof/>
                <w:sz w:val="16"/>
              </w:rPr>
              <w:t>Rok</w:t>
            </w:r>
            <w:r>
              <w:rPr>
                <w:noProof/>
              </w:rPr>
              <w:br/>
            </w:r>
            <w:r>
              <w:rPr>
                <w:b/>
                <w:noProof/>
                <w:sz w:val="16"/>
              </w:rPr>
              <w:t>N+2</w:t>
            </w:r>
          </w:p>
        </w:tc>
        <w:tc>
          <w:tcPr>
            <w:tcW w:w="1080" w:type="dxa"/>
            <w:vAlign w:val="center"/>
          </w:tcPr>
          <w:p>
            <w:pPr>
              <w:spacing w:before="60" w:after="60" w:line="200" w:lineRule="exact"/>
              <w:jc w:val="center"/>
              <w:rPr>
                <w:noProof/>
                <w:sz w:val="16"/>
                <w:szCs w:val="16"/>
              </w:rPr>
            </w:pPr>
            <w:r>
              <w:rPr>
                <w:noProof/>
                <w:sz w:val="16"/>
              </w:rPr>
              <w:t>Rok</w:t>
            </w:r>
            <w:r>
              <w:rPr>
                <w:noProof/>
              </w:rPr>
              <w:br/>
            </w:r>
            <w:r>
              <w:rPr>
                <w:b/>
                <w:noProof/>
                <w:sz w:val="16"/>
              </w:rPr>
              <w:t>N+3</w:t>
            </w:r>
          </w:p>
        </w:tc>
        <w:tc>
          <w:tcPr>
            <w:tcW w:w="3240" w:type="dxa"/>
            <w:vAlign w:val="center"/>
          </w:tcPr>
          <w:p>
            <w:pPr>
              <w:spacing w:line="200" w:lineRule="exact"/>
              <w:jc w:val="center"/>
              <w:rPr>
                <w:b/>
                <w:noProof/>
                <w:sz w:val="16"/>
                <w:szCs w:val="16"/>
              </w:rPr>
            </w:pPr>
            <w:r>
              <w:rPr>
                <w:noProof/>
                <w:sz w:val="16"/>
              </w:rPr>
              <w:t>Uveďte všetky roky, počas ktorých vplyv trvá (pozri bod 1.6)</w:t>
            </w:r>
          </w:p>
        </w:tc>
        <w:tc>
          <w:tcPr>
            <w:tcW w:w="1080" w:type="dxa"/>
            <w:vAlign w:val="center"/>
          </w:tcPr>
          <w:p>
            <w:pPr>
              <w:spacing w:before="60" w:after="60" w:line="200" w:lineRule="exact"/>
              <w:jc w:val="center"/>
              <w:rPr>
                <w:b/>
                <w:noProof/>
                <w:sz w:val="16"/>
                <w:szCs w:val="16"/>
              </w:rPr>
            </w:pPr>
            <w:r>
              <w:rPr>
                <w:b/>
                <w:noProof/>
                <w:sz w:val="16"/>
              </w:rPr>
              <w:t>SPOLU</w:t>
            </w: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OKRUH 5</w:t>
            </w:r>
            <w:r>
              <w:rPr>
                <w:noProof/>
              </w:rPr>
              <w:br/>
            </w:r>
            <w:r>
              <w:rPr>
                <w:b/>
                <w:noProof/>
                <w:sz w:val="16"/>
              </w:rPr>
              <w:t>viacročného finančného rámca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Ľudské zdroje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Ostatné administratívne výdavky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Medzisúčet OKRUHU 5</w:t>
            </w:r>
            <w:r>
              <w:rPr>
                <w:noProof/>
              </w:rPr>
              <w:br/>
            </w:r>
            <w:r>
              <w:rPr>
                <w:b/>
                <w:noProof/>
                <w:sz w:val="16"/>
              </w:rPr>
              <w:t xml:space="preserve">viacročného finančného rámca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Mimo OKRUHU 5</w:t>
            </w:r>
            <w:r>
              <w:rPr>
                <w:rStyle w:val="FootnoteReference"/>
                <w:noProof/>
              </w:rPr>
              <w:footnoteReference w:id="19"/>
            </w:r>
            <w:r>
              <w:rPr>
                <w:noProof/>
              </w:rPr>
              <w:br/>
            </w:r>
            <w:r>
              <w:rPr>
                <w:b/>
                <w:noProof/>
                <w:sz w:val="16"/>
              </w:rPr>
              <w:t xml:space="preserve">viacročného finančného rámca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Ľudské zdroje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Ostatné </w:t>
            </w:r>
            <w:r>
              <w:rPr>
                <w:noProof/>
              </w:rPr>
              <w:br/>
            </w:r>
            <w:r>
              <w:rPr>
                <w:noProof/>
                <w:sz w:val="16"/>
              </w:rPr>
              <w:t>administratívne výdavky</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Medzisúčet</w:t>
            </w:r>
            <w:r>
              <w:rPr>
                <w:b/>
                <w:noProof/>
                <w:sz w:val="16"/>
              </w:rPr>
              <w:br/>
              <w:t>Mimo OKRUHU 5</w:t>
            </w:r>
            <w:r>
              <w:rPr>
                <w:noProof/>
              </w:rPr>
              <w:br/>
            </w:r>
            <w:r>
              <w:rPr>
                <w:b/>
                <w:noProof/>
                <w:sz w:val="16"/>
              </w:rPr>
              <w:t xml:space="preserve">viacročného finančného rámca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SPOLU</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2"/>
          <w:footerReference w:type="default" r:id="rId23"/>
          <w:headerReference w:type="first" r:id="rId24"/>
          <w:footerReference w:type="first" r:id="rId25"/>
          <w:pgSz w:w="11907" w:h="16840"/>
          <w:pgMar w:top="1134" w:right="1418" w:bottom="1134" w:left="1418" w:header="709" w:footer="709" w:gutter="0"/>
          <w:cols w:space="708"/>
          <w:docGrid w:linePitch="360"/>
        </w:sectPr>
      </w:pPr>
      <w:r>
        <w:rPr>
          <w:noProof/>
          <w:sz w:val="18"/>
        </w:rPr>
        <w:t>Rozpočtové prostriedky potrebné na ľudské zdroje a na ostatné administratívne výdavky budú pokryté rozpočtovými prostriedkami GR, ktoré už boli pridelené na riadenie akcie a/alebo boli prerozdelené v rámci GR, a v prípade potreby budú doplnené zdrojmi, ktoré sa môžu prideliť riadiacemu GR v rámci ročného postupu prideľovania zdrojov a v závislosti od rozpočtových obmedzení.</w:t>
      </w:r>
      <w:r>
        <w:rPr>
          <w:noProof/>
        </w:rPr>
        <w:tab/>
      </w:r>
    </w:p>
    <w:p>
      <w:pPr>
        <w:pStyle w:val="ManualHeading4"/>
        <w:rPr>
          <w:bCs/>
          <w:noProof/>
          <w:szCs w:val="24"/>
        </w:rPr>
      </w:pPr>
      <w:r>
        <w:rPr>
          <w:noProof/>
        </w:rPr>
        <w:t>3.2.3.2.</w:t>
      </w:r>
      <w:r>
        <w:rPr>
          <w:noProof/>
        </w:rPr>
        <w:tab/>
        <w:t>Odhadované potreby ľudských zdrojov</w:t>
      </w:r>
    </w:p>
    <w:p>
      <w:pPr>
        <w:pStyle w:val="ListDash1"/>
        <w:rPr>
          <w:noProof/>
        </w:rPr>
      </w:pPr>
      <w:r>
        <w:rPr>
          <w:noProof/>
        </w:rPr>
        <w:sym w:font="Wingdings" w:char="F078"/>
      </w:r>
      <w:r>
        <w:rPr>
          <w:noProof/>
        </w:rPr>
        <w:tab/>
        <w:t xml:space="preserve">Návrh/iniciatíva si nevyžaduje použitie ľudských zdrojov. </w:t>
      </w:r>
    </w:p>
    <w:p>
      <w:pPr>
        <w:pStyle w:val="ListDash1"/>
        <w:rPr>
          <w:noProof/>
        </w:rPr>
      </w:pPr>
      <w:r>
        <w:rPr>
          <w:noProof/>
        </w:rPr>
        <w:sym w:font="Wingdings" w:char="F0A8"/>
      </w:r>
      <w:r>
        <w:rPr>
          <w:noProof/>
        </w:rPr>
        <w:tab/>
        <w:t>Návrh/iniciatíva si vyžaduje použitie ľudských zdrojov, ako je uvedené v nasledujúcej tabuľke:</w:t>
      </w:r>
    </w:p>
    <w:p>
      <w:pPr>
        <w:spacing w:after="60"/>
        <w:jc w:val="right"/>
        <w:rPr>
          <w:i/>
          <w:noProof/>
          <w:sz w:val="20"/>
        </w:rPr>
      </w:pPr>
      <w:r>
        <w:rPr>
          <w:i/>
          <w:noProof/>
          <w:sz w:val="20"/>
        </w:rPr>
        <w:t>odhady sa vyjadrujú v jednotkách ekvivalentu plného pracovného času</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trPr>
          <w:gridBefore w:val="1"/>
          <w:wBefore w:w="6" w:type="pct"/>
          <w:trHeight w:val="289"/>
          <w:jc w:val="center"/>
        </w:trPr>
        <w:tc>
          <w:tcPr>
            <w:tcW w:w="1897" w:type="pct"/>
            <w:gridSpan w:val="2"/>
            <w:shd w:val="clear" w:color="auto" w:fill="auto"/>
          </w:tcPr>
          <w:p>
            <w:pPr>
              <w:pStyle w:val="Text1"/>
              <w:spacing w:before="40" w:after="40"/>
              <w:ind w:left="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Rok</w:t>
            </w:r>
            <w:r>
              <w:rPr>
                <w:noProof/>
              </w:rPr>
              <w:br/>
            </w:r>
            <w:r>
              <w:rPr>
                <w:b/>
                <w:noProof/>
                <w:sz w:val="16"/>
              </w:rPr>
              <w:t>N</w:t>
            </w:r>
          </w:p>
        </w:tc>
        <w:tc>
          <w:tcPr>
            <w:tcW w:w="318" w:type="pct"/>
            <w:shd w:val="clear" w:color="auto" w:fill="auto"/>
            <w:vAlign w:val="center"/>
          </w:tcPr>
          <w:p>
            <w:pPr>
              <w:spacing w:before="20" w:after="20"/>
              <w:jc w:val="center"/>
              <w:rPr>
                <w:noProof/>
                <w:sz w:val="16"/>
                <w:szCs w:val="16"/>
              </w:rPr>
            </w:pPr>
            <w:r>
              <w:rPr>
                <w:noProof/>
                <w:sz w:val="16"/>
              </w:rPr>
              <w:t>Rok</w:t>
            </w:r>
            <w:r>
              <w:rPr>
                <w:noProof/>
              </w:rPr>
              <w:br/>
            </w:r>
            <w:r>
              <w:rPr>
                <w:b/>
                <w:noProof/>
                <w:sz w:val="16"/>
              </w:rPr>
              <w:t>N+1</w:t>
            </w:r>
          </w:p>
        </w:tc>
        <w:tc>
          <w:tcPr>
            <w:tcW w:w="1891" w:type="pct"/>
            <w:shd w:val="clear" w:color="auto" w:fill="auto"/>
            <w:vAlign w:val="center"/>
          </w:tcPr>
          <w:p>
            <w:pPr>
              <w:spacing w:before="20" w:after="20"/>
              <w:jc w:val="center"/>
              <w:rPr>
                <w:noProof/>
                <w:sz w:val="16"/>
                <w:szCs w:val="16"/>
              </w:rPr>
            </w:pPr>
            <w:r>
              <w:rPr>
                <w:noProof/>
                <w:sz w:val="16"/>
              </w:rPr>
              <w:t xml:space="preserve">Rok </w:t>
            </w:r>
            <w:r>
              <w:rPr>
                <w:b/>
                <w:noProof/>
                <w:sz w:val="16"/>
              </w:rPr>
              <w:t>N + 2</w:t>
            </w:r>
          </w:p>
        </w:tc>
        <w:tc>
          <w:tcPr>
            <w:tcW w:w="226" w:type="pct"/>
            <w:shd w:val="clear" w:color="auto" w:fill="auto"/>
            <w:vAlign w:val="center"/>
          </w:tcPr>
          <w:p>
            <w:pPr>
              <w:spacing w:before="20" w:after="20"/>
              <w:jc w:val="center"/>
              <w:rPr>
                <w:noProof/>
                <w:sz w:val="16"/>
                <w:szCs w:val="16"/>
              </w:rPr>
            </w:pPr>
            <w:r>
              <w:rPr>
                <w:noProof/>
                <w:sz w:val="16"/>
              </w:rPr>
              <w:t xml:space="preserve">Rok </w:t>
            </w:r>
            <w:r>
              <w:rPr>
                <w:b/>
                <w:noProof/>
                <w:sz w:val="16"/>
              </w:rPr>
              <w:t>N + 3</w:t>
            </w:r>
          </w:p>
        </w:tc>
        <w:tc>
          <w:tcPr>
            <w:tcW w:w="345" w:type="pct"/>
            <w:gridSpan w:val="3"/>
            <w:shd w:val="clear" w:color="auto" w:fill="auto"/>
            <w:vAlign w:val="center"/>
          </w:tcPr>
          <w:p>
            <w:pPr>
              <w:jc w:val="center"/>
              <w:rPr>
                <w:b/>
                <w:noProof/>
                <w:sz w:val="16"/>
                <w:szCs w:val="16"/>
              </w:rPr>
            </w:pPr>
            <w:r>
              <w:rPr>
                <w:noProof/>
                <w:sz w:val="16"/>
              </w:rPr>
              <w:t>Uveďte všetky roky, počas ktorých vplyv trvá (pozri bod 1.6)</w:t>
            </w:r>
          </w:p>
        </w:tc>
      </w:tr>
      <w:tr>
        <w:trPr>
          <w:gridBefore w:val="1"/>
          <w:wBefore w:w="6" w:type="pct"/>
          <w:trHeight w:val="289"/>
          <w:jc w:val="center"/>
        </w:trPr>
        <w:tc>
          <w:tcPr>
            <w:tcW w:w="4424" w:type="pct"/>
            <w:gridSpan w:val="5"/>
            <w:shd w:val="clear" w:color="auto" w:fill="auto"/>
          </w:tcPr>
          <w:p>
            <w:pPr>
              <w:spacing w:before="20" w:after="20"/>
              <w:rPr>
                <w:noProof/>
                <w:sz w:val="16"/>
                <w:szCs w:val="16"/>
              </w:rPr>
            </w:pPr>
            <w:r>
              <w:rPr>
                <w:b/>
                <w:noProof/>
                <w:sz w:val="16"/>
              </w:rPr>
              <w:sym w:font="Wingdings" w:char="F09F"/>
            </w:r>
            <w:r>
              <w:rPr>
                <w:b/>
                <w:noProof/>
                <w:sz w:val="16"/>
              </w:rPr>
              <w:t>Plán pracovných miest (úradníci a dočasní zamestnanci)</w:t>
            </w:r>
          </w:p>
        </w:tc>
        <w:tc>
          <w:tcPr>
            <w:tcW w:w="226" w:type="pct"/>
            <w:shd w:val="clear" w:color="auto" w:fill="auto"/>
            <w:vAlign w:val="center"/>
          </w:tcPr>
          <w:p>
            <w:pPr>
              <w:spacing w:before="20" w:after="20"/>
              <w:jc w:val="center"/>
              <w:rPr>
                <w:noProof/>
                <w:sz w:val="16"/>
                <w:szCs w:val="16"/>
              </w:rPr>
            </w:pPr>
          </w:p>
        </w:tc>
        <w:tc>
          <w:tcPr>
            <w:tcW w:w="345" w:type="pct"/>
            <w:gridSpan w:val="3"/>
            <w:shd w:val="clear" w:color="auto" w:fill="auto"/>
            <w:vAlign w:val="center"/>
          </w:tcPr>
          <w:p>
            <w:pPr>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b/>
                <w:noProof/>
                <w:sz w:val="16"/>
                <w:szCs w:val="16"/>
              </w:rPr>
            </w:pPr>
            <w:r>
              <w:rPr>
                <w:noProof/>
                <w:sz w:val="16"/>
              </w:rPr>
              <w:t>XX 01 01 01 (ústredie a zastúpenia Komisie)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01 02 (delegácie)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XX 01 05 01 (nepriamy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4"/>
              <w:jc w:val="left"/>
              <w:rPr>
                <w:noProof/>
                <w:sz w:val="16"/>
                <w:szCs w:val="16"/>
              </w:rPr>
            </w:pPr>
            <w:r>
              <w:rPr>
                <w:noProof/>
                <w:sz w:val="16"/>
              </w:rPr>
              <w:t>10 01 05 01 (priamy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After w:val="4"/>
          <w:wAfter w:w="570" w:type="pct"/>
          <w:trHeight w:val="248"/>
          <w:jc w:val="center"/>
        </w:trPr>
        <w:tc>
          <w:tcPr>
            <w:tcW w:w="4430" w:type="pct"/>
            <w:gridSpan w:val="6"/>
            <w:shd w:val="clear" w:color="auto" w:fill="auto"/>
            <w:vAlign w:val="center"/>
          </w:tcPr>
          <w:p>
            <w:pPr>
              <w:pStyle w:val="Text1"/>
              <w:spacing w:before="60" w:after="60"/>
              <w:ind w:left="0"/>
              <w:jc w:val="left"/>
              <w:rPr>
                <w:b/>
                <w:noProof/>
                <w:sz w:val="16"/>
                <w:szCs w:val="16"/>
              </w:rPr>
            </w:pPr>
            <w:r>
              <w:rPr>
                <w:b/>
                <w:noProof/>
                <w:sz w:val="16"/>
              </w:rPr>
              <w:sym w:font="Wingdings" w:char="F09F"/>
            </w:r>
            <w:r>
              <w:rPr>
                <w:b/>
                <w:noProof/>
                <w:sz w:val="16"/>
              </w:rPr>
              <w:t xml:space="preserve"> Externí zamestnanci (ekvivalent plného pracovného času - EPPČ)</w:t>
            </w:r>
            <w:r>
              <w:rPr>
                <w:rStyle w:val="FootnoteReference"/>
                <w:b/>
                <w:noProof/>
                <w:sz w:val="16"/>
              </w:rPr>
              <w:footnoteReference w:id="20"/>
            </w:r>
          </w:p>
          <w:p>
            <w:pPr>
              <w:pStyle w:val="Text1"/>
              <w:spacing w:before="0" w:after="0"/>
              <w:ind w:left="0"/>
              <w:jc w:val="left"/>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b/>
                <w:noProof/>
                <w:sz w:val="16"/>
                <w:szCs w:val="16"/>
              </w:rPr>
            </w:pPr>
            <w:r>
              <w:rPr>
                <w:noProof/>
                <w:sz w:val="16"/>
              </w:rPr>
              <w:t>XX 01 02 01 (ZZ, VNE, DAZ z celkového balíka prostriedkov)</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XX 01 02 02 (ZZ, MZ, VNE, DAZ, PED v delegáciách)</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val="restart"/>
            <w:shd w:val="clear" w:color="auto" w:fill="auto"/>
            <w:vAlign w:val="center"/>
          </w:tcPr>
          <w:p>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21"/>
            </w:r>
          </w:p>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ústredie</w:t>
            </w:r>
          </w:p>
          <w:p>
            <w:pPr>
              <w:pStyle w:val="Text1"/>
              <w:spacing w:beforeLines="20" w:before="48" w:afterLines="20" w:after="48"/>
              <w:ind w:left="136"/>
              <w:jc w:val="left"/>
              <w:rPr>
                <w:b/>
                <w:noProof/>
                <w:sz w:val="16"/>
                <w:szCs w:val="16"/>
              </w:rPr>
            </w:pP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948" w:type="pct"/>
            <w:vMerge/>
            <w:shd w:val="clear" w:color="auto" w:fill="auto"/>
            <w:vAlign w:val="center"/>
          </w:tcPr>
          <w:p>
            <w:pPr>
              <w:pStyle w:val="Text1"/>
              <w:spacing w:beforeLines="20" w:before="48" w:afterLines="20" w:after="48"/>
              <w:ind w:left="136"/>
              <w:jc w:val="left"/>
              <w:rPr>
                <w:b/>
                <w:noProof/>
                <w:sz w:val="16"/>
                <w:szCs w:val="16"/>
              </w:rPr>
            </w:pPr>
          </w:p>
        </w:tc>
        <w:tc>
          <w:tcPr>
            <w:tcW w:w="949" w:type="pct"/>
            <w:shd w:val="clear" w:color="auto" w:fill="auto"/>
            <w:vAlign w:val="center"/>
          </w:tcPr>
          <w:p>
            <w:pPr>
              <w:pStyle w:val="Text1"/>
              <w:spacing w:beforeLines="20" w:before="48" w:afterLines="20" w:after="48"/>
              <w:ind w:left="136"/>
              <w:jc w:val="left"/>
              <w:rPr>
                <w:b/>
                <w:noProof/>
                <w:sz w:val="16"/>
                <w:szCs w:val="16"/>
              </w:rPr>
            </w:pPr>
            <w:r>
              <w:rPr>
                <w:noProof/>
                <w:sz w:val="16"/>
              </w:rPr>
              <w:t xml:space="preserve">– delegácie </w:t>
            </w:r>
          </w:p>
        </w:tc>
        <w:tc>
          <w:tcPr>
            <w:tcW w:w="318" w:type="pct"/>
            <w:shd w:val="clear" w:color="auto" w:fill="auto"/>
            <w:vAlign w:val="center"/>
          </w:tcPr>
          <w:p>
            <w:pPr>
              <w:pStyle w:val="Text1"/>
              <w:spacing w:beforeLines="20" w:before="48" w:afterLines="20" w:after="48"/>
              <w:ind w:left="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b/>
                <w:noProof/>
                <w:sz w:val="16"/>
                <w:szCs w:val="16"/>
              </w:rPr>
              <w:t>XX</w:t>
            </w:r>
            <w:r>
              <w:rPr>
                <w:noProof/>
                <w:sz w:val="16"/>
                <w:szCs w:val="16"/>
              </w:rPr>
              <w:t xml:space="preserve"> 01 05 02 (ZZ, VNE, DAZ – nepriamy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shd w:val="clear" w:color="auto" w:fill="auto"/>
            <w:vAlign w:val="center"/>
          </w:tcPr>
          <w:p>
            <w:pPr>
              <w:pStyle w:val="Text1"/>
              <w:spacing w:beforeLines="20" w:before="48" w:afterLines="20" w:after="48"/>
              <w:ind w:left="136"/>
              <w:jc w:val="left"/>
              <w:rPr>
                <w:noProof/>
                <w:sz w:val="16"/>
                <w:szCs w:val="16"/>
              </w:rPr>
            </w:pPr>
            <w:r>
              <w:rPr>
                <w:noProof/>
                <w:sz w:val="16"/>
              </w:rPr>
              <w:t>10 01 05 02 (ZZ, VNE, DAZ – priamy výskum)</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1891" w:type="pct"/>
            <w:shd w:val="clear" w:color="auto" w:fill="auto"/>
            <w:vAlign w:val="center"/>
          </w:tcPr>
          <w:p>
            <w:pPr>
              <w:spacing w:beforeLines="20" w:before="48" w:afterLines="20" w:after="48"/>
              <w:jc w:val="center"/>
              <w:rPr>
                <w:noProof/>
                <w:sz w:val="16"/>
                <w:szCs w:val="16"/>
              </w:rPr>
            </w:pPr>
          </w:p>
        </w:tc>
        <w:tc>
          <w:tcPr>
            <w:tcW w:w="226"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szCs w:val="16"/>
              </w:rPr>
            </w:pPr>
            <w:r>
              <w:rPr>
                <w:noProof/>
                <w:sz w:val="16"/>
              </w:rPr>
              <w:t>Iné rozpočtové riadky (uveďte)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gridBefore w:val="1"/>
          <w:wBefore w:w="6" w:type="pct"/>
          <w:trHeight w:val="289"/>
          <w:jc w:val="center"/>
        </w:trPr>
        <w:tc>
          <w:tcPr>
            <w:tcW w:w="1897"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szCs w:val="16"/>
              </w:rPr>
            </w:pPr>
            <w:r>
              <w:rPr>
                <w:b/>
                <w:noProof/>
                <w:sz w:val="16"/>
              </w:rPr>
              <w:t>SPOLU</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pStyle w:val="Text1"/>
        <w:spacing w:before="60" w:after="60"/>
        <w:ind w:left="851"/>
        <w:rPr>
          <w:noProof/>
          <w:sz w:val="18"/>
          <w:szCs w:val="18"/>
        </w:rPr>
      </w:pPr>
      <w:r>
        <w:rPr>
          <w:b/>
          <w:noProof/>
          <w:sz w:val="18"/>
        </w:rPr>
        <w:t>XX</w:t>
      </w:r>
      <w:r>
        <w:rPr>
          <w:noProof/>
          <w:sz w:val="18"/>
        </w:rPr>
        <w:t xml:space="preserve"> predstavuje príslušnú oblasť politiky alebo rozpočtovú hlavu.</w:t>
      </w:r>
    </w:p>
    <w:p>
      <w:pPr>
        <w:pStyle w:val="Text1"/>
        <w:rPr>
          <w:noProof/>
          <w:sz w:val="18"/>
          <w:szCs w:val="18"/>
        </w:rPr>
      </w:pPr>
      <w:r>
        <w:rPr>
          <w:noProof/>
          <w:sz w:val="18"/>
        </w:rPr>
        <w:t>Potreby ľudských zdrojov budú pokryté úradníkmi GR, ktorí už boli pridelení na riadenie akcie a/alebo boli interne prerozdelení v rámci GR, a v prípade potreby budú doplnené zdrojmi, ktoré sa môžu prideliť riadiacemu GR v rámci ročného postupu prideľovania zdrojov v závislosti od rozpočtových obmedzení.</w:t>
      </w:r>
    </w:p>
    <w:p>
      <w:pPr>
        <w:rPr>
          <w:noProof/>
          <w:sz w:val="20"/>
        </w:rPr>
      </w:pPr>
      <w:r>
        <w:rPr>
          <w:noProof/>
          <w:sz w:val="20"/>
        </w:rPr>
        <w:t>Opis úloh, ktoré sa majú vykonať:</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Úradníci a dočasní zamestnanci</w:t>
            </w:r>
          </w:p>
        </w:tc>
        <w:tc>
          <w:tcPr>
            <w:tcW w:w="7200" w:type="dxa"/>
          </w:tcPr>
          <w:p>
            <w:pPr>
              <w:rPr>
                <w:noProof/>
                <w:sz w:val="20"/>
              </w:rPr>
            </w:pPr>
          </w:p>
        </w:tc>
      </w:tr>
      <w:tr>
        <w:tc>
          <w:tcPr>
            <w:tcW w:w="3240" w:type="dxa"/>
          </w:tcPr>
          <w:p>
            <w:pPr>
              <w:spacing w:before="60" w:after="60"/>
              <w:rPr>
                <w:noProof/>
                <w:sz w:val="20"/>
              </w:rPr>
            </w:pPr>
            <w:r>
              <w:rPr>
                <w:noProof/>
                <w:sz w:val="20"/>
              </w:rPr>
              <w:t>Externí zamestnanci</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rPr>
          <w:noProof/>
        </w:rPr>
        <w:t>3.2.4.</w:t>
      </w:r>
      <w:r>
        <w:rPr>
          <w:noProof/>
        </w:rPr>
        <w:tab/>
        <w:t xml:space="preserve">Súlad s platným viacročným finančným rámcom </w:t>
      </w:r>
    </w:p>
    <w:p>
      <w:pPr>
        <w:pStyle w:val="ListDash1"/>
        <w:rPr>
          <w:noProof/>
        </w:rPr>
      </w:pPr>
      <w:r>
        <w:rPr>
          <w:noProof/>
        </w:rPr>
        <w:sym w:font="Wingdings" w:char="F078"/>
      </w:r>
      <w:r>
        <w:rPr>
          <w:noProof/>
        </w:rPr>
        <w:tab/>
        <w:t>Návrh/iniciatíva je v súlade s platným viacročným finančným rámcom.</w:t>
      </w:r>
    </w:p>
    <w:p>
      <w:pPr>
        <w:pStyle w:val="ListDash1"/>
        <w:rPr>
          <w:noProof/>
        </w:rPr>
      </w:pPr>
      <w:r>
        <w:rPr>
          <w:noProof/>
        </w:rPr>
        <w:sym w:font="Wingdings" w:char="F0A8"/>
      </w:r>
      <w:r>
        <w:rPr>
          <w:noProof/>
        </w:rPr>
        <w:tab/>
        <w:t>Návrh/iniciatíva si vyžaduje zmenu v plánovaní príslušného okruhu vo viacročnom finančnom rámci.</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požadovanú zmenu v plánovaní a uveďte príslušné rozpočtové riadky a zodpovedajúce sumy.</w:t>
      </w:r>
    </w:p>
    <w:p>
      <w:pPr>
        <w:pStyle w:val="ListDash1"/>
        <w:rPr>
          <w:noProof/>
        </w:rPr>
      </w:pPr>
      <w:r>
        <w:rPr>
          <w:noProof/>
        </w:rPr>
        <w:sym w:font="Wingdings" w:char="F0A8"/>
      </w:r>
      <w:r>
        <w:rPr>
          <w:noProof/>
        </w:rPr>
        <w:tab/>
        <w:t>Návrh/iniciatíva si vyžaduje, aby sa použil nástroj flexibility alebo aby sa uskutočnila revízia viacročného finančného rámca.</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Vysvetlite potrebu a uveďte príslušné okruhy, rozpočtové riadky a zodpovedajúce sumy.</w:t>
      </w:r>
    </w:p>
    <w:p>
      <w:pPr>
        <w:pStyle w:val="ManualHeading3"/>
        <w:rPr>
          <w:bCs/>
          <w:noProof/>
          <w:szCs w:val="24"/>
        </w:rPr>
      </w:pPr>
      <w:r>
        <w:rPr>
          <w:noProof/>
        </w:rPr>
        <w:t>3.2.5.</w:t>
      </w:r>
      <w:r>
        <w:rPr>
          <w:noProof/>
        </w:rPr>
        <w:tab/>
        <w:t xml:space="preserve">Príspevky od tretích strán </w:t>
      </w:r>
    </w:p>
    <w:p>
      <w:pPr>
        <w:pStyle w:val="ListDash1"/>
        <w:rPr>
          <w:noProof/>
        </w:rPr>
      </w:pPr>
      <w:r>
        <w:rPr>
          <w:noProof/>
        </w:rPr>
        <w:t xml:space="preserve">Návrh/iniciatíva nezahŕňa spolufinancovanie tretími stranami. </w:t>
      </w:r>
    </w:p>
    <w:p>
      <w:pPr>
        <w:pStyle w:val="ListDash1"/>
        <w:rPr>
          <w:noProof/>
        </w:rPr>
      </w:pPr>
      <w:r>
        <w:rPr>
          <w:noProof/>
        </w:rPr>
        <w:t>Návrh/iniciatíva zahŕňa spolufinancovanie tretími stranami, ako je odhadnuté v nasledujúcej tabuľke:</w:t>
      </w:r>
    </w:p>
    <w:p>
      <w:pPr>
        <w:jc w:val="right"/>
        <w:rPr>
          <w:noProof/>
          <w:sz w:val="20"/>
        </w:rPr>
      </w:pPr>
      <w:r>
        <w:rPr>
          <w:noProof/>
          <w:sz w:val="20"/>
        </w:rPr>
        <w:t>rozpočtové prostriedky v mil. EUR (zaokrúhlené na 3 desatinné miesta)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Rok</w:t>
            </w:r>
            <w:r>
              <w:rPr>
                <w:noProof/>
              </w:rPr>
              <w:br/>
            </w:r>
            <w:r>
              <w:rPr>
                <w:b/>
                <w:noProof/>
                <w:sz w:val="20"/>
              </w:rPr>
              <w:t>N</w:t>
            </w:r>
          </w:p>
        </w:tc>
        <w:tc>
          <w:tcPr>
            <w:tcW w:w="964" w:type="dxa"/>
            <w:vAlign w:val="center"/>
          </w:tcPr>
          <w:p>
            <w:pPr>
              <w:jc w:val="center"/>
              <w:rPr>
                <w:noProof/>
                <w:sz w:val="20"/>
              </w:rPr>
            </w:pPr>
            <w:r>
              <w:rPr>
                <w:noProof/>
                <w:sz w:val="20"/>
              </w:rPr>
              <w:t>Rok</w:t>
            </w:r>
            <w:r>
              <w:rPr>
                <w:noProof/>
              </w:rPr>
              <w:br/>
            </w:r>
            <w:r>
              <w:rPr>
                <w:b/>
                <w:noProof/>
                <w:sz w:val="20"/>
              </w:rPr>
              <w:t>N+1</w:t>
            </w:r>
          </w:p>
        </w:tc>
        <w:tc>
          <w:tcPr>
            <w:tcW w:w="964" w:type="dxa"/>
            <w:vAlign w:val="center"/>
          </w:tcPr>
          <w:p>
            <w:pPr>
              <w:jc w:val="center"/>
              <w:rPr>
                <w:noProof/>
                <w:sz w:val="20"/>
              </w:rPr>
            </w:pPr>
            <w:r>
              <w:rPr>
                <w:noProof/>
                <w:sz w:val="20"/>
              </w:rPr>
              <w:t>Rok</w:t>
            </w:r>
            <w:r>
              <w:rPr>
                <w:noProof/>
              </w:rPr>
              <w:br/>
            </w:r>
            <w:r>
              <w:rPr>
                <w:b/>
                <w:noProof/>
                <w:sz w:val="20"/>
              </w:rPr>
              <w:t>N+2</w:t>
            </w:r>
          </w:p>
        </w:tc>
        <w:tc>
          <w:tcPr>
            <w:tcW w:w="964" w:type="dxa"/>
            <w:vAlign w:val="center"/>
          </w:tcPr>
          <w:p>
            <w:pPr>
              <w:jc w:val="center"/>
              <w:rPr>
                <w:noProof/>
                <w:sz w:val="20"/>
              </w:rPr>
            </w:pPr>
            <w:r>
              <w:rPr>
                <w:noProof/>
                <w:sz w:val="20"/>
              </w:rPr>
              <w:t>Rok</w:t>
            </w:r>
            <w:r>
              <w:rPr>
                <w:noProof/>
              </w:rPr>
              <w:br/>
            </w:r>
            <w:r>
              <w:rPr>
                <w:b/>
                <w:noProof/>
                <w:sz w:val="20"/>
              </w:rPr>
              <w:t>N+3</w:t>
            </w:r>
          </w:p>
        </w:tc>
        <w:tc>
          <w:tcPr>
            <w:tcW w:w="2892" w:type="dxa"/>
            <w:gridSpan w:val="3"/>
            <w:vAlign w:val="center"/>
          </w:tcPr>
          <w:p>
            <w:pPr>
              <w:jc w:val="center"/>
              <w:rPr>
                <w:b/>
                <w:noProof/>
                <w:sz w:val="20"/>
              </w:rPr>
            </w:pPr>
            <w:r>
              <w:rPr>
                <w:noProof/>
                <w:sz w:val="20"/>
              </w:rPr>
              <w:t>Uveďte všetky roky, počas ktorých vplyv trvá (pozri bod 1.6)</w:t>
            </w:r>
          </w:p>
        </w:tc>
        <w:tc>
          <w:tcPr>
            <w:tcW w:w="1158" w:type="dxa"/>
            <w:vAlign w:val="center"/>
          </w:tcPr>
          <w:p>
            <w:pPr>
              <w:spacing w:before="60" w:after="60"/>
              <w:jc w:val="center"/>
              <w:rPr>
                <w:noProof/>
                <w:sz w:val="20"/>
              </w:rPr>
            </w:pPr>
            <w:r>
              <w:rPr>
                <w:noProof/>
                <w:sz w:val="20"/>
              </w:rPr>
              <w:t>Spolu</w:t>
            </w:r>
          </w:p>
        </w:tc>
      </w:tr>
      <w:tr>
        <w:trPr>
          <w:cantSplit/>
        </w:trPr>
        <w:tc>
          <w:tcPr>
            <w:tcW w:w="2340" w:type="dxa"/>
          </w:tcPr>
          <w:p>
            <w:pPr>
              <w:rPr>
                <w:noProof/>
              </w:rPr>
            </w:pPr>
            <w:r>
              <w:rPr>
                <w:noProof/>
                <w:sz w:val="20"/>
              </w:rPr>
              <w:t>Uveďte spolufinancujúci subjekt</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Prostriedky zo spolufinancovania SPOLU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pStyle w:val="ManualHeading2"/>
        <w:rPr>
          <w:bCs/>
          <w:noProof/>
          <w:szCs w:val="24"/>
        </w:rPr>
      </w:pPr>
      <w:r>
        <w:rPr>
          <w:noProof/>
        </w:rPr>
        <w:t>3.3.</w:t>
      </w:r>
      <w:r>
        <w:rPr>
          <w:noProof/>
        </w:rPr>
        <w:tab/>
        <w:t xml:space="preserve">Odhadovaný vplyv na príjmy </w:t>
      </w:r>
    </w:p>
    <w:p>
      <w:pPr>
        <w:pStyle w:val="ListDash1"/>
        <w:rPr>
          <w:noProof/>
        </w:rPr>
      </w:pPr>
      <w:r>
        <w:rPr>
          <w:noProof/>
        </w:rPr>
        <w:sym w:font="Wingdings" w:char="F078"/>
      </w:r>
      <w:r>
        <w:rPr>
          <w:noProof/>
        </w:rPr>
        <w:tab/>
        <w:t>Návrh/iniciatíva nemá finančný vplyv na príjmy.</w:t>
      </w:r>
    </w:p>
    <w:p>
      <w:pPr>
        <w:pStyle w:val="ListDash1"/>
        <w:rPr>
          <w:noProof/>
        </w:rPr>
      </w:pPr>
      <w:r>
        <w:rPr>
          <w:noProof/>
        </w:rPr>
        <w:sym w:font="Wingdings" w:char="F0A8"/>
      </w:r>
      <w:r>
        <w:rPr>
          <w:noProof/>
        </w:rPr>
        <w:tab/>
        <w:t>Návrh/iniciatíva má finančný vplyv na príjmy, ako je uvedené v nasledujúcej tabuľke:</w:t>
      </w:r>
    </w:p>
    <w:p>
      <w:pPr>
        <w:pStyle w:val="ListNumberLevel3"/>
        <w:tabs>
          <w:tab w:val="clear" w:pos="2126"/>
        </w:tabs>
        <w:rPr>
          <w:noProof/>
        </w:rPr>
      </w:pPr>
      <w:r>
        <w:rPr>
          <w:noProof/>
        </w:rPr>
        <w:sym w:font="Wingdings" w:char="F0A8"/>
      </w:r>
      <w:r>
        <w:rPr>
          <w:noProof/>
        </w:rPr>
        <w:tab/>
        <w:t xml:space="preserve">vplyv na vlastné zdroje </w:t>
      </w:r>
    </w:p>
    <w:p>
      <w:pPr>
        <w:pStyle w:val="ListNumberLevel3"/>
        <w:tabs>
          <w:tab w:val="clear" w:pos="2126"/>
        </w:tabs>
        <w:rPr>
          <w:noProof/>
        </w:rPr>
      </w:pPr>
      <w:r>
        <w:rPr>
          <w:noProof/>
        </w:rPr>
        <w:sym w:font="Wingdings" w:char="F0A8"/>
      </w:r>
      <w:r>
        <w:rPr>
          <w:noProof/>
        </w:rPr>
        <w:tab/>
        <w:t xml:space="preserve">vplyv na rôzne príjmy </w:t>
      </w:r>
    </w:p>
    <w:p>
      <w:pPr>
        <w:jc w:val="right"/>
        <w:rPr>
          <w:i/>
          <w:noProof/>
          <w:sz w:val="20"/>
        </w:rPr>
      </w:pPr>
      <w:r>
        <w:rPr>
          <w:noProof/>
        </w:rPr>
        <w:t>v mil. EUR (zaokrúhlené na 3 desatinné miesta)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Rozpočtový riadok príjmov:</w:t>
            </w:r>
          </w:p>
        </w:tc>
        <w:tc>
          <w:tcPr>
            <w:tcW w:w="1276" w:type="dxa"/>
            <w:vMerge w:val="restart"/>
            <w:vAlign w:val="center"/>
          </w:tcPr>
          <w:p>
            <w:pPr>
              <w:jc w:val="center"/>
              <w:rPr>
                <w:noProof/>
                <w:sz w:val="18"/>
              </w:rPr>
            </w:pPr>
            <w:r>
              <w:rPr>
                <w:noProof/>
                <w:sz w:val="18"/>
              </w:rPr>
              <w:t>Rozpočtové prostriedky k dispozícii v bežnom rozpočtovom roku</w:t>
            </w:r>
          </w:p>
        </w:tc>
        <w:tc>
          <w:tcPr>
            <w:tcW w:w="7200" w:type="dxa"/>
            <w:gridSpan w:val="7"/>
            <w:vAlign w:val="center"/>
          </w:tcPr>
          <w:p>
            <w:pPr>
              <w:jc w:val="center"/>
              <w:rPr>
                <w:noProof/>
                <w:sz w:val="18"/>
              </w:rPr>
            </w:pPr>
            <w:r>
              <w:rPr>
                <w:noProof/>
                <w:sz w:val="18"/>
              </w:rPr>
              <w:t>Vplyv návrhu/iniciatívy</w:t>
            </w:r>
            <w:r>
              <w:rPr>
                <w:rStyle w:val="FootnoteReference"/>
                <w:noProof/>
                <w:sz w:val="18"/>
              </w:rPr>
              <w:footnoteReference w:id="22"/>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Rok</w:t>
            </w:r>
            <w:r>
              <w:rPr>
                <w:noProof/>
              </w:rPr>
              <w:br/>
            </w:r>
            <w:r>
              <w:rPr>
                <w:b/>
                <w:noProof/>
                <w:sz w:val="18"/>
              </w:rPr>
              <w:t>N</w:t>
            </w:r>
          </w:p>
        </w:tc>
        <w:tc>
          <w:tcPr>
            <w:tcW w:w="900" w:type="dxa"/>
            <w:vAlign w:val="center"/>
          </w:tcPr>
          <w:p>
            <w:pPr>
              <w:jc w:val="center"/>
              <w:rPr>
                <w:noProof/>
                <w:sz w:val="18"/>
              </w:rPr>
            </w:pPr>
            <w:r>
              <w:rPr>
                <w:noProof/>
                <w:sz w:val="18"/>
              </w:rPr>
              <w:t>Rok</w:t>
            </w:r>
            <w:r>
              <w:rPr>
                <w:noProof/>
              </w:rPr>
              <w:br/>
            </w:r>
            <w:r>
              <w:rPr>
                <w:b/>
                <w:noProof/>
                <w:sz w:val="18"/>
              </w:rPr>
              <w:t>N+1</w:t>
            </w:r>
          </w:p>
        </w:tc>
        <w:tc>
          <w:tcPr>
            <w:tcW w:w="900" w:type="dxa"/>
            <w:vAlign w:val="center"/>
          </w:tcPr>
          <w:p>
            <w:pPr>
              <w:jc w:val="center"/>
              <w:rPr>
                <w:noProof/>
                <w:sz w:val="18"/>
              </w:rPr>
            </w:pPr>
            <w:r>
              <w:rPr>
                <w:noProof/>
                <w:sz w:val="18"/>
              </w:rPr>
              <w:t>Rok</w:t>
            </w:r>
            <w:r>
              <w:rPr>
                <w:noProof/>
              </w:rPr>
              <w:br/>
            </w:r>
            <w:r>
              <w:rPr>
                <w:b/>
                <w:noProof/>
                <w:sz w:val="18"/>
              </w:rPr>
              <w:t>N+2</w:t>
            </w:r>
          </w:p>
        </w:tc>
        <w:tc>
          <w:tcPr>
            <w:tcW w:w="1080" w:type="dxa"/>
            <w:vAlign w:val="center"/>
          </w:tcPr>
          <w:p>
            <w:pPr>
              <w:jc w:val="center"/>
              <w:rPr>
                <w:noProof/>
                <w:sz w:val="18"/>
              </w:rPr>
            </w:pPr>
            <w:r>
              <w:rPr>
                <w:noProof/>
                <w:sz w:val="18"/>
              </w:rPr>
              <w:t>Rok</w:t>
            </w:r>
            <w:r>
              <w:rPr>
                <w:noProof/>
              </w:rPr>
              <w:br/>
            </w:r>
            <w:r>
              <w:rPr>
                <w:b/>
                <w:noProof/>
                <w:sz w:val="18"/>
              </w:rPr>
              <w:t>N+3</w:t>
            </w:r>
          </w:p>
        </w:tc>
        <w:tc>
          <w:tcPr>
            <w:tcW w:w="3240" w:type="dxa"/>
            <w:gridSpan w:val="3"/>
            <w:vAlign w:val="center"/>
          </w:tcPr>
          <w:p>
            <w:pPr>
              <w:jc w:val="center"/>
              <w:rPr>
                <w:b/>
                <w:noProof/>
                <w:sz w:val="18"/>
              </w:rPr>
            </w:pPr>
            <w:r>
              <w:rPr>
                <w:noProof/>
                <w:sz w:val="18"/>
              </w:rPr>
              <w:t>Uveďte všetky roky, počas ktorých vplyv trvá (pozri bod 1.6)</w:t>
            </w:r>
          </w:p>
        </w:tc>
      </w:tr>
      <w:tr>
        <w:trPr>
          <w:trHeight w:val="388"/>
        </w:trPr>
        <w:tc>
          <w:tcPr>
            <w:tcW w:w="2144" w:type="dxa"/>
            <w:vAlign w:val="center"/>
          </w:tcPr>
          <w:p>
            <w:pPr>
              <w:spacing w:before="40" w:after="40"/>
              <w:rPr>
                <w:noProof/>
                <w:sz w:val="18"/>
              </w:rPr>
            </w:pPr>
            <w:r>
              <w:rPr>
                <w:noProof/>
                <w:sz w:val="18"/>
              </w:rPr>
              <w:t>Článok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V prípade rôznych pripísaných príjmov uveďte príslušné rozpočtové riadky výdavkov.</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rPr>
      </w:pPr>
      <w:r>
        <w:rPr>
          <w:noProof/>
          <w:sz w:val="20"/>
        </w:rPr>
        <w:t>Uveďte spôsob výpočtu vplyvu na príjmy.</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SK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SK</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23</w:t>
    </w:r>
    <w:r>
      <w:fldChar w:fldCharType="end"/>
    </w:r>
    <w:r>
      <w:tab/>
    </w:r>
    <w:r>
      <w:tab/>
    </w:r>
    <w:r>
      <w:rPr>
        <w:rFonts w:ascii="Arial" w:hAnsi="Arial" w:cs="Arial"/>
        <w:b/>
        <w:sz w:val="48"/>
      </w:rPr>
      <w:t>SK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s. 320), naposledy zmenené nariadením Európskeho parlamentu a Rady (EÚ) 2017/2305 z 12. decembra 2017, ktorým sa mení nariadenie (EÚ) č. 1303/2013, pokiaľ ide o zmeny zdrojov na hospodársku, sociálnu a územnú súdržnosť a zdrojov na cieľ Investovanie do rastu a zamestnanosti a na cieľ Európska územná spolupráca (Ú. v. EÚ L 335, 15.12.2017, s. 1).</w:t>
      </w:r>
    </w:p>
  </w:footnote>
  <w:footnote w:id="2">
    <w:p>
      <w:pPr>
        <w:pStyle w:val="FootnoteText"/>
      </w:pPr>
      <w:r>
        <w:rPr>
          <w:rStyle w:val="FootnoteReference"/>
        </w:rPr>
        <w:footnoteRef/>
      </w:r>
      <w:r>
        <w:tab/>
        <w:t>Ú. v. EÚ C […], […], s. […].</w:t>
      </w:r>
    </w:p>
  </w:footnote>
  <w:footnote w:id="3">
    <w:p>
      <w:pPr>
        <w:pStyle w:val="FootnoteText"/>
      </w:pPr>
      <w:r>
        <w:rPr>
          <w:rStyle w:val="FootnoteReference"/>
        </w:rPr>
        <w:footnoteRef/>
      </w:r>
      <w:r>
        <w:tab/>
        <w:t>Ú. v. EÚ C […], […], s. […].</w:t>
      </w:r>
    </w:p>
  </w:footnote>
  <w:footnote w:id="4">
    <w:p>
      <w:pPr>
        <w:pStyle w:val="FootnoteText"/>
      </w:pPr>
      <w:r>
        <w:rPr>
          <w:rStyle w:val="FootnoteReference"/>
        </w:rPr>
        <w:footnoteRef/>
      </w:r>
      <w:r>
        <w:tab/>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s. 320).</w:t>
      </w:r>
    </w:p>
  </w:footnote>
  <w:footnote w:id="5">
    <w:p>
      <w:pPr>
        <w:pStyle w:val="FootnoteText"/>
      </w:pPr>
      <w:r>
        <w:rPr>
          <w:rStyle w:val="FootnoteReference"/>
        </w:rPr>
        <w:footnoteRef/>
      </w:r>
      <w:r>
        <w:tab/>
        <w:t>Nariadenie Európskeho parlamentu a Rady (EÚ) 2017/2305 z 12. decembra 2017, ktorým sa mení nariadenie (EÚ) č. 1303/2013, pokiaľ ide o zmeny zdrojov na hospodársku, sociálnu a územnú súdržnosť a zdrojov na cieľ Investovanie do rastu a zamestnanosti a na cieľ Európska územná spolupráca (Ú. v. EÚ L 335, 15.12.2017, s. 1).</w:t>
      </w:r>
    </w:p>
  </w:footnote>
  <w:footnote w:id="6">
    <w:p>
      <w:pPr>
        <w:pStyle w:val="FootnoteText"/>
      </w:pPr>
      <w:r>
        <w:rPr>
          <w:rStyle w:val="FootnoteReference"/>
        </w:rPr>
        <w:footnoteRef/>
      </w:r>
      <w:r>
        <w:tab/>
        <w:t>Ú. v. EÚ L 57, 28.2.2018, s. 1.</w:t>
      </w:r>
    </w:p>
  </w:footnote>
  <w:footnote w:id="7">
    <w:p>
      <w:pPr>
        <w:pStyle w:val="FootnoteText"/>
        <w:rPr>
          <w:szCs w:val="24"/>
        </w:rPr>
      </w:pPr>
      <w:r>
        <w:rPr>
          <w:rStyle w:val="FootnoteReference"/>
        </w:rPr>
        <w:footnoteRef/>
      </w:r>
      <w:r>
        <w:tab/>
        <w:t>ABM: riadenie podľa činností; ABB: zostavovanie rozpočtu podľa činností.</w:t>
      </w:r>
    </w:p>
  </w:footnote>
  <w:footnote w:id="8">
    <w:p>
      <w:pPr>
        <w:pStyle w:val="FootnoteText"/>
        <w:rPr>
          <w:szCs w:val="24"/>
        </w:rPr>
      </w:pPr>
      <w:r>
        <w:rPr>
          <w:rStyle w:val="FootnoteReference"/>
        </w:rPr>
        <w:footnoteRef/>
      </w:r>
      <w:r>
        <w:tab/>
        <w:t>Podľa článku 54 ods. 2 písm. a) alebo b) nariadenia o rozpočtových pravidlách.</w:t>
      </w:r>
    </w:p>
  </w:footnote>
  <w:footnote w:id="9">
    <w:p>
      <w:pPr>
        <w:pStyle w:val="FootnoteText"/>
        <w:rPr>
          <w:szCs w:val="24"/>
        </w:rPr>
      </w:pPr>
      <w:r>
        <w:rPr>
          <w:rStyle w:val="FootnoteReference"/>
        </w:rPr>
        <w:footnoteRef/>
      </w:r>
      <w:r>
        <w:tab/>
        <w:t xml:space="preserve">Vysvetlenie spôsobov riadenia a odkazy na nariadenie o rozpočtových pravidlách sú k dispozícii na webovej stránke BudgWeb: </w:t>
      </w:r>
      <w:hyperlink r:id="rId1">
        <w:r>
          <w:rPr>
            <w:rStyle w:val="Hyperlink"/>
            <w:sz w:val="18"/>
          </w:rPr>
          <w:t>http://www.cc.cec/budg/man/budgmanag/budgmanag_en.html</w:t>
        </w:r>
      </w:hyperlink>
      <w:r>
        <w:rPr>
          <w:rStyle w:val="Hyperlink"/>
          <w:sz w:val="18"/>
        </w:rPr>
        <w:t>.</w:t>
      </w:r>
    </w:p>
  </w:footnote>
  <w:footnote w:id="10">
    <w:p>
      <w:pPr>
        <w:pStyle w:val="FootnoteText"/>
        <w:rPr>
          <w:szCs w:val="24"/>
        </w:rPr>
      </w:pPr>
      <w:r>
        <w:rPr>
          <w:rStyle w:val="FootnoteReference"/>
        </w:rPr>
        <w:footnoteRef/>
      </w:r>
      <w:r>
        <w:tab/>
        <w:t>DRP = diferencované rozpočtové prostriedky/NRP = nediferencované rozpočtové prostriedky.</w:t>
      </w:r>
    </w:p>
  </w:footnote>
  <w:footnote w:id="11">
    <w:p>
      <w:pPr>
        <w:pStyle w:val="FootnoteText"/>
        <w:rPr>
          <w:szCs w:val="24"/>
        </w:rPr>
      </w:pPr>
      <w:r>
        <w:rPr>
          <w:rStyle w:val="FootnoteReference"/>
        </w:rPr>
        <w:footnoteRef/>
      </w:r>
      <w:r>
        <w:tab/>
        <w:t xml:space="preserve">EZVO: Európske združenie voľného obchodu. </w:t>
      </w:r>
    </w:p>
  </w:footnote>
  <w:footnote w:id="12">
    <w:p>
      <w:pPr>
        <w:pStyle w:val="FootnoteText"/>
        <w:rPr>
          <w:szCs w:val="24"/>
        </w:rPr>
      </w:pPr>
      <w:r>
        <w:rPr>
          <w:rStyle w:val="FootnoteReference"/>
        </w:rPr>
        <w:footnoteRef/>
      </w:r>
      <w:r>
        <w:tab/>
        <w:t>Kandidátske krajiny a prípadne potenciálne kandidátske krajiny západného Balkánu.</w:t>
      </w:r>
    </w:p>
  </w:footnote>
  <w:footnote w:id="13">
    <w:p>
      <w:pPr>
        <w:pStyle w:val="FootnoteText"/>
      </w:pPr>
      <w:r>
        <w:rPr>
          <w:rStyle w:val="FootnoteReference"/>
        </w:rPr>
        <w:footnoteRef/>
      </w:r>
      <w:r>
        <w:tab/>
        <w:t>V súlade s článkom 136 nariadenia (EÚ) č. 1303/2013 zálohové platby musia byť zúčtované na základe výdavkov v rámci iniciatívy na podporu zamestnanosti mladých ľudí vykázaných do 31. 12. 2018.</w:t>
      </w:r>
    </w:p>
  </w:footnote>
  <w:footnote w:id="14">
    <w:p>
      <w:pPr>
        <w:pStyle w:val="FootnoteText"/>
        <w:rPr>
          <w:szCs w:val="24"/>
        </w:rPr>
      </w:pPr>
      <w:r>
        <w:rPr>
          <w:rStyle w:val="FootnoteReference"/>
        </w:rPr>
        <w:footnoteRef/>
      </w:r>
      <w:r>
        <w:tab/>
        <w:t>Technická a/alebo administratívna pomoc a výdavky určené na financovanie implementácie programov a/alebo akcií Európskej únie (pôvodné rozpočtové riadky „BA“), nepriamy výskum, priamy výskum.</w:t>
      </w:r>
    </w:p>
  </w:footnote>
  <w:footnote w:id="15">
    <w:p>
      <w:pPr>
        <w:pStyle w:val="FootnoteText"/>
        <w:rPr>
          <w:szCs w:val="24"/>
        </w:rPr>
      </w:pPr>
      <w:r>
        <w:rPr>
          <w:rStyle w:val="FootnoteReference"/>
        </w:rPr>
        <w:footnoteRef/>
      </w:r>
      <w:r>
        <w:tab/>
        <w:t>Rok N je rokom, v ktorom sa návrh/iniciatíva začína uskutočňovať.</w:t>
      </w:r>
    </w:p>
  </w:footnote>
  <w:footnote w:id="16">
    <w:p>
      <w:pPr>
        <w:pStyle w:val="FootnoteText"/>
        <w:rPr>
          <w:szCs w:val="24"/>
        </w:rPr>
      </w:pPr>
      <w:r>
        <w:rPr>
          <w:rStyle w:val="FootnoteReference"/>
        </w:rPr>
        <w:footnoteRef/>
      </w:r>
      <w:r>
        <w:tab/>
        <w:t>Výstupy znamenajú dodané produkty a služby (napr.: počet financovaných výmen študentov, vybudované cesty v km atď.).</w:t>
      </w:r>
    </w:p>
  </w:footnote>
  <w:footnote w:id="17">
    <w:p>
      <w:pPr>
        <w:pStyle w:val="FootnoteText"/>
        <w:rPr>
          <w:szCs w:val="24"/>
        </w:rPr>
      </w:pPr>
      <w:r>
        <w:rPr>
          <w:rStyle w:val="FootnoteReference"/>
        </w:rPr>
        <w:footnoteRef/>
      </w:r>
      <w:r>
        <w:tab/>
        <w:t xml:space="preserve">Ako je uvedené v bode 1.4.2 „Špecifické ciele...“. </w:t>
      </w:r>
    </w:p>
  </w:footnote>
  <w:footnote w:id="18">
    <w:p>
      <w:pPr>
        <w:pStyle w:val="FootnoteText"/>
        <w:rPr>
          <w:szCs w:val="24"/>
        </w:rPr>
      </w:pPr>
      <w:r>
        <w:rPr>
          <w:rStyle w:val="FootnoteReference"/>
        </w:rPr>
        <w:footnoteRef/>
      </w:r>
      <w:r>
        <w:tab/>
        <w:t>Rok N je rokom, v ktorom sa návrh/iniciatíva začína uskutočňovať.</w:t>
      </w:r>
    </w:p>
  </w:footnote>
  <w:footnote w:id="19">
    <w:p>
      <w:pPr>
        <w:pStyle w:val="FootnoteText"/>
        <w:rPr>
          <w:szCs w:val="24"/>
        </w:rPr>
      </w:pPr>
      <w:r>
        <w:rPr>
          <w:rStyle w:val="FootnoteReference"/>
        </w:rPr>
        <w:footnoteRef/>
      </w:r>
      <w:r>
        <w:tab/>
        <w:t>Technická a/alebo administratívna pomoc a výdavky určené na financovanie implementácie programov a/alebo akcií Európskej únie (pôvodné rozpočtové riadky „BA“), nepriamy výskum, priamy výskum.</w:t>
      </w:r>
    </w:p>
  </w:footnote>
  <w:footnote w:id="20">
    <w:p>
      <w:pPr>
        <w:pStyle w:val="FootnoteText"/>
        <w:rPr>
          <w:szCs w:val="24"/>
        </w:rPr>
      </w:pPr>
      <w:r>
        <w:rPr>
          <w:rStyle w:val="FootnoteReference"/>
        </w:rPr>
        <w:footnoteRef/>
      </w:r>
      <w:r>
        <w:tab/>
        <w:t xml:space="preserve">ZZ = zmluvný zamestnanec; MZ = miestny zamestnanec; VNE = vyslaný národný expert; DAZ = dočasný agentúrny zamestnanec; PED = pomocný expert v delegácii. </w:t>
      </w:r>
    </w:p>
  </w:footnote>
  <w:footnote w:id="21">
    <w:p>
      <w:pPr>
        <w:pStyle w:val="FootnoteText"/>
        <w:rPr>
          <w:szCs w:val="24"/>
        </w:rPr>
      </w:pPr>
      <w:r>
        <w:rPr>
          <w:rStyle w:val="FootnoteReference"/>
        </w:rPr>
        <w:footnoteRef/>
      </w:r>
      <w:r>
        <w:tab/>
        <w:t>Čiastkový strop pre externých zamestnancov financovaných z operačných rozpočtových prostriedkov (pôvodné rozpočtové riadky „BA“).</w:t>
      </w:r>
    </w:p>
  </w:footnote>
  <w:footnote w:id="22">
    <w:p>
      <w:pPr>
        <w:pStyle w:val="FootnoteText"/>
        <w:rPr>
          <w:szCs w:val="24"/>
        </w:rPr>
      </w:pPr>
      <w:r>
        <w:rPr>
          <w:rStyle w:val="FootnoteReference"/>
        </w:rPr>
        <w:footnoteRef/>
      </w:r>
      <w:r>
        <w:tab/>
        <w:t>Pokiaľ ide o tradičné vlastné zdroje (clá, odvody z produkcie cukru), uvedené sumy musia predstavovať čisté sumy, t. j. hrubé sumy po odčítaní 25 % na náklady na výber.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EB608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A4FDC6"/>
    <w:lvl w:ilvl="0">
      <w:start w:val="1"/>
      <w:numFmt w:val="decimal"/>
      <w:pStyle w:val="ListNumber3"/>
      <w:lvlText w:val="%1."/>
      <w:lvlJc w:val="left"/>
      <w:pPr>
        <w:tabs>
          <w:tab w:val="num" w:pos="926"/>
        </w:tabs>
        <w:ind w:left="926" w:hanging="360"/>
      </w:pPr>
    </w:lvl>
  </w:abstractNum>
  <w:abstractNum w:abstractNumId="2">
    <w:nsid w:val="FFFFFF7F"/>
    <w:multiLevelType w:val="singleLevel"/>
    <w:tmpl w:val="B7828F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6786F2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7FA20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35EE51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C00D660"/>
    <w:lvl w:ilvl="0">
      <w:start w:val="1"/>
      <w:numFmt w:val="decimal"/>
      <w:pStyle w:val="ListNumber"/>
      <w:lvlText w:val="%1."/>
      <w:lvlJc w:val="left"/>
      <w:pPr>
        <w:tabs>
          <w:tab w:val="num" w:pos="360"/>
        </w:tabs>
        <w:ind w:left="360" w:hanging="360"/>
      </w:pPr>
    </w:lvl>
  </w:abstractNum>
  <w:abstractNum w:abstractNumId="7">
    <w:nsid w:val="FFFFFF89"/>
    <w:multiLevelType w:val="singleLevel"/>
    <w:tmpl w:val="6F6C06A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18"/>
  </w:num>
  <w:num w:numId="11">
    <w:abstractNumId w:val="17"/>
  </w:num>
  <w:num w:numId="12">
    <w:abstractNumId w:val="13"/>
  </w:num>
  <w:num w:numId="13">
    <w:abstractNumId w:val="25"/>
    <w:lvlOverride w:ilvl="0">
      <w:startOverride w:val="1"/>
    </w:lvlOverride>
  </w:num>
  <w:num w:numId="14">
    <w:abstractNumId w:val="22"/>
  </w:num>
  <w:num w:numId="15">
    <w:abstractNumId w:val="14"/>
  </w:num>
  <w:num w:numId="16">
    <w:abstractNumId w:val="24"/>
  </w:num>
  <w:num w:numId="17">
    <w:abstractNumId w:val="12"/>
  </w:num>
  <w:num w:numId="18">
    <w:abstractNumId w:val="15"/>
  </w:num>
  <w:num w:numId="19">
    <w:abstractNumId w:val="10"/>
  </w:num>
  <w:num w:numId="20">
    <w:abstractNumId w:val="23"/>
  </w:num>
  <w:num w:numId="21">
    <w:abstractNumId w:val="9"/>
  </w:num>
  <w:num w:numId="22">
    <w:abstractNumId w:val="16"/>
  </w:num>
  <w:num w:numId="23">
    <w:abstractNumId w:val="20"/>
  </w:num>
  <w:num w:numId="24">
    <w:abstractNumId w:val="21"/>
  </w:num>
  <w:num w:numId="25">
    <w:abstractNumId w:val="11"/>
  </w:num>
  <w:num w:numId="26">
    <w:abstractNumId w:val="19"/>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7-02 08:56:5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5"/>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6B84FA85-9BAC-431F-88A6-05A094A5111A"/>
    <w:docVar w:name="LW_COVERPAGE_TYPE" w:val="1"/>
    <w:docVar w:name="LW_CROSSREFERENCE" w:val="&lt;UNUSED&gt;"/>
    <w:docVar w:name="LW_DocType" w:val="COM"/>
    <w:docVar w:name="LW_EMISSION" w:val="28. 6. 2018"/>
    <w:docVar w:name="LW_EMISSION_ISODATE" w:val="2018-06-28"/>
    <w:docVar w:name="LW_EMISSION_LOCATION" w:val="BRX"/>
    <w:docVar w:name="LW_EMISSION_PREFIX" w:val="V Bruseli"/>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K"/>
    <w:docVar w:name="LW_LEVEL_OF_SENSITIVITY" w:val="Standard treatment"/>
    <w:docVar w:name="LW_NOM.INST" w:val="EURÓPSKA KOMISIA"/>
    <w:docVar w:name="LW_NOM.INST_JOINTDOC" w:val="&lt;EMPTY&gt;"/>
    <w:docVar w:name="LW_PART_NBR" w:val="1"/>
    <w:docVar w:name="LW_PART_NBR_TOTAL" w:val="1"/>
    <w:docVar w:name="LW_REF.II.NEW.CP" w:val="COD"/>
    <w:docVar w:name="LW_REF.II.NEW.CP_NUMBER" w:val="0265"/>
    <w:docVar w:name="LW_REF.II.NEW.CP_YEAR" w:val="2018"/>
    <w:docVar w:name="LW_REF.INST.NEW" w:val="COM"/>
    <w:docVar w:name="LW_REF.INST.NEW_ADOPTED" w:val="final"/>
    <w:docVar w:name="LW_REF.INST.NEW_TEXT" w:val="(2018) 49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Návrh"/>
    <w:docVar w:name="LW_SUPERTITRE" w:val="&lt;UNUSED&gt;"/>
    <w:docVar w:name="LW_TITRE.OBJ.CP" w:val="ktorým sa mení nariadenie (EÚ) \u269?. 1303/2013, pokia\u318? ide o zdroje na hospodársku, sociálnu a územnú súdr\u382?nos\u357?, a ktorým sa opravuje uvedené nariadenie, pokia\u318? ide o zdroje na cie\u318? Investovanie do rastu a zamestnanosti"/>
    <w:docVar w:name="LW_TYPE.DOC.CP" w:val="NARIADENIE EURÓPSKEHO PARLAMENTU A RADY,"/>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k-SK"/>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2"/>
      </w:numPr>
    </w:pPr>
    <w:rPr>
      <w:rFonts w:eastAsia="Times New Roman"/>
      <w:szCs w:val="20"/>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sk-SK"/>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sk-SK"/>
    </w:rPr>
  </w:style>
  <w:style w:type="character" w:styleId="Hyperlink">
    <w:name w:val="Hyperlink"/>
    <w:basedOn w:val="DefaultParagraphFont"/>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ListBullet1">
    <w:name w:val="List Bullet 1"/>
    <w:basedOn w:val="Normal"/>
    <w:pPr>
      <w:numPr>
        <w:numId w:val="9"/>
      </w:numPr>
    </w:pPr>
    <w:rPr>
      <w:rFonts w:eastAsia="Times New Roman"/>
    </w:rPr>
  </w:style>
  <w:style w:type="paragraph" w:customStyle="1" w:styleId="ListDash1">
    <w:name w:val="List Dash 1"/>
    <w:basedOn w:val="Normal"/>
    <w:pPr>
      <w:numPr>
        <w:numId w:val="10"/>
      </w:numPr>
    </w:pPr>
    <w:rPr>
      <w:rFonts w:eastAsia="Times New Roman"/>
    </w:rPr>
  </w:style>
  <w:style w:type="paragraph" w:customStyle="1" w:styleId="ListDash2">
    <w:name w:val="List Dash 2"/>
    <w:basedOn w:val="Normal"/>
    <w:pPr>
      <w:numPr>
        <w:numId w:val="11"/>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uiPriority w:val="99"/>
    <w:unhideWhenUsed/>
    <w:rPr>
      <w:color w:val="800080"/>
      <w:u w:val="single"/>
    </w:rPr>
  </w:style>
  <w:style w:type="character" w:customStyle="1" w:styleId="apple-converted-space">
    <w:name w:val="apple-converted-space"/>
  </w:style>
  <w:style w:type="paragraph" w:customStyle="1" w:styleId="CM1">
    <w:name w:val="CM1"/>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CM3">
    <w:name w:val="CM3"/>
    <w:basedOn w:val="Normal"/>
    <w:next w:val="Normal"/>
    <w:uiPriority w:val="99"/>
    <w:pPr>
      <w:autoSpaceDE w:val="0"/>
      <w:autoSpaceDN w:val="0"/>
      <w:adjustRightInd w:val="0"/>
      <w:spacing w:before="0" w:after="0"/>
      <w:jc w:val="left"/>
    </w:pPr>
    <w:rPr>
      <w:rFonts w:ascii="EUAlbertina" w:eastAsia="Times New Roman" w:hAnsi="EUAlbertina"/>
    </w:rPr>
  </w:style>
  <w:style w:type="paragraph" w:customStyle="1" w:styleId="doc-ti">
    <w:name w:val="doc-ti"/>
    <w:basedOn w:val="Normal"/>
    <w:pPr>
      <w:spacing w:before="240"/>
      <w:jc w:val="center"/>
    </w:pPr>
    <w:rPr>
      <w:rFonts w:eastAsia="Times New Roman"/>
      <w:b/>
      <w:bCs/>
    </w:rPr>
  </w:style>
  <w:style w:type="paragraph" w:customStyle="1" w:styleId="ListDash">
    <w:name w:val="List Dash"/>
    <w:basedOn w:val="Normal"/>
    <w:pPr>
      <w:numPr>
        <w:numId w:val="12"/>
      </w:numPr>
    </w:pPr>
    <w:rPr>
      <w:rFonts w:eastAsia="Times New Roman"/>
      <w:szCs w:val="20"/>
    </w:rPr>
  </w:style>
  <w:style w:type="character" w:customStyle="1" w:styleId="super">
    <w:name w:val="super"/>
    <w:basedOn w:val="DefaultParagraphFont"/>
    <w:rPr>
      <w:sz w:val="17"/>
      <w:szCs w:val="17"/>
      <w:vertAlign w:val="superscript"/>
    </w:rPr>
  </w:style>
  <w:style w:type="paragraph" w:customStyle="1" w:styleId="normal2">
    <w:name w:val="normal2"/>
    <w:basedOn w:val="Normal"/>
    <w:pPr>
      <w:spacing w:after="0" w:line="312" w:lineRule="atLeast"/>
    </w:pPr>
    <w:rPr>
      <w:rFonts w:eastAsia="Times New Roman"/>
      <w:szCs w:val="24"/>
    </w:rPr>
  </w:style>
  <w:style w:type="character" w:styleId="Strong">
    <w:name w:val="Strong"/>
    <w:basedOn w:val="DefaultParagraphFont"/>
    <w:uiPriority w:val="22"/>
    <w:qFormat/>
    <w:rPr>
      <w:b/>
      <w:bCs/>
    </w:rPr>
  </w:style>
  <w:style w:type="character" w:customStyle="1" w:styleId="bold">
    <w:name w:val="bold"/>
    <w:basedOn w:val="DefaultParagraphFont"/>
    <w:rPr>
      <w:b/>
      <w:bCs/>
    </w:rPr>
  </w:style>
  <w:style w:type="paragraph" w:customStyle="1" w:styleId="ti-grseq-12">
    <w:name w:val="ti-grseq-12"/>
    <w:basedOn w:val="Normal"/>
    <w:pPr>
      <w:spacing w:before="240" w:line="312" w:lineRule="atLeast"/>
    </w:pPr>
    <w:rPr>
      <w:rFonts w:eastAsia="Times New Roman"/>
      <w:b/>
      <w:bCs/>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34940">
      <w:bodyDiv w:val="1"/>
      <w:marLeft w:val="0"/>
      <w:marRight w:val="0"/>
      <w:marTop w:val="0"/>
      <w:marBottom w:val="0"/>
      <w:divBdr>
        <w:top w:val="none" w:sz="0" w:space="0" w:color="auto"/>
        <w:left w:val="none" w:sz="0" w:space="0" w:color="auto"/>
        <w:bottom w:val="none" w:sz="0" w:space="0" w:color="auto"/>
        <w:right w:val="none" w:sz="0" w:space="0" w:color="auto"/>
      </w:divBdr>
    </w:div>
    <w:div w:id="11753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4C69-5CE1-4725-9E18-25328A15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24</Pages>
  <Words>4377</Words>
  <Characters>24688</Characters>
  <Application>Microsoft Office Word</Application>
  <DocSecurity>0</DocSecurity>
  <Lines>2057</Lines>
  <Paragraphs>726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2018-04-10T13:51:00Z</cp:lastPrinted>
  <dcterms:created xsi:type="dcterms:W3CDTF">2018-06-26T11:51:00Z</dcterms:created>
  <dcterms:modified xsi:type="dcterms:W3CDTF">2018-07-02T06:56:00Z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