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93AA030-6641-4F96-A356-7585494A1821" style="width:451.55pt;height:394.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Style w:val="Text1"/>
        <w:ind w:left="0"/>
        <w:rPr>
          <w:noProof/>
        </w:rPr>
      </w:pPr>
      <w:r>
        <w:rPr>
          <w:noProof/>
        </w:rPr>
        <w:t>2017. gada 29. martā Apvienotā Karaliste uz Līguma par Eiropas Savienību 50. panta pamata iesniedza paziņojumu par nodomu no Savienības izstāties. Tātad, ja vien ratificētā izstāšanās līgumā nebūs noteikta cita diena, Savienības primāro un sekundāro tiesību kopums Apvienotajai Karalistei no 2019. gada 30. marta (“izstāšanās diena”) vairs nebūs saistošs. Apvienotā Karaliste kļūs par “trešo valsti”.</w:t>
      </w:r>
    </w:p>
    <w:p>
      <w:pPr>
        <w:pStyle w:val="Text1"/>
        <w:ind w:left="0"/>
        <w:rPr>
          <w:noProof/>
        </w:rPr>
      </w:pPr>
      <w:r>
        <w:rPr>
          <w:noProof/>
        </w:rPr>
        <w:t xml:space="preserve">Ja nebūs izstāšanās līgumā noteikta pārejas režīma, Apvienotajai Karalistei vairs nebūs saistoši ES noteikumi jūras transporta jomā. Viena no jomām, kurās tiks skartas Savienības tiesības, ir tādu organizāciju atzīšana Savienības līmenī, kuras veic dalībvalsts karoga kuģu inspekcijas un apskates (“atzītās organizācijas”). </w:t>
      </w:r>
    </w:p>
    <w:p>
      <w:pPr>
        <w:pStyle w:val="Text1"/>
        <w:ind w:left="0"/>
        <w:rPr>
          <w:noProof/>
        </w:rPr>
      </w:pPr>
      <w:r>
        <w:rPr>
          <w:noProof/>
        </w:rPr>
        <w:t>Konkrēti, Regulas (EK) Nr. 391/2009</w:t>
      </w:r>
      <w:r>
        <w:rPr>
          <w:rStyle w:val="FootnoteReference"/>
          <w:noProof/>
        </w:rPr>
        <w:footnoteReference w:id="1"/>
      </w:r>
      <w:r>
        <w:rPr>
          <w:noProof/>
        </w:rPr>
        <w:t xml:space="preserve"> (“regula”) 8. panta 1. punktā prasīts, lai Komisija kopā ar dalībvalsti, kas iesniegusi sākotnējo organizācijas atzīšanas pieprasījumu, ne retāk kā reizi divos gados novērtē organizācijas, kuras veic kuģu inspekcijas un apskates un kuras Komisija atzinusi ES līmenī (“atzītās organizācijas”). Organizācijas, kuras sākotnēji atzinusi attiecīgā dalībvalsts saskaņā ar iepriekšējiem tiesību aktiem un kurām patlaban ir piešķirta ES atzīšana saskaņā ar regulas 15. panta 1. punktu, būtu jānovērtē tādā pašā veidā. Tādējādi dalībvalsts, kura sākotnēji atzinusi šīs organizācijas saskaņā ar 15. panta 1. punktu, būtu jāuzskata par atbalstītāju dalībvalsti, kura piedalās Komisijas veiktajā novērtēšanā saskaņā ar regulas 8. panta 1. punktu.</w:t>
      </w:r>
    </w:p>
    <w:p>
      <w:pPr>
        <w:pStyle w:val="Text1"/>
        <w:ind w:left="0"/>
        <w:rPr>
          <w:noProof/>
        </w:rPr>
      </w:pPr>
      <w:r>
        <w:rPr>
          <w:noProof/>
        </w:rPr>
        <w:t>Turklāt no regulas 7. un 8. panta izriet, ka nolūkā saglabāt ES atzīšanu atzītajām organizācijām jāturpina nodrošināt regulas I pielikumā noteikto prasību un minimālo kritēriju izpildi. To pārbauda Komisija un atbalstītāja dalībvalsts, pastāvīgi veicot atkārtotu novērtēšanu saskaņā ar 8. panta 1. punktu.</w:t>
      </w:r>
    </w:p>
    <w:p>
      <w:pPr>
        <w:pStyle w:val="Text1"/>
        <w:ind w:left="0"/>
        <w:rPr>
          <w:noProof/>
        </w:rPr>
      </w:pPr>
      <w:r>
        <w:rPr>
          <w:noProof/>
        </w:rPr>
        <w:t>Apvienotajai Karalistei pēc izstāšanās vairs nebūs iespējas piedalīties novērtēšanā, ko saskaņā ar regulas 8. panta 1. punktu veic organizācijām, attiecībā uz kurām Apvienotā Karaliste rīkojas kā atbalstītāja dalībvalsts. Tā rezultātā var tikt apšaubīts minēto organizāciju atzīšanas turpmākais derīgums ES līmenī, un saskaņā ar spēkā esošajiem regulas noteikumiem to nebūs iespējams precizēt ar pietiekamu juridisko noteiktību.</w:t>
      </w:r>
    </w:p>
    <w:p>
      <w:pPr>
        <w:pStyle w:val="Text1"/>
        <w:ind w:left="0"/>
        <w:rPr>
          <w:noProof/>
        </w:rPr>
      </w:pPr>
      <w:r>
        <w:rPr>
          <w:noProof/>
        </w:rPr>
        <w:t>Tas, ka Apvienotās Karalistes izstāšanās rezultātā organizācijas, iespējams, zaudēs ES atzīšanu, var negatīvi ietekmēt to ES 27 dalībvalstu karogu konkurētspēju un piesaistītspēju, kuras pilnvarojušas šīs atzītās organizācijas rīkoties dalībvalsts vārdā, kad tās veic tiesību aktos noteiktās kuģu inspekcijas, apskates un sertifikāciju. Atzītajām organizācijām, kuras skars Apvienotās Karalistes izstāšanās, patlaban ir pilnvarojuma līgumi ar lielāko daļu ES 27 dalībvalstu, bet pēc Apvienotās Karalistes izstāšanās šīs dalībvalstis vairs nevarēs izmantot šo atzīto organizāciju pakalpojumus sava karoga flotes vajadzībām. Kuģu īpašnieki, kas izmanto šo organizāciju pakalpojumus arī klasifikācijas vajadzībām, vienlaikus nonāks grūtas izvēles priekšā — vai nu mainīt kuģu karoga valsti, izvēloties tādas valsts karogu, kas nav ES dalībvalsts, vai uzņemties risku pārkāpt savus pašreizējos privātos līgumus par kuģu klasifikāciju, kuri noslēgti ar attiecīgajām organizācijām.</w:t>
      </w:r>
    </w:p>
    <w:p>
      <w:pPr>
        <w:pStyle w:val="Text1"/>
        <w:ind w:left="0"/>
        <w:rPr>
          <w:noProof/>
        </w:rPr>
      </w:pPr>
      <w:r>
        <w:rPr>
          <w:noProof/>
        </w:rPr>
        <w:lastRenderedPageBreak/>
        <w:t>Šā priekšlikuma mērķis ir uzlabot juridisko noteiktību, garantēt attiecīgo kuģu īpašnieku uzņēmējdarbības nepārtrauktību un saglabāt ES 27 dalībvalstu karogu konkurētspēju.</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Šis priekšlikums vajadzīgs saistībā ar Apvienotās Karalistes izstāšanos no Savienības, un tā darbības joma aprobežojas ar attiecīgo seku novēršanu. Regulas galvenie politiskie mērķi nemainās.</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Šis priekšlikums pilnībā saskan ar Padomes pilnvarojumu sarunām ar Apvienoto Karalisti par tās izstāšanos no Savienības.</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Priekšlikuma pamatā ir LESD 100. panta 2. punkts.</w:t>
      </w:r>
    </w:p>
    <w:p>
      <w:pPr>
        <w:pStyle w:val="ManualHeading2"/>
        <w:rPr>
          <w:rFonts w:eastAsia="Arial Unicode MS"/>
          <w:noProof/>
          <w:u w:color="000000"/>
          <w:bdr w:val="nil"/>
        </w:rPr>
      </w:pPr>
      <w:r>
        <w:rPr>
          <w:noProof/>
        </w:rPr>
        <w:t>•</w:t>
      </w:r>
      <w:r>
        <w:rPr>
          <w:noProof/>
        </w:rPr>
        <w:tab/>
        <w:t>Subsidiaritāte (neekskluzīvas kompetences gadījumā)</w:t>
      </w:r>
    </w:p>
    <w:p>
      <w:pPr>
        <w:pBdr>
          <w:top w:val="nil"/>
          <w:left w:val="nil"/>
          <w:bottom w:val="nil"/>
          <w:right w:val="nil"/>
          <w:between w:val="nil"/>
          <w:bar w:val="nil"/>
        </w:pBdr>
        <w:spacing w:before="0" w:after="240"/>
        <w:rPr>
          <w:rFonts w:eastAsia="Arial Unicode MS"/>
          <w:noProof/>
        </w:rPr>
      </w:pPr>
      <w:r>
        <w:rPr>
          <w:noProof/>
        </w:rPr>
        <w:t>Tā kā ierosinātais akts grozītu esoša Savienības akta saturu, tas panākams tikai ar rīcību Savienības līmenī.</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Priekšlikums uzskatāms par proporcionālu, jo tas nodrošina nepieciešamās tiesiskā regulējuma izmaiņas, bet nesniedzas tālāk kā nepieciešams, lai īstenotu mērķi novērst juridisko nenoteiktību, ko rada Apvienotās Karalistes izstāšanās no Savienības. Tas paredz tiesību akta grozījumus, kas vajadzīgi, lai aizsargātu ES 27 dalībvalstu karogu konkurētspēju.</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Ņemot vērā to, ka ar aktu tiek grozīta Eiropas Parlamenta un Padomes regula, ierosinātais grozījums ir vienīgais atbilstīgais veids.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u w:color="000000"/>
          <w:bdr w:val="nil"/>
        </w:rPr>
        <w:t>Ex post</w:t>
      </w:r>
      <w:r>
        <w:rPr>
          <w:noProof/>
        </w:rPr>
        <w:t xml:space="preserve"> izvērtējumi / spēkā esošo tiesību aktu atbilstības pārbaudes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Ieinteresēto personu uzmanība problēmām, kas attiecas uz atkārtotas novērtēšanas procesu saistībā ar Apvienotās Karalistes izstāšanos no Savienības, pievērsta Komisijas paziņojumā par jūras transportu</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Attiecīgajām ieinteresētajām personām un dalībvalstīm tika dota iespēja divu nedēļu laikā sniegt atsauksmes par ierosināto iniciatīvu Eiropas Komisijas Labāka regulējuma portālā (“Izsakiet savu viedokli!”).</w:t>
      </w:r>
    </w:p>
    <w:p>
      <w:pPr>
        <w:pBdr>
          <w:top w:val="nil"/>
          <w:left w:val="nil"/>
          <w:bottom w:val="nil"/>
          <w:right w:val="nil"/>
          <w:between w:val="nil"/>
          <w:bar w:val="nil"/>
        </w:pBdr>
        <w:spacing w:before="0" w:after="240"/>
        <w:rPr>
          <w:noProof/>
        </w:rPr>
      </w:pPr>
      <w:r>
        <w:rPr>
          <w:noProof/>
        </w:rPr>
        <w:t>Atsauksmju sniegšanai atvēlētajā laikā no 2018. gada 28. jūnija līdz 12. jūlijam piezīmes iesniedza viena ieinteresētā persona. Kopumā tika atzinīgi novērtēts nolūks ar ierosinātās iniciatīvas palīdzību radīt lielāku juridisko noteiktību un skaidrību un saglabāt ES 27 dalībvalstu kuģu īpašnieku konkurētspēju. Atsauksme tika ņemta vērā priekšlikuma sagatavošanā, ciktāl tā uz to attiecās.</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No ieinteresētajām personām un dalībvalstīm, kā arī no Eiropas Jūras drošības aģentūras tika lūgtas atsauksmes un tehniskās zināšanas. Priekšlikuma pamatā bija arī juridiskā analīze par Apvienotās Karalistes izstāšanās sekām politikas jomā, kas attiecas uz atzītajām organizācijām.</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Saskaņā ar Labāka regulējuma vadlīnijām ietekmes novērtējums nav vajadzīgs, jo nav gaidāms, ka paredzētajam pasākumam būs nozīmīga ietekme, un nav pieejami nekādi citi politikas risinājumi, kas būtiski atšķiras no ierosinātā.</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Šis priekšlikums neietekmē pamattiesību aizsardzību.</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pPr>
      <w:r>
        <w:rPr>
          <w:noProof/>
        </w:rPr>
        <w:t>Lai varētu izvērtēt, vai šī iniciatīva ir sasniegusi izvirzīto mērķi, neradot neparedzētu ietekmi uz konkurenci, priekšlikuma 2. pantā ir ieviesta pārskatīšanas klauzula.</w:t>
      </w:r>
    </w:p>
    <w:p>
      <w:pPr>
        <w:pStyle w:val="ManualHeading2"/>
        <w:rPr>
          <w:rFonts w:eastAsia="Arial Unicode MS"/>
          <w:noProof/>
          <w:u w:color="000000"/>
          <w:bdr w:val="nil"/>
        </w:rPr>
      </w:pPr>
      <w:r>
        <w:rPr>
          <w:noProof/>
        </w:rPr>
        <w:t>•</w:t>
      </w:r>
      <w:r>
        <w:rPr>
          <w:noProof/>
        </w:rPr>
        <w:tab/>
        <w:t>Detalizēts konkrētu priekšlikuma noteikumu skaidrojums</w:t>
      </w:r>
    </w:p>
    <w:p>
      <w:pPr>
        <w:pBdr>
          <w:top w:val="nil"/>
          <w:left w:val="nil"/>
          <w:bottom w:val="nil"/>
          <w:right w:val="nil"/>
          <w:between w:val="nil"/>
          <w:bar w:val="nil"/>
        </w:pBdr>
        <w:spacing w:before="0" w:after="240"/>
        <w:rPr>
          <w:noProof/>
        </w:rPr>
      </w:pPr>
      <w:r>
        <w:rPr>
          <w:noProof/>
        </w:rPr>
        <w:t>Priekšlikuma mērķis ir novērst juridisko nenoteiktību, ko Apvienotās Karalistes izstāšanās rada saistībā ar to organizāciju atzīšanas turpmāko derīgumu, attiecībā uz kurām Apvienotā Karaliste rīkojas kā atbalstītāja dalībvalsts, kas piedalās Komisijas veiktajā novērtēšanā. Tas ļautu turpināt esošās vienošanās starp minētajām organizācijām un ES 27 dalībvalstīm, kas parakstījušas pilnvarojuma līgumus, tādējādi ļaujot minētajām organizācijām veikt kuģu inspekcijas un apskates dalībvalstu vārdā, saglabājot pastāvīgu drošību.</w:t>
      </w:r>
    </w:p>
    <w:p>
      <w:pPr>
        <w:pBdr>
          <w:top w:val="nil"/>
          <w:left w:val="nil"/>
          <w:bottom w:val="nil"/>
          <w:right w:val="nil"/>
          <w:between w:val="nil"/>
          <w:bar w:val="nil"/>
        </w:pBdr>
        <w:spacing w:before="0" w:after="240"/>
        <w:rPr>
          <w:noProof/>
        </w:rPr>
      </w:pPr>
      <w:r>
        <w:rPr>
          <w:noProof/>
        </w:rPr>
        <w:t>Ierosinātais leģislatīvais pasākums grozītu regulas 8. panta 1. punktu, patlaban spēkā esošo prasību tikai atbalstītājai dalībvalstij piedalīties Komisijas veiktajā regulārajā novērtēšanā aizstājot ar prasību tajā piedalīties ikkatrai dalībvalstij, kas pilnvarojusi kādu no atzītajām organizācijām. Tas ļautu Komisijai novērtēšanu veikt kopā ar jebkuru dalībvalsti, kas attiecīgo atzīto organizāciju pilnvarojusi rīkoties dalībvalsts vārdā Direktīvas 2009/15/EK</w:t>
      </w:r>
      <w:r>
        <w:rPr>
          <w:rStyle w:val="FootnoteReference"/>
          <w:noProof/>
        </w:rPr>
        <w:footnoteReference w:id="3"/>
      </w:r>
      <w:r>
        <w:rPr>
          <w:noProof/>
        </w:rPr>
        <w:t xml:space="preserve"> 3. panta 2. punkta izpildes nolūkā, ne tikai ar atbalstītāju dalībvalsti.</w:t>
      </w:r>
    </w:p>
    <w:p>
      <w:pPr>
        <w:pBdr>
          <w:top w:val="nil"/>
          <w:left w:val="nil"/>
          <w:bottom w:val="nil"/>
          <w:right w:val="nil"/>
          <w:between w:val="nil"/>
          <w:bar w:val="nil"/>
        </w:pBdr>
        <w:spacing w:before="0" w:after="240"/>
        <w:rPr>
          <w:noProof/>
        </w:rPr>
      </w:pPr>
      <w:r>
        <w:rPr>
          <w:noProof/>
        </w:rPr>
        <w:t>Iepriekš izklāstītais risinājums izvēlēts tāpēc, ka tas ir visefektīvākais un vislietderīgākais veids, kā novērst juridisko nenoteiktību, ko Apvienotās Karalistes izstāšanās rada atzīto organizāciju jomā. Ierosinātais akts juridisko nenoteiktību novērstu, nediskriminējot dalībvalstis, kas pilnvarojušas atzītās organizācijas rīkoties dalībvalstu vārdā.</w:t>
      </w:r>
    </w:p>
    <w:p>
      <w:pPr>
        <w:pBdr>
          <w:top w:val="nil"/>
          <w:left w:val="nil"/>
          <w:bottom w:val="nil"/>
          <w:right w:val="nil"/>
          <w:between w:val="nil"/>
          <w:bar w:val="nil"/>
        </w:pBdr>
        <w:spacing w:before="0" w:after="240"/>
        <w:rPr>
          <w:noProof/>
        </w:rPr>
      </w:pPr>
      <w:r>
        <w:rPr>
          <w:noProof/>
        </w:rPr>
        <w:t xml:space="preserve">Turklāt priekšlikums ļauj īstenot mērķi aizsargāt uzņēmējdarbības nepārtrauktību un to ES 27 dalībvalstu karogu konkurētspēju, kuras sadarbojas ar attiecīgajām organizācijām. </w:t>
      </w:r>
    </w:p>
    <w:p>
      <w:pPr>
        <w:pBdr>
          <w:top w:val="nil"/>
          <w:left w:val="nil"/>
          <w:bottom w:val="nil"/>
          <w:right w:val="nil"/>
          <w:between w:val="nil"/>
          <w:bar w:val="nil"/>
        </w:pBdr>
        <w:spacing w:before="0" w:after="240"/>
      </w:pPr>
      <w:r>
        <w:rPr>
          <w:noProof/>
        </w:rPr>
        <w:t>Regulai būtu tikai jānovērš iespējamās nelabvēlīgās sekas, ko Apvienotās Karalistes izstāšanās no Savienības radītu/izraisītu attiecībā uz ES 27 dalībvalstu karogiem. Komisijai pēc attiecīga/pietiekama piemērošanas perioda būtu jāziņo par regulas ietekmi, īpaši nolūkā apzināt visas sekas, kas varētu pārsniegt šīs regulas darbības jomu.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2018/0298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Regulu (EK) Nr. 391/2009 groza attiecībā uz Apvienotās Karalistes izstāšanos no Savienības</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100.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4"/>
      </w:r>
      <w:r>
        <w:rPr>
          <w:noProof/>
        </w:rPr>
        <w:t>,</w:t>
      </w:r>
    </w:p>
    <w:p>
      <w:pPr>
        <w:rPr>
          <w:noProof/>
        </w:rPr>
      </w:pPr>
      <w:r>
        <w:rPr>
          <w:noProof/>
        </w:rPr>
        <w:t>ņemot vērā Reģionu komitejas atzinumu</w:t>
      </w:r>
      <w:r>
        <w:rPr>
          <w:rStyle w:val="FootnoteReference"/>
          <w:noProof/>
        </w:rPr>
        <w:footnoteReference w:id="5"/>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Apvienotā Karaliste 2017. gada 29. martā uz Līguma par Eiropas Savienību 50. panta pamata iesniedza Eiropadomei paziņojumu par nodomu no Savienības izstāties. Tātad, ja vien izstāšanās līgumā nebūs noteikta cita diena vai Eiropadome, vienojusies ar Apvienoto Karalisti, nebūs vienprātīgi noteikusi citu dienu, no 2019. gada 30. marta Apvienotajai Karalistei vairs nebūs saistošas Savienības tiesības. Apvienotā Karaliste kļūs par “trešo valsti”.</w:t>
      </w:r>
    </w:p>
    <w:p>
      <w:pPr>
        <w:pStyle w:val="ManualConsidrant"/>
        <w:rPr>
          <w:noProof/>
        </w:rPr>
      </w:pPr>
      <w:r>
        <w:t>(2)</w:t>
      </w:r>
      <w:r>
        <w:tab/>
      </w:r>
      <w:r>
        <w:rPr>
          <w:noProof/>
        </w:rPr>
        <w:t>Eiropas Parlamenta un Padomes Regula (EK) Nr. 391/2009</w:t>
      </w:r>
      <w:r>
        <w:rPr>
          <w:rStyle w:val="FootnoteReference"/>
          <w:noProof/>
        </w:rPr>
        <w:footnoteReference w:id="6"/>
      </w:r>
      <w:r>
        <w:rPr>
          <w:noProof/>
        </w:rPr>
        <w:t xml:space="preserve"> un Direktīva 2009/15/EK</w:t>
      </w:r>
      <w:r>
        <w:rPr>
          <w:rStyle w:val="FootnoteReference"/>
          <w:noProof/>
        </w:rPr>
        <w:footnoteReference w:id="7"/>
      </w:r>
      <w:r>
        <w:rPr>
          <w:noProof/>
        </w:rPr>
        <w:t xml:space="preserve"> kopā veido atzīto kuģu inspekcijas, apskates un sertifikācijas organizāciju darbības tiesisko regulējumu.</w:t>
      </w:r>
    </w:p>
    <w:p>
      <w:pPr>
        <w:pStyle w:val="ManualConsidrant"/>
        <w:rPr>
          <w:noProof/>
        </w:rPr>
      </w:pPr>
      <w:r>
        <w:t>(3)</w:t>
      </w:r>
      <w:r>
        <w:tab/>
      </w:r>
      <w:r>
        <w:rPr>
          <w:noProof/>
        </w:rPr>
        <w:t>Saskaņā ar Regulas (EK) Nr. 391/2009 8. panta 1. punktu Komisija kopā ar dalībvalsti, kas iesniegusi attiecīgo organizācijas atzīšanas pieprasījumu, regulāri un ne retāk kā reizi divos gados novērtē organizācijas, kuras veic kuģu inspekcijas un apskates un kuras Komisija atzinusi Savienības līmenī (“atzītās organizācijas”).</w:t>
      </w:r>
    </w:p>
    <w:p>
      <w:pPr>
        <w:pStyle w:val="ManualConsidrant"/>
        <w:rPr>
          <w:noProof/>
        </w:rPr>
      </w:pPr>
      <w:r>
        <w:t>(4)</w:t>
      </w:r>
      <w:r>
        <w:tab/>
      </w:r>
      <w:r>
        <w:rPr>
          <w:noProof/>
        </w:rPr>
        <w:t>Lai nodrošinātu vienlīdzīgu attieksmi, organizācijas, kuras sākotnēji atzinusi attiecīgā dalībvalsts saskaņā ar Padomes Direktīvu 94/57/EK</w:t>
      </w:r>
      <w:r>
        <w:rPr>
          <w:rStyle w:val="FootnoteReference"/>
          <w:noProof/>
        </w:rPr>
        <w:footnoteReference w:id="8"/>
      </w:r>
      <w:r>
        <w:rPr>
          <w:noProof/>
        </w:rPr>
        <w:t xml:space="preserve"> un kurām patlaban piešķirta Savienības atzīšana saskaņā ar Regulas (EK) Nr. 391/2009 15. panta 1. punktu, Komisijai būtu jānovērtē kopā ar dalībvalsti, kura sākotnēji atzinusi minētās organizācijas.</w:t>
      </w:r>
    </w:p>
    <w:p>
      <w:pPr>
        <w:pStyle w:val="ManualConsidrant"/>
        <w:rPr>
          <w:noProof/>
        </w:rPr>
      </w:pPr>
      <w:r>
        <w:t>(5)</w:t>
      </w:r>
      <w:r>
        <w:tab/>
      </w:r>
      <w:r>
        <w:rPr>
          <w:noProof/>
        </w:rPr>
        <w:t>Regulas (EK) Nr. 391/2009 7. un 8. pantā noteikts, ka nolūkā saglabāt Savienības atzīšanu atzītajām organizācijām jāturpina nodrošināt minētās regulas I pielikumā noteikto prasību un minimālo kritēriju izpildi. To pārbauda Komisija, kopā ar attiecīgo dalībvalsti veicot pastāvīgu novērtēšanu saskaņā ar Regulas (EK) Nr. 391/2009 8. panta 1. punktu. Tāpēc regulāra novērtēšana ir svarīga nolūkā saglabāt organizāciju atzīšanu.</w:t>
      </w:r>
    </w:p>
    <w:p>
      <w:pPr>
        <w:pStyle w:val="ManualConsidrant"/>
        <w:rPr>
          <w:noProof/>
        </w:rPr>
      </w:pPr>
      <w:r>
        <w:t>(6)</w:t>
      </w:r>
      <w:r>
        <w:tab/>
      </w:r>
      <w:r>
        <w:rPr>
          <w:noProof/>
        </w:rPr>
        <w:t>Apvienotajai Karalistei pēc izstāšanās no Savienības vairs nebūs iespējas piedalīties novērtēšanā, ko veic saskaņā ar Regulas (EK) Nr. 391/2009 8. panta 1. punktu.</w:t>
      </w:r>
    </w:p>
    <w:p>
      <w:pPr>
        <w:pStyle w:val="ManualConsidrant"/>
        <w:rPr>
          <w:noProof/>
        </w:rPr>
      </w:pPr>
      <w:r>
        <w:t>(7)</w:t>
      </w:r>
      <w:r>
        <w:tab/>
      </w:r>
      <w:r>
        <w:rPr>
          <w:noProof/>
        </w:rPr>
        <w:t>Atzītajām organizācijām, kuras sākotnēji atzinusi Apvienotā Karaliste, patlaban piešķirta Savienības atzīšana, un citas dalībvalstis saskaņā ar Direktīvas 2009/15/EK 3. panta 2. punktu tām uzticējušas pienākumus, kas saistīti ar kuģu inspekciju, apskati un sertifikāciju.</w:t>
      </w:r>
      <w:r>
        <w:rPr>
          <w:noProof/>
          <w:color w:val="FF0000"/>
        </w:rPr>
        <w:t xml:space="preserve"> </w:t>
      </w:r>
      <w:r>
        <w:rPr>
          <w:noProof/>
        </w:rPr>
        <w:t>Tāpēc Regulas (EK) Nr. 391/2009 8. panta 1. punkts ir jāgroza, lai nodrošinātu, ka minētās organizācijas arī turpmāk tiks novērtētas saskaņā ar minētā noteikuma prasībām.</w:t>
      </w:r>
    </w:p>
    <w:p>
      <w:pPr>
        <w:pStyle w:val="ManualConsidrant"/>
        <w:rPr>
          <w:noProof/>
        </w:rPr>
      </w:pPr>
      <w:r>
        <w:t>(8)</w:t>
      </w:r>
      <w:r>
        <w:tab/>
      </w:r>
      <w:r>
        <w:rPr>
          <w:noProof/>
        </w:rPr>
        <w:t>Ir jāņem vērā arī uzraudzības un pārraudzības pienākumi, kas dalībvalstīm patlaban jāpilda saskaņā ar Direktīvas 2009/15/EK 9. pantu. Šajā ziņā atzīto organizāciju novērtēšana saskaņā ar Regulu (EK) Nr. 391/2009 būtu jāveic Komisijai kopā ar dalībvalsti vai dalībvalstīm, kas attiecīgo atzīto organizāciju pilnvarojušas saskaņā ar Direktīvas 2009/15/EK 3. panta 2. punktu.</w:t>
      </w:r>
    </w:p>
    <w:p>
      <w:pPr>
        <w:pStyle w:val="ManualConsidrant"/>
        <w:rPr>
          <w:noProof/>
        </w:rPr>
      </w:pPr>
      <w:r>
        <w:t>(9)</w:t>
      </w:r>
      <w:r>
        <w:tab/>
      </w:r>
      <w:r>
        <w:rPr>
          <w:noProof/>
        </w:rPr>
        <w:t>Šī regula būtu jāpiemēro no nākamās dienas pēc dienas, no kuras Savienības tiesības, un konkrēti Regula (EK) Nr. 391/2009, Apvienotajai Karalistei vairs nav saistošas,</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Regulas (EK) Nr. 391/2009 8. panta 1. punktu aizstāj ar šādu:</w:t>
      </w:r>
    </w:p>
    <w:p>
      <w:pPr>
        <w:rPr>
          <w:noProof/>
        </w:rPr>
      </w:pPr>
      <w:r>
        <w:rPr>
          <w:noProof/>
        </w:rPr>
        <w:t>“1. Komisija kopā ar dalībvalsti vai dalībvalstīm, kas atzītās organizācijas pilnvarojušas saskaņā ar Direktīvas 2009/15/EK 3. panta 2. punktu, regulāri un ne retāk kā reizi divos gados novērtē visas atzītās organizācijas, lai pārliecinātos, ka tās pilda pienākumus saskaņā ar šo regulu un atbilst I pielikumā izklāstītajiem minimālajiem kritērijiem. Novērtē tikai tās atzīto organizāciju darbības, uz kurām attiecas šīs regulas darbības joma.”</w:t>
      </w:r>
    </w:p>
    <w:p>
      <w:pPr>
        <w:pStyle w:val="Titrearticle"/>
        <w:rPr>
          <w:noProof/>
        </w:rPr>
      </w:pPr>
      <w:r>
        <w:rPr>
          <w:noProof/>
        </w:rPr>
        <w:t>2. pants</w:t>
      </w:r>
    </w:p>
    <w:p>
      <w:pPr>
        <w:rPr>
          <w:noProof/>
        </w:rPr>
      </w:pPr>
      <w:r>
        <w:rPr>
          <w:noProof/>
        </w:rPr>
        <w:t>Komisija ne vēlāk kā trīs gadus pēc šīs regulas piemērošanas sākuma ziņo Eiropas Parlamentam un Padomei par šīs regulas ietekmi.</w:t>
      </w:r>
    </w:p>
    <w:p>
      <w:pPr>
        <w:pStyle w:val="Titrearticle"/>
        <w:rPr>
          <w:noProof/>
        </w:rPr>
      </w:pPr>
      <w:r>
        <w:rPr>
          <w:noProof/>
        </w:rPr>
        <w:t>3. pants</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To piemēro no nākamās dienas pēc dienas, no kuras Savienības tiesības Apvienotajai Karalistei vairs nav saistošas.</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Eiropas Parlamenta un Padomes 2009. gada 23. aprīļa Regula (EK) Nr. 391/2009 par kopīgiem noteikumiem un standartiem attiecībā uz organizācijām, kas pilnvarotas veikt kuģu inspekcijas un apskates (OV L 131, 28.5.2009., 11. lpp.).</w:t>
      </w:r>
    </w:p>
  </w:footnote>
  <w:footnote w:id="2">
    <w:p>
      <w:pPr>
        <w:pStyle w:val="FootnoteText"/>
      </w:pPr>
      <w:r>
        <w:rPr>
          <w:rStyle w:val="FootnoteReference"/>
        </w:rPr>
        <w:footnoteRef/>
      </w:r>
      <w:r>
        <w:tab/>
        <w:t>“Paziņojums ieinteresētajām personām — Apvienotās Karalistes izstāšanās un ES noteikumi jūras transporta jomā”</w:t>
      </w:r>
    </w:p>
    <w:p>
      <w:pPr>
        <w:pStyle w:val="FootnoteText"/>
      </w:pPr>
      <w:hyperlink r:id="rId1">
        <w:r>
          <w:rPr>
            <w:rStyle w:val="Hyperlink"/>
          </w:rPr>
          <w:t>https://ec.europa.eu/transport/sites/transport/files/legislation/brexit-notice-to-stakeholders-maritime-transport.pdf</w:t>
        </w:r>
      </w:hyperlink>
    </w:p>
  </w:footnote>
  <w:footnote w:id="3">
    <w:p>
      <w:pPr>
        <w:pStyle w:val="FootnoteText"/>
        <w:ind w:left="142" w:hanging="142"/>
      </w:pPr>
      <w:r>
        <w:rPr>
          <w:rStyle w:val="FootnoteReference"/>
        </w:rPr>
        <w:footnoteRef/>
      </w:r>
      <w:r>
        <w:tab/>
        <w:t>Eiropas Parlamenta un Padomes 2009. gada 23. aprīļa Direktīva 2009/15/EK par kopīgiem noteikumiem un standartiem attiecībā uz organizācijām, kas pilnvarotas veikt kuģu inspekcijas un apskates, un attiecīgajām darbībām, kuras veic valsts administrācijas jūras lietu jomā (OV L 131, 28.5.2009., 47. lpp.).</w:t>
      </w:r>
    </w:p>
  </w:footnote>
  <w:footnote w:id="4">
    <w:p>
      <w:pPr>
        <w:pStyle w:val="FootnoteText"/>
      </w:pPr>
      <w:r>
        <w:rPr>
          <w:rStyle w:val="FootnoteReference"/>
        </w:rPr>
        <w:footnoteRef/>
      </w:r>
      <w:r>
        <w:tab/>
        <w:t>OV C , , . lpp.</w:t>
      </w:r>
    </w:p>
  </w:footnote>
  <w:footnote w:id="5">
    <w:p>
      <w:pPr>
        <w:pStyle w:val="FootnoteText"/>
      </w:pPr>
      <w:r>
        <w:rPr>
          <w:rStyle w:val="FootnoteReference"/>
        </w:rPr>
        <w:footnoteRef/>
      </w:r>
      <w:r>
        <w:tab/>
        <w:t>OV C , , . lpp.</w:t>
      </w:r>
    </w:p>
  </w:footnote>
  <w:footnote w:id="6">
    <w:p>
      <w:pPr>
        <w:pStyle w:val="FootnoteText"/>
        <w:ind w:left="142" w:hanging="142"/>
      </w:pPr>
      <w:r>
        <w:rPr>
          <w:rStyle w:val="FootnoteReference"/>
        </w:rPr>
        <w:footnoteRef/>
      </w:r>
      <w:r>
        <w:tab/>
        <w:t>Eiropas Parlamenta un Padomes 2009. gada 23. aprīļa Regula (EK) Nr. 391/2009 par kopīgiem noteikumiem un standartiem attiecībā uz organizācijām, kas pilnvarotas veikt kuģu inspekcijas un apskates (OV L 131, 28.5.2009., 11. lpp.).</w:t>
      </w:r>
    </w:p>
  </w:footnote>
  <w:footnote w:id="7">
    <w:p>
      <w:pPr>
        <w:pStyle w:val="FootnoteText"/>
        <w:ind w:left="142" w:hanging="142"/>
      </w:pPr>
      <w:r>
        <w:rPr>
          <w:rStyle w:val="FootnoteReference"/>
        </w:rPr>
        <w:footnoteRef/>
      </w:r>
      <w:r>
        <w:tab/>
        <w:t>Eiropas Parlamenta un Padomes 2009. gada 23. aprīļa Direktīva 2009/15/EK par kopīgiem noteikumiem un standartiem attiecībā uz organizācijām, kas pilnvarotas veikt kuģu inspekcijas un apskates, un attiecīgajām darbībām, kuras veic valsts administrācijas jūras lietu jomā (OV L 131, 28.5.2009., 47. lpp.).</w:t>
      </w:r>
    </w:p>
  </w:footnote>
  <w:footnote w:id="8">
    <w:p>
      <w:pPr>
        <w:pStyle w:val="FootnoteText"/>
      </w:pPr>
      <w:r>
        <w:rPr>
          <w:rStyle w:val="FootnoteReference"/>
        </w:rPr>
        <w:footnoteRef/>
      </w:r>
      <w:r>
        <w:tab/>
        <w:t>Padomes 1994. gada 22. novembra Direktīva 94/57/EK par kopīgiem noteikumiem un standartiem attiecībā uz organizācijām, kas pilnvarotas veikt kuģu pārbaudes un apsekojumus, un attiecīgajām darbībām, kuras veic valsts administrācijas jūras lietu jomā (OV L 319, 12.12.1994., 20.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AA1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69A6B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6F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26E78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A0C5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0AB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1EE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BBD8E7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6 07:22: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3AA030-6641-4F96-A356-7585494A1821"/>
    <w:docVar w:name="LW_COVERPAGE_TYPE" w:val="1"/>
    <w:docVar w:name="LW_CROSSREFERENCE" w:val="&lt;UNUSED&gt;"/>
    <w:docVar w:name="LW_DocType" w:val="COM"/>
    <w:docVar w:name="LW_EMISSION" w:val="1.8.2018"/>
    <w:docVar w:name="LW_EMISSION_ISODATE" w:val="2018-08-01"/>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98"/>
    <w:docVar w:name="LW_REF.II.NEW.CP_YEAR" w:val="2018"/>
    <w:docVar w:name="LW_REF.INST.NEW" w:val="COM"/>
    <w:docVar w:name="LW_REF.INST.NEW_ADOPTED" w:val="final"/>
    <w:docVar w:name="LW_REF.INST.NEW_TEXT" w:val="(2018) 5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Regulu (EK) Nr. 391/2009 groza attiec\u299?b\u257? uz Apvienot\u257?s Karalistes izst\u257?\u353?anos no Savien\u299?bas"/>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2506">
      <w:bodyDiv w:val="1"/>
      <w:marLeft w:val="0"/>
      <w:marRight w:val="0"/>
      <w:marTop w:val="0"/>
      <w:marBottom w:val="0"/>
      <w:divBdr>
        <w:top w:val="none" w:sz="0" w:space="0" w:color="auto"/>
        <w:left w:val="none" w:sz="0" w:space="0" w:color="auto"/>
        <w:bottom w:val="none" w:sz="0" w:space="0" w:color="auto"/>
        <w:right w:val="none" w:sz="0" w:space="0" w:color="auto"/>
      </w:divBdr>
    </w:div>
    <w:div w:id="1565723284">
      <w:bodyDiv w:val="1"/>
      <w:marLeft w:val="0"/>
      <w:marRight w:val="0"/>
      <w:marTop w:val="0"/>
      <w:marBottom w:val="0"/>
      <w:divBdr>
        <w:top w:val="none" w:sz="0" w:space="0" w:color="auto"/>
        <w:left w:val="none" w:sz="0" w:space="0" w:color="auto"/>
        <w:bottom w:val="none" w:sz="0" w:space="0" w:color="auto"/>
        <w:right w:val="none" w:sz="0" w:space="0" w:color="auto"/>
      </w:divBdr>
    </w:div>
    <w:div w:id="17828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sites/transport/files/legislation/brexit-notice-to-stakeholders-maritime-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E51D-F99D-4FB9-98B6-8119760D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1703</Words>
  <Characters>11548</Characters>
  <Application>Microsoft Office Word</Application>
  <DocSecurity>0</DocSecurity>
  <Lines>199</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2018-07-05T08:30:00Z</cp:lastPrinted>
  <dcterms:created xsi:type="dcterms:W3CDTF">2018-07-25T11:52:00Z</dcterms:created>
  <dcterms:modified xsi:type="dcterms:W3CDTF">2018-07-26T05:22:00Z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