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575FD7-BBAA-4E3D-B803-0BAA89878649"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Style w:val="Text1"/>
        <w:ind w:left="0"/>
        <w:rPr>
          <w:noProof/>
        </w:rPr>
      </w:pPr>
      <w:r>
        <w:rPr>
          <w:noProof/>
        </w:rPr>
        <w:t>2017 m. kovo 29 d. Jungtinė Karalystė pranešė apie savo ketinimą išstoti iš Sąjungos pagal Europos Sąjungos sutarties 50 straipsnį. Tai reiškia, kad, jei ratifikuotame susitarime dėl išstojimo nebus nustatyta kita data, visa Sąjungos pirminė ir antrinė teisė nebebus taikoma Jungtinei Karalystei nuo 2019 m. kovo 30 d. (toliau – išstojimo diena). Taigi Jungtinė Karalystė taps trečiąja šalimi.</w:t>
      </w:r>
    </w:p>
    <w:p>
      <w:pPr>
        <w:pStyle w:val="Text1"/>
        <w:ind w:left="0"/>
        <w:rPr>
          <w:noProof/>
        </w:rPr>
      </w:pPr>
      <w:r>
        <w:rPr>
          <w:noProof/>
        </w:rPr>
        <w:t xml:space="preserve">Atsižvelgiant į pereinamojo laikotarpio priemones, kurios gali būti įtrauktos į susitarimą dėl išstojimo, Jungtinei Karalystei nebebus taikomi jūrų transporto srities ES teisės aktai. Viena iš Sąjungos teisės sričių, kuriai turėtų poveikį susitarimas dėl išstojimo, – su valstybių narių vėliavomis plaukiojančių laivų patikrinimo ir apžiūros paslaugas teikiančių organizacijų (toliau – pripažintos organizacijos) pripažinimas Sąjungos lygmeniu. </w:t>
      </w:r>
    </w:p>
    <w:p>
      <w:pPr>
        <w:pStyle w:val="Text1"/>
        <w:ind w:left="0"/>
        <w:rPr>
          <w:noProof/>
        </w:rPr>
      </w:pPr>
      <w:r>
        <w:rPr>
          <w:noProof/>
        </w:rPr>
        <w:t>Visų pirma Reglamento (EB) Nr. 391/2009</w:t>
      </w:r>
      <w:r>
        <w:rPr>
          <w:rStyle w:val="FootnoteReference"/>
          <w:noProof/>
        </w:rPr>
        <w:footnoteReference w:id="1"/>
      </w:r>
      <w:r>
        <w:rPr>
          <w:noProof/>
        </w:rPr>
        <w:t xml:space="preserve"> (toliau – reglamentas) 8 straipsnio 1 dalyje reikalaujama, kad Komisija kartu su valstybe nare, pateikusia pirminį prašymą suteikti organizacijai pripažinimą, ne rečiau kaip kartą per dvejus metus atliktų Komisijos ES lygmeniu pripažintų laivų patikrinimo ir apžiūros organizacijų vertinimą. Taip turėtų būti vertinamos ir organizacijos, kurioms pirminį pripažinimą pagal ankstesnius teisės aktus suteikė atitinkama valstybė narė ir kurios šiuo metu yra pripažįstamos ES lygmeniu pagal reglamento 15 straipsnio 1 dalį. Taigi pirminį pripažinimą šioms organizacijoms pagal 15 straipsnio 1 dalį suteikusi valstybė narė turėtų būti laikoma talkinančia valstybe nare, dalyvaujančia Komisijos pagal reglamento 8 straipsnio 1 dalį atliekamame vertinime.</w:t>
      </w:r>
    </w:p>
    <w:p>
      <w:pPr>
        <w:pStyle w:val="Text1"/>
        <w:ind w:left="0"/>
        <w:rPr>
          <w:noProof/>
        </w:rPr>
      </w:pPr>
      <w:r>
        <w:rPr>
          <w:noProof/>
        </w:rPr>
        <w:t>Be to, iš reglamento 7 ir 8 straipsnių matyti, kad, norėdamos išsaugoti ES pripažinimą, pripažintos organizacijos privalo toliau atitikti reglamento I priede nustatytus reikalavimus ir būtiniausius kriterijus. Šią atitiktį Komisija ir jai talkinanti valstybė narė tikrina pagal 8 straipsnio 1 dalį atlikdamos nuolatinį pakartotinį vertinimą.</w:t>
      </w:r>
    </w:p>
    <w:p>
      <w:pPr>
        <w:pStyle w:val="Text1"/>
        <w:ind w:left="0"/>
        <w:rPr>
          <w:noProof/>
        </w:rPr>
      </w:pPr>
      <w:r>
        <w:rPr>
          <w:noProof/>
        </w:rPr>
        <w:t>Nuo išstojimo dienos Jungtinė Karalystė nebegalės dalyvauti pagal reglamento 8 straipsnio 1 dalį atliekame organizacijų, kurias vertinant ji atlieka talkinančios valstybės narės vaidmenį, vertinime. Todėl galėtų kilti klausimas dėl šių organizacijų pripažinimo ES lygmeniu galiojimo tęstinumo ir pagal dabartines reglamento nuostatas jis negalėtų būti išaiškintas suteikiant pakankamai teisinio tikrumo.</w:t>
      </w:r>
    </w:p>
    <w:p>
      <w:pPr>
        <w:pStyle w:val="Text1"/>
        <w:ind w:left="0"/>
        <w:rPr>
          <w:noProof/>
        </w:rPr>
      </w:pPr>
      <w:r>
        <w:rPr>
          <w:noProof/>
        </w:rPr>
        <w:t>Tikimybė, kad dėl Jungtinės Karalystės išstojimo organizacijos praras ES pripažinimą, galėtų turėti neigiamų padarinių plaukiojimo su 27 ES valstybių narių, įgaliojusių šias pripažintas organizacijas veikti jų vardu atliekant teisės aktais nustatytą laivų patikrinimą, apžiūras ir sertifikavimą, vėliavomis konkurencingumui ir patrauklumui. Susijusios pripažintos organizacijos šiuo metu yra sudariusios įgaliojimo susitarimus su dauguma 27 ES valstybių narių, o po Jungtinės Karalystės išstojimo šios valstybės narės nebegalėtų naudotis šių pripažintų organizacijų teikiamomis paslaugomis. Be to, šių organizacijų paslaugomis klasifikavimo tikslais besinaudojantiems laivų savininkams iškiltų klausimas, ar perregistruoti savo laivus pasirenkant ne ES valstybės narės vėliavą, ar rizikuoti pažeisti su atitinkamomis organizacijomis sudarytas ir šiuo metu galiojančias privačias laivų klasifikavimo sutartis.</w:t>
      </w:r>
    </w:p>
    <w:p>
      <w:pPr>
        <w:pStyle w:val="Text1"/>
        <w:ind w:left="0"/>
        <w:rPr>
          <w:noProof/>
        </w:rPr>
      </w:pPr>
      <w:r>
        <w:rPr>
          <w:noProof/>
        </w:rPr>
        <w:t>Šiuo pasiūlymu siekiama padidinti teisinį tikrumą, užtikrinti susijusių laivų savininkų veiklos tęstinumą ir išlaikyti plaukiojimo su 27 ES valstybių narių vėliavomis konkurencingumą.</w:t>
      </w:r>
    </w:p>
    <w:p>
      <w:pPr>
        <w:pStyle w:val="ManualHeading2"/>
        <w:rPr>
          <w:rFonts w:eastAsia="Arial Unicode MS"/>
          <w:noProof/>
          <w:color w:val="000000"/>
          <w:u w:color="000000"/>
          <w:bdr w:val="nil"/>
        </w:rPr>
      </w:pPr>
      <w:r>
        <w:rPr>
          <w:noProof/>
          <w:color w:val="000000"/>
          <w:u w:color="000000"/>
          <w:bdr w:val="nil"/>
        </w:rPr>
        <w:lastRenderedPageBreak/>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Šis pasiūlymas yra būtinas atsižvelgiant į Jungtinės Karalystės išstojimą iš Sąjungos ir juo siekiama tik pašalinti su tuo susijusius padarinius. Pagrindiniai reglamento politikos tikslai išlieka nepakitę.</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Šis pasiūlymas visiškai atitinka Tarybos įgaliojimus derėtis su Jungtine Karalyste dėl jos išstojimo iš Sąjungos.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Pasiūlymas grindžiamas SESV 100 straipsnio 2 dalimi.</w:t>
      </w:r>
    </w:p>
    <w:p>
      <w:pPr>
        <w:pStyle w:val="ManualHeading2"/>
        <w:rPr>
          <w:rFonts w:eastAsia="Arial Unicode MS"/>
          <w:noProof/>
          <w:u w:color="000000"/>
          <w:bdr w:val="nil"/>
        </w:rPr>
      </w:pPr>
      <w:r>
        <w:rPr>
          <w:noProof/>
        </w:rPr>
        <w:t>•</w:t>
      </w:r>
      <w:r>
        <w:rPr>
          <w:noProof/>
        </w:rPr>
        <w:tab/>
        <w:t>Subsidiarumo principas (neišimtinės kompetencijos atveju)</w:t>
      </w:r>
    </w:p>
    <w:p>
      <w:pPr>
        <w:pBdr>
          <w:top w:val="nil"/>
          <w:left w:val="nil"/>
          <w:bottom w:val="nil"/>
          <w:right w:val="nil"/>
          <w:between w:val="nil"/>
          <w:bar w:val="nil"/>
        </w:pBdr>
        <w:spacing w:before="0" w:after="240"/>
        <w:rPr>
          <w:rFonts w:eastAsia="Arial Unicode MS"/>
          <w:noProof/>
        </w:rPr>
      </w:pPr>
      <w:r>
        <w:rPr>
          <w:noProof/>
        </w:rPr>
        <w:t>Kadangi siūlomu teisės aktu būtų pakeistas šiuo metu galiojančio Sąjungos teisės akto turinys, tai gali būti pasiekta tik Sąjungos lygmens veiksmais.</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Pasiūlymas laikomas proporcingu, nes jame siūlomais būtinais teisiniais pakeitimais neviršijama to, kas būtina tikslui – panaikinti dėl Jungtinės Karalystės išstojimo iš Sąjungos atsiradusį teisinį netikrumą – pasiekti. Jame numatomi reikiami teisiniai pakeitimai, kuriais siekiama apsaugoti plaukiojimo su 27 ES valstybių narių vėliavomis konkurencingumą.</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Kadangi šiuo teisės aktu iš dalies keičiamas Europos Parlamento ir Tarybos reglamentas, siūlomas pakeitimas yra vienintelė tinkama priemonė.</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u w:color="000000"/>
          <w:bdr w:val="nil"/>
        </w:rPr>
        <w:t>ex post</w:t>
      </w:r>
      <w:r>
        <w:rPr>
          <w:noProof/>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Atitinkamų suinteresuotųjų šalių dėmesys į problemas, susijusias su pakartotinio vertinimo procedūra, kurios kyla dėl Jungtinės Karalystės išstojimo iš Sąjungos, atkreiptas Komisijos pranešime dėl jūrų transporto</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Susijusios suinteresuotosios šalys ir valstybės narės turėjo galimybę per dvi savaites pateikti savo atsiliepimus dėl siūlomos iniciatyvos Europos Komisijos geresnio reglamentavimo portale („Pasidalykite savo nuomone“).</w:t>
      </w:r>
    </w:p>
    <w:p>
      <w:pPr>
        <w:pBdr>
          <w:top w:val="nil"/>
          <w:left w:val="nil"/>
          <w:bottom w:val="nil"/>
          <w:right w:val="nil"/>
          <w:between w:val="nil"/>
          <w:bar w:val="nil"/>
        </w:pBdr>
        <w:spacing w:before="0" w:after="240"/>
        <w:rPr>
          <w:noProof/>
        </w:rPr>
      </w:pPr>
      <w:r>
        <w:rPr>
          <w:noProof/>
        </w:rPr>
        <w:lastRenderedPageBreak/>
        <w:t>Per atsiliepimų pateikimo laikotarpį nuo 2018 m. birželio 28 d. iki liepos 12 d. pastabas pateikė viena suinteresuotoji šalis. Apskritai ji palankiai įvertino ketinimą siūloma iniciatyva užtikrinti didesnį teisinį tikrumą bei suteikti daugiau aiškumo ir išlaikyti 27 ES valstybių narių laivų savininkų konkurencingumą. Į atsiliepimus buvo atitinkamai atsižvelgta rengiant pasiūlymą.</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Atsiliepimų ir techninių ekspertinių žinių surinkta iš suinteresuotųjų šalių, valstybių narių ir Europos jūrų saugumo agentūros. Be to, pasiūlymas grindžiamas teisine Jungtinės Karalystės išstojimo padarinių pripažintų organizacijų politikos srityje analize.</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rPr>
        <w:t>Vadovaujantis geresnio reglamentavimo gairėmis, poveikio vertinimo atlikti nereikia, nes nesitikima, kad numatoma priemonė turės reikšmingą poveikį; be to, iš esmės kitokių politikos galimybių, išskyrus siūlomą, nėra.</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Šis pasiūlymas poveikio pagrindinių teisių apsaugai neturi.</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pPr>
      <w:r>
        <w:rPr>
          <w:noProof/>
        </w:rPr>
        <w:t>Siekiant įvertinti, ar dabartinė iniciatyva padeda įgyvendinti minėtą tikslą nesukeldama nenumatytų padarinių konkurencijai, į pasiūlymo 2 straipsnį įtraukta peržiūros nuostata.</w:t>
      </w:r>
    </w:p>
    <w:p>
      <w:pPr>
        <w:pStyle w:val="ManualHeading2"/>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noProof/>
        </w:rPr>
      </w:pPr>
      <w:r>
        <w:rPr>
          <w:noProof/>
        </w:rPr>
        <w:t>Pasiūlymu siekiama pašalinti dėl Jungtinės Karalystės išstojimo atsiradusį teisinį netikrumą, susijusį su organizacijų, kurių atliekamuose Komisijos vertinimuose Jungtinė Karalystė dalyvauja kaip talkinanti valstybė narė, pripažinimo galiojimo tęstinumu. Taip bus sudarytos sąlygos toms organizacijoms ir 27 ES valstybėms narėms, pasirašiusioms įgaliojimo susitarimus, toliau taikyti šiuo metu galiojančias tarpusavyje sutartas priemones, taigi, šios organizacijos galės valstybių narių vardu atlikti laivų patikrinimą ir apžiūras ir taip nepertraukiamai užtikrinti saugą.</w:t>
      </w:r>
    </w:p>
    <w:p>
      <w:pPr>
        <w:pBdr>
          <w:top w:val="nil"/>
          <w:left w:val="nil"/>
          <w:bottom w:val="nil"/>
          <w:right w:val="nil"/>
          <w:between w:val="nil"/>
          <w:bar w:val="nil"/>
        </w:pBdr>
        <w:spacing w:before="0" w:after="240"/>
        <w:rPr>
          <w:noProof/>
        </w:rPr>
      </w:pPr>
      <w:r>
        <w:rPr>
          <w:noProof/>
        </w:rPr>
        <w:t>Siūloma teisine priemone būtų iš dalies pakeista reglamento 8 straipsnio 1 dalis – vietoj šiuo metu taikomo reikalavimo, kad Komisijos atliekamoje reguliaraus vertinimo procedūroje dalyvautų tik talkinanti valstybė narė, nustatomas reikalavimas, kad šioje procedūroje dalyvautų bet kuri valstybė narė, suteikusi įgaliojimus vienai iš pripažintų organizacijų. Taip bus sudarytos sąlygos Komisijai atlikti vertinimą kartu su bet kuria valstybe nare, įgaliojusia atitinkamą pripažintą organizaciją veikti jos vardu Direktyvos 2009/15/EB</w:t>
      </w:r>
      <w:r>
        <w:rPr>
          <w:rStyle w:val="FootnoteReference"/>
          <w:noProof/>
        </w:rPr>
        <w:footnoteReference w:id="3"/>
      </w:r>
      <w:r>
        <w:rPr>
          <w:noProof/>
        </w:rPr>
        <w:t xml:space="preserve"> 3 straipsnio 2 dalies tikslais, o ne tik su talkinančia valstybe nare.</w:t>
      </w:r>
    </w:p>
    <w:p>
      <w:pPr>
        <w:pBdr>
          <w:top w:val="nil"/>
          <w:left w:val="nil"/>
          <w:bottom w:val="nil"/>
          <w:right w:val="nil"/>
          <w:between w:val="nil"/>
          <w:bar w:val="nil"/>
        </w:pBdr>
        <w:spacing w:before="0" w:after="240"/>
        <w:rPr>
          <w:noProof/>
        </w:rPr>
      </w:pPr>
      <w:r>
        <w:rPr>
          <w:noProof/>
        </w:rPr>
        <w:lastRenderedPageBreak/>
        <w:t>Pirmiau išdėstytas sprendimas pasirinktas kaip veiksmingiausias ir efektyviausias būdas pašalinti dėl Jungtinės Karalystės išstojimo atsiradusį su pripažintomis organizacijomis susijusį teisinį netikrumą. Tas teisinis netikrumas siūlomu teisės aktu bus pašalintas nediskriminuojant valstybių narių, įgaliojusių pripažintas organizacijas veikti jų vardu.</w:t>
      </w:r>
    </w:p>
    <w:p>
      <w:pPr>
        <w:pBdr>
          <w:top w:val="nil"/>
          <w:left w:val="nil"/>
          <w:bottom w:val="nil"/>
          <w:right w:val="nil"/>
          <w:between w:val="nil"/>
          <w:bar w:val="nil"/>
        </w:pBdr>
        <w:spacing w:before="0" w:after="240"/>
        <w:rPr>
          <w:noProof/>
        </w:rPr>
      </w:pPr>
      <w:r>
        <w:rPr>
          <w:noProof/>
        </w:rPr>
        <w:t xml:space="preserve">Be to, pasiūlymas dera su tikslu išlaikyti veiklos tęstinumą ir juo bus užtikrintas plaukiojimo su 27 ES valstybių narių, dirbančių su susijusiomis organizacijomis, vėliavomis konkurencingumas. </w:t>
      </w:r>
    </w:p>
    <w:p>
      <w:pPr>
        <w:pBdr>
          <w:top w:val="nil"/>
          <w:left w:val="nil"/>
          <w:bottom w:val="nil"/>
          <w:right w:val="nil"/>
          <w:between w:val="nil"/>
          <w:bar w:val="nil"/>
        </w:pBdr>
        <w:spacing w:before="0" w:after="240"/>
      </w:pPr>
      <w:r>
        <w:rPr>
          <w:noProof/>
        </w:rPr>
        <w:t>Reglamentu turėtų būti tik pašalinti neigiami padariniai 27 valstybių narių vėliavoms, kuriuos galėtų sukelti / lemti Jungtinės Karalystės išstojimas iš Sąjungos. Praėjus tinkamam / pakankamam reglamento taikymo laikotarpiui, Komisija turėtų pateikti jo poveikio ataskaitą, kurioje visų pirma nurodytų visus padarinius, kurie galėtų būti patirti už šio reglamento taikymo srities ribų.</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2018/0298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dėl Jungtinės Karalystės išstojimo iš Sąjungos iš dalies keičiamas Reglamentas (EB) Nr. 391/2009</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100 straipsnio 2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4"/>
      </w:r>
      <w:r>
        <w:rPr>
          <w:noProof/>
        </w:rPr>
        <w:t>,</w:t>
      </w:r>
    </w:p>
    <w:p>
      <w:pPr>
        <w:rPr>
          <w:noProof/>
        </w:rPr>
      </w:pPr>
      <w:r>
        <w:rPr>
          <w:noProof/>
        </w:rPr>
        <w:t>atsižvelgdami į Regionų komiteto nuomonę</w:t>
      </w:r>
      <w:r>
        <w:rPr>
          <w:rStyle w:val="FootnoteReference"/>
          <w:noProof/>
        </w:rPr>
        <w:footnoteReference w:id="5"/>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2017 m. kovo 29 d. Jungtinė Karalystė pagal Europos Sąjungos sutarties 50 straipsnį pranešė Europos Vadovų Tarybai apie savo ketinimą išstoti iš Sąjungos. Taigi, jei susitarime dėl išstojimo nebus nustatyta kita data arba jei Europos Vadovų Taryba, susitarusi su Jungtine Karalyste, vienbalsiai nenustatys kitos datos, Sąjungos teisė nebebus taikoma Jungtinei Karalystei nuo 2019 m. kovo 30 d. Tada Jungtinė Karalystė taps trečiąja šalimi;</w:t>
      </w:r>
    </w:p>
    <w:p>
      <w:pPr>
        <w:pStyle w:val="ManualConsidrant"/>
        <w:rPr>
          <w:noProof/>
        </w:rPr>
      </w:pPr>
      <w:r>
        <w:t>(2)</w:t>
      </w:r>
      <w:r>
        <w:tab/>
      </w:r>
      <w:r>
        <w:rPr>
          <w:noProof/>
        </w:rPr>
        <w:t>Europos Parlamento ir Tarybos reglamentas (EB) Nr. 391/2009</w:t>
      </w:r>
      <w:r>
        <w:rPr>
          <w:rStyle w:val="FootnoteReference"/>
          <w:noProof/>
        </w:rPr>
        <w:footnoteReference w:id="6"/>
      </w:r>
      <w:r>
        <w:rPr>
          <w:noProof/>
        </w:rPr>
        <w:t xml:space="preserve"> ir Europos Parlamento ir Tarybos direktyva 2009/15/EB</w:t>
      </w:r>
      <w:r>
        <w:rPr>
          <w:rStyle w:val="FootnoteReference"/>
          <w:noProof/>
        </w:rPr>
        <w:footnoteReference w:id="7"/>
      </w:r>
      <w:r>
        <w:rPr>
          <w:noProof/>
        </w:rPr>
        <w:t xml:space="preserve"> kartu sudaro pripažintų organizacijų, atliekančių laivų patikrinimą, apžiūrą ir sertifikavimą, reglamentavimo sistemą;</w:t>
      </w:r>
    </w:p>
    <w:p>
      <w:pPr>
        <w:pStyle w:val="ManualConsidrant"/>
        <w:rPr>
          <w:noProof/>
        </w:rPr>
      </w:pPr>
      <w:r>
        <w:t>(3)</w:t>
      </w:r>
      <w:r>
        <w:tab/>
      </w:r>
      <w:r>
        <w:rPr>
          <w:noProof/>
        </w:rPr>
        <w:t>pagal Reglamento (EB) Nr. 391/2009 8 straipsnio 1 dalį Komisija kartu su valstybe nare, pateikusia atitinkamą prašymą suteikti organizacijai pripažinimą, reguliariai, bet ne rečiau kaip kartą per dvejus metus turi atlikti Komisijos Sąjungos lygmeniu pripažintų laivų patikrinimo ir apžiūros organizacijų (pripažintų organizacijų) vertinimą;</w:t>
      </w:r>
    </w:p>
    <w:p>
      <w:pPr>
        <w:pStyle w:val="ManualConsidrant"/>
        <w:rPr>
          <w:noProof/>
        </w:rPr>
      </w:pPr>
      <w:r>
        <w:t>(4)</w:t>
      </w:r>
      <w:r>
        <w:tab/>
      </w:r>
      <w:r>
        <w:rPr>
          <w:noProof/>
        </w:rPr>
        <w:t>siekiant sudaryti vienodas sąlygas, organizacijas, kurioms pirminį pripažinimą pagal Tarybos direktyvą 94/57/EB</w:t>
      </w:r>
      <w:r>
        <w:rPr>
          <w:rStyle w:val="FootnoteReference"/>
          <w:noProof/>
        </w:rPr>
        <w:footnoteReference w:id="8"/>
      </w:r>
      <w:r>
        <w:rPr>
          <w:noProof/>
        </w:rPr>
        <w:t xml:space="preserve"> suteikė atitinkama valstybė narė ir kurios šiuo metu </w:t>
      </w:r>
      <w:r>
        <w:rPr>
          <w:noProof/>
        </w:rPr>
        <w:lastRenderedPageBreak/>
        <w:t>Sąjungoje pripažįstamos pagal Reglamento (EB) Nr. 391/2009 15 straipsnio 1 dalį, turėtų vertinti Komisija kartu su toms organizacijoms pirminį pripažinimą suteikusia valstybe nare;</w:t>
      </w:r>
    </w:p>
    <w:p>
      <w:pPr>
        <w:pStyle w:val="ManualConsidrant"/>
        <w:rPr>
          <w:noProof/>
        </w:rPr>
      </w:pPr>
      <w:r>
        <w:t>(5)</w:t>
      </w:r>
      <w:r>
        <w:tab/>
      </w:r>
      <w:r>
        <w:rPr>
          <w:noProof/>
        </w:rPr>
        <w:t>pagal Reglamento (EB) Nr. 391/2009 7 ir 8 straipsnius pripažintos organizacijos, norėdamos išsaugoti Sąjungos pripažinimą, privalo toliau atitikti to reglamento I priede nustatytus reikalavimus ir būtiniausius kriterijus. Šią atitiktį, atlikdama nuolatinį vertinimą, pagal Reglamento (EB) Nr. 391/2009 8 straipsnio 1 dalį tikrina Komisija kartu su atitinkama valstybe nare. Todėl reguliarus vertinimas yra svarbus nuolatiniam organizacijų pripažinimui užtikrinti;</w:t>
      </w:r>
    </w:p>
    <w:p>
      <w:pPr>
        <w:pStyle w:val="ManualConsidrant"/>
        <w:rPr>
          <w:noProof/>
        </w:rPr>
      </w:pPr>
      <w:r>
        <w:t>(6)</w:t>
      </w:r>
      <w:r>
        <w:tab/>
      </w:r>
      <w:r>
        <w:rPr>
          <w:noProof/>
        </w:rPr>
        <w:t>nuo išstojimo iš Sąjungos dienos Jungtinė Karalystė nebegalės dalyvauti pagal Reglamento (EB) Nr. 391/2009 8 straipsnio 1 dalį atliekamame vertinime;</w:t>
      </w:r>
    </w:p>
    <w:p>
      <w:pPr>
        <w:pStyle w:val="ManualConsidrant"/>
        <w:rPr>
          <w:noProof/>
        </w:rPr>
      </w:pPr>
      <w:r>
        <w:t>(7)</w:t>
      </w:r>
      <w:r>
        <w:tab/>
      </w:r>
      <w:r>
        <w:rPr>
          <w:noProof/>
        </w:rPr>
        <w:t>pripažintos organizacijos, kurioms pirminį pripažinimą suteikė Jungtinė Karalystė, šiuo metu yra pripažįstamos Sąjungoje ir joms kitos valstybės narės pagal Direktyvos 2009/15/EB 3 straipsnio 2 dalį yra patikėjusios atlikti su patikrinimu, apžiūra ir sertifikavimu susijusias užduotis.</w:t>
      </w:r>
      <w:r>
        <w:rPr>
          <w:noProof/>
          <w:color w:val="FF0000"/>
        </w:rPr>
        <w:t xml:space="preserve"> </w:t>
      </w:r>
      <w:r>
        <w:rPr>
          <w:noProof/>
        </w:rPr>
        <w:t>Todėl, siekiant užtikrinti, kad tos organizacijos būtų toliau vertinamos pagal Reglamento (EB) Nr. 391/2009 8 straipsnio 1 dalies reikalavimus, tą nuostatą būtina iš dalies pakeisti;</w:t>
      </w:r>
    </w:p>
    <w:p>
      <w:pPr>
        <w:pStyle w:val="ManualConsidrant"/>
        <w:rPr>
          <w:noProof/>
        </w:rPr>
      </w:pPr>
      <w:r>
        <w:t>(8)</w:t>
      </w:r>
      <w:r>
        <w:tab/>
      </w:r>
      <w:r>
        <w:rPr>
          <w:noProof/>
        </w:rPr>
        <w:t>be to, būtina atsižvelgti į su stebėsena ir priežiūra susijusias pareigas, kurias pagal Direktyvos 2009/15/EB 9 straipsnį šiuo metu turi vykdyti valstybės narės. Todėl pripažintų organizacijų vertinimą pagal Reglamentą (EB) Nr. 391/2009 turėtų atlikti Komisija kartu su valstybe (-ėmis) nare (-ėmis), kuri (-ios) atitinkamai pripažintai organizacijai suteikė įgaliojimus pagal Direktyvos 2009/15/EB 3 straipsnio 2 dalį;</w:t>
      </w:r>
    </w:p>
    <w:p>
      <w:pPr>
        <w:pStyle w:val="ManualConsidrant"/>
        <w:rPr>
          <w:noProof/>
        </w:rPr>
      </w:pPr>
      <w:r>
        <w:t>(9)</w:t>
      </w:r>
      <w:r>
        <w:tab/>
      </w:r>
      <w:r>
        <w:rPr>
          <w:noProof/>
        </w:rPr>
        <w:t>šis reglamentas turėtų būti taikomas nuo dienos, einančios po dienos, kurią Jungtinei Karalystei nustoja būti taikoma Sąjungos teisė ir, visų pirma, Reglamentas (EB) Nr. 391/2009,</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Reglamento (EB) Nr. 391/2009 8 straipsnio 1 dalis pakeičiama taip:</w:t>
      </w:r>
    </w:p>
    <w:p>
      <w:pPr>
        <w:rPr>
          <w:noProof/>
        </w:rPr>
      </w:pPr>
      <w:r>
        <w:rPr>
          <w:noProof/>
        </w:rPr>
        <w:t>„1. Komisija kartu su valstybe (-ėmis) nare (-ėmis), suteikusia (-iomis) pripažintoms organizacijoms įgaliojimus pagal Direktyvos 2009/15/EB 3 straipsnio 2 dalį, reguliariai, bet ne rečiau kaip kartą per dvejus metus atlieka visų tų pripažintų organizacijų vertinimą, siekdama nustatyti, ar jos laikosi šiame reglamente nurodytų įsipareigojimų ir atitinka I priede nustatytus būtiniausius kriterijus. Vertinama tik ta pripažintų organizacijų veikla, kuriai taikomas šis reglamentas.“</w:t>
      </w:r>
    </w:p>
    <w:p>
      <w:pPr>
        <w:pStyle w:val="Titrearticle"/>
        <w:rPr>
          <w:noProof/>
        </w:rPr>
      </w:pPr>
      <w:r>
        <w:rPr>
          <w:noProof/>
        </w:rPr>
        <w:t>2 straipsnis</w:t>
      </w:r>
    </w:p>
    <w:p>
      <w:pPr>
        <w:rPr>
          <w:noProof/>
        </w:rPr>
      </w:pPr>
      <w:r>
        <w:rPr>
          <w:noProof/>
        </w:rPr>
        <w:t>Ne vėliau kaip per trejus metus nuo šio reglamento taikymo pradžios dienos Komisija pateikia Europos Parlamentui ir Tarybai šio reglamento poveikio ataskaitą.</w:t>
      </w:r>
    </w:p>
    <w:p>
      <w:pPr>
        <w:pStyle w:val="Titrearticle"/>
        <w:rPr>
          <w:noProof/>
        </w:rPr>
      </w:pPr>
      <w:r>
        <w:rPr>
          <w:noProof/>
        </w:rPr>
        <w:t>3 straipsnis</w:t>
      </w:r>
    </w:p>
    <w:p>
      <w:pPr>
        <w:rPr>
          <w:noProof/>
        </w:rPr>
      </w:pPr>
      <w:r>
        <w:rPr>
          <w:noProof/>
        </w:rPr>
        <w:t xml:space="preserve">Šis reglamentas įsigalioja dvidešimtą dieną po jo paskelbimo </w:t>
      </w:r>
      <w:r>
        <w:rPr>
          <w:i/>
          <w:noProof/>
        </w:rPr>
        <w:t>Europos Sąjungos oficialiajame leidinyje</w:t>
      </w:r>
      <w:r>
        <w:rPr>
          <w:noProof/>
        </w:rPr>
        <w:t>.</w:t>
      </w:r>
    </w:p>
    <w:p>
      <w:pPr>
        <w:pStyle w:val="Applicationdirecte"/>
        <w:rPr>
          <w:noProof/>
        </w:rPr>
      </w:pPr>
      <w:r>
        <w:rPr>
          <w:noProof/>
        </w:rPr>
        <w:lastRenderedPageBreak/>
        <w:t>Jis taikomas nuo dienos, einančios po dienos, kurią Jungtinei Karalystei nustoja būti taikoma Sąjungos teisė.</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2009 m. balandžio 23 d. Europos Parlamento ir Tarybos reglamentas (EB) Nr. 391/2009 dėl laivų patikrinimo ir apžiūros organizacijų bendrųjų taisyklių ir standartų (OL L 131, 2009 5 28, p. 11).</w:t>
      </w:r>
    </w:p>
  </w:footnote>
  <w:footnote w:id="2">
    <w:p>
      <w:pPr>
        <w:pStyle w:val="FootnoteText"/>
      </w:pPr>
      <w:r>
        <w:rPr>
          <w:rStyle w:val="FootnoteReference"/>
        </w:rPr>
        <w:footnoteRef/>
      </w:r>
      <w:r>
        <w:tab/>
        <w:t>„Pranešimas suinteresuotosioms šalims. Jungtinės Karalystės išstojimas ir ES žvejybos ir akvakultūros taisyklės“,</w:t>
      </w:r>
    </w:p>
    <w:p>
      <w:pPr>
        <w:pStyle w:val="FootnoteText"/>
      </w:pPr>
      <w:hyperlink r:id="rId1">
        <w:r>
          <w:rPr>
            <w:rStyle w:val="Hyperlink"/>
          </w:rPr>
          <w:t>https://ec.europa.eu/transport/sites/transport/files/legislation/brexit-notice-to-stakeholders-maritime-transport.pdf.</w:t>
        </w:r>
      </w:hyperlink>
    </w:p>
  </w:footnote>
  <w:footnote w:id="3">
    <w:p>
      <w:pPr>
        <w:pStyle w:val="FootnoteText"/>
        <w:ind w:left="142" w:hanging="142"/>
      </w:pPr>
      <w:r>
        <w:rPr>
          <w:rStyle w:val="FootnoteReference"/>
        </w:rPr>
        <w:footnoteRef/>
      </w:r>
      <w:r>
        <w:tab/>
        <w:t>2009 m. balandžio 23 d. Europos Parlamento ir Tarybos direktyva 2009/15/EB dėl laivų patikrinimo ir apžiūros organizacijų ir atitinkamos jūrų administracijų veiklos bendrųjų taisyklių ir standartų (OL L 131, 2009 5 28, p. 47).</w:t>
      </w:r>
    </w:p>
  </w:footnote>
  <w:footnote w:id="4">
    <w:p>
      <w:pPr>
        <w:pStyle w:val="FootnoteText"/>
      </w:pPr>
      <w:r>
        <w:rPr>
          <w:rStyle w:val="FootnoteReference"/>
        </w:rPr>
        <w:footnoteRef/>
      </w:r>
      <w:r>
        <w:tab/>
        <w:t>OL C , , p. .</w:t>
      </w:r>
    </w:p>
  </w:footnote>
  <w:footnote w:id="5">
    <w:p>
      <w:pPr>
        <w:pStyle w:val="FootnoteText"/>
      </w:pPr>
      <w:r>
        <w:rPr>
          <w:rStyle w:val="FootnoteReference"/>
        </w:rPr>
        <w:footnoteRef/>
      </w:r>
      <w:r>
        <w:tab/>
        <w:t>OL C , , p. .</w:t>
      </w:r>
    </w:p>
  </w:footnote>
  <w:footnote w:id="6">
    <w:p>
      <w:pPr>
        <w:pStyle w:val="FootnoteText"/>
        <w:ind w:left="142" w:hanging="142"/>
      </w:pPr>
      <w:r>
        <w:rPr>
          <w:rStyle w:val="FootnoteReference"/>
        </w:rPr>
        <w:footnoteRef/>
      </w:r>
      <w:r>
        <w:tab/>
        <w:t>2009 m. balandžio 23 d. Europos Parlamento ir Tarybos reglamentas (EB) Nr. 391/2009 dėl laivų patikrinimo ir apžiūros organizacijų bendrųjų taisyklių ir standartų (OL L 131, 2009 5 28, p. 11).</w:t>
      </w:r>
    </w:p>
  </w:footnote>
  <w:footnote w:id="7">
    <w:p>
      <w:pPr>
        <w:pStyle w:val="FootnoteText"/>
        <w:ind w:left="142" w:hanging="142"/>
      </w:pPr>
      <w:r>
        <w:rPr>
          <w:rStyle w:val="FootnoteReference"/>
        </w:rPr>
        <w:footnoteRef/>
      </w:r>
      <w:r>
        <w:tab/>
        <w:t>2009 m. balandžio 23 d. Europos Parlamento ir Tarybos direktyva 2009/15/EB dėl laivų patikrinimo ir apžiūros organizacijų ir atitinkamos jūrų administracijų veiklos bendrųjų taisyklių ir standartų (OL L 131, 2009 5 28, p. 47).</w:t>
      </w:r>
    </w:p>
  </w:footnote>
  <w:footnote w:id="8">
    <w:p>
      <w:pPr>
        <w:pStyle w:val="FootnoteText"/>
      </w:pPr>
      <w:r>
        <w:rPr>
          <w:rStyle w:val="FootnoteReference"/>
        </w:rPr>
        <w:footnoteRef/>
      </w:r>
      <w:r>
        <w:tab/>
        <w:t>1994 m. lapkričio 22 d. Tarybos direktyva 94/57/EB dėl laivų apžiūros ir tikrinimo organizacijų ir atitinkamos jūrų administracijų veiklos bendrųjų taisyklių ir standartų (OL L 319, 1994 12 12,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AA1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69A6B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6F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26E78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A0C5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50AB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51EE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BBD8E7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6 07:22: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575FD7-BBAA-4E3D-B803-0BAA89878649"/>
    <w:docVar w:name="LW_COVERPAGE_TYPE" w:val="1"/>
    <w:docVar w:name="LW_CROSSREFERENCE" w:val="&lt;UNUSED&gt;"/>
    <w:docVar w:name="LW_DocType" w:val="COM"/>
    <w:docVar w:name="LW_EMISSION" w:val="2018 08 01"/>
    <w:docVar w:name="LW_EMISSION_ISODATE" w:val="2018-08-01"/>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98"/>
    <w:docVar w:name="LW_REF.II.NEW.CP_YEAR" w:val="2018"/>
    <w:docVar w:name="LW_REF.INST.NEW" w:val="COM"/>
    <w:docVar w:name="LW_REF.INST.NEW_ADOPTED" w:val="final"/>
    <w:docVar w:name="LW_REF.INST.NEW_TEXT" w:val="(2018) 5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d\u279?l Jungtin\u279?s Karalyst\u279?s i\u353?stojimo i\u353? S\u261?jungos i\u353? dalies kei\u269?iamas Reglamentas (EB) Nr. 391/2009"/>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2506">
      <w:bodyDiv w:val="1"/>
      <w:marLeft w:val="0"/>
      <w:marRight w:val="0"/>
      <w:marTop w:val="0"/>
      <w:marBottom w:val="0"/>
      <w:divBdr>
        <w:top w:val="none" w:sz="0" w:space="0" w:color="auto"/>
        <w:left w:val="none" w:sz="0" w:space="0" w:color="auto"/>
        <w:bottom w:val="none" w:sz="0" w:space="0" w:color="auto"/>
        <w:right w:val="none" w:sz="0" w:space="0" w:color="auto"/>
      </w:divBdr>
    </w:div>
    <w:div w:id="1565723284">
      <w:bodyDiv w:val="1"/>
      <w:marLeft w:val="0"/>
      <w:marRight w:val="0"/>
      <w:marTop w:val="0"/>
      <w:marBottom w:val="0"/>
      <w:divBdr>
        <w:top w:val="none" w:sz="0" w:space="0" w:color="auto"/>
        <w:left w:val="none" w:sz="0" w:space="0" w:color="auto"/>
        <w:bottom w:val="none" w:sz="0" w:space="0" w:color="auto"/>
        <w:right w:val="none" w:sz="0" w:space="0" w:color="auto"/>
      </w:divBdr>
    </w:div>
    <w:div w:id="17828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sites/transport/files/legislation/brexit-notice-to-stakeholders-maritime-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7679-0155-4279-9B08-ECC99C11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1733</Words>
  <Characters>12171</Characters>
  <Application>Microsoft Office Word</Application>
  <DocSecurity>0</DocSecurity>
  <Lines>206</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2018-07-05T08:30:00Z</cp:lastPrinted>
  <dcterms:created xsi:type="dcterms:W3CDTF">2018-07-25T13:39:00Z</dcterms:created>
  <dcterms:modified xsi:type="dcterms:W3CDTF">2018-07-26T05:22:00Z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