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8902DFB-B4BA-445C-8B53-3F542FE32533"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Politica privind rețeaua transeuropeană de transport (TEN-T) recunoaște importanța strategică a dezvoltării unei rețele europene de infrastructuri de transport pentru societatea și economia Uniunii. Legislația UE prevede termene pentru rețeaua centrală (care urmează să fie finalizată până în 2030) și pentru rețeaua globală (până în 2050).</w:t>
      </w:r>
    </w:p>
    <w:p>
      <w:pPr>
        <w:pBdr>
          <w:top w:val="nil"/>
          <w:left w:val="nil"/>
          <w:bottom w:val="nil"/>
          <w:right w:val="nil"/>
          <w:between w:val="nil"/>
          <w:bar w:val="nil"/>
        </w:pBdr>
        <w:spacing w:before="0" w:after="240"/>
        <w:rPr>
          <w:noProof/>
        </w:rPr>
      </w:pPr>
      <w:r>
        <w:rPr>
          <w:noProof/>
        </w:rPr>
        <w:t>Coridoarele rețelei centrale, astfel cum sunt prevăzute în anexa I la Regulamentul (UE) nr. 1316/2013 (denumit în continuare „Regulamentul privind Mecanismul pentru Interconectarea Europei” sau „Regulamentul privind MIE”)</w:t>
      </w:r>
      <w:r>
        <w:rPr>
          <w:rStyle w:val="FootnoteReference"/>
          <w:noProof/>
        </w:rPr>
        <w:footnoteReference w:id="1"/>
      </w:r>
      <w:r>
        <w:rPr>
          <w:noProof/>
        </w:rPr>
        <w:t>, reprezintă un instrument care contribuie la coordonarea implementării rețelei centrale. Coridoarele se concentrează pe integrarea modală, interoperabilitate și dezvoltarea coordonată a infrastructurii, în special în cazul tronsoanelor transfrontaliere și al blocajelor. Statele membre au obligația de a participa la coridoarele rețelei centrale în conformitate cu articolul 44 alineatul (1) din Regulamentul (UE) nr. 1315/2013</w:t>
      </w:r>
      <w:r>
        <w:rPr>
          <w:rStyle w:val="FootnoteReference"/>
          <w:noProof/>
        </w:rPr>
        <w:footnoteReference w:id="2"/>
      </w:r>
      <w:r>
        <w:rPr>
          <w:noProof/>
        </w:rPr>
        <w:t>.</w:t>
      </w:r>
    </w:p>
    <w:p>
      <w:pPr>
        <w:pBdr>
          <w:top w:val="nil"/>
          <w:left w:val="nil"/>
          <w:bottom w:val="nil"/>
          <w:right w:val="nil"/>
          <w:between w:val="nil"/>
          <w:bar w:val="nil"/>
        </w:pBdr>
        <w:spacing w:before="0" w:after="240"/>
        <w:rPr>
          <w:noProof/>
        </w:rPr>
      </w:pPr>
      <w:r>
        <w:rPr>
          <w:noProof/>
        </w:rPr>
        <w:t>Regatul Unit face parte din coridorul Marea Nordului – mediteraneean al rețelei centrale (denumit în continuare „coridorul MNM”). Coridorul MNM include legături între Belfast, Dublin și Cork în Irlanda și legături în Regatul Unit de la Glasgow și Edinburgh la nord până la Folkestone și Dover în sud. În plus, tronsoanele și nodurile din Regatul Unit sunt incluse în tabelul „Tronsoane identificate în prealabil care includ proiecte” pentru coridorul MNM.</w:t>
      </w:r>
    </w:p>
    <w:p>
      <w:pPr>
        <w:pBdr>
          <w:top w:val="nil"/>
          <w:left w:val="nil"/>
          <w:bottom w:val="nil"/>
          <w:right w:val="nil"/>
          <w:between w:val="nil"/>
          <w:bar w:val="nil"/>
        </w:pBdr>
        <w:spacing w:before="0" w:after="240"/>
        <w:rPr>
          <w:noProof/>
        </w:rPr>
      </w:pPr>
      <w:r>
        <w:rPr>
          <w:noProof/>
        </w:rPr>
        <w:t>La 29 martie 2017, Regatul Unit a prezentat notificarea intenției sale de a se retrage din Uniune în temeiul articolului 50 din Tratatul privind Uniunea Europeană. Prin urmare, cu excepția cazului în care se stabilește o altă dată printr-un acord de retragere ratificat</w:t>
      </w:r>
      <w:r>
        <w:rPr>
          <w:rStyle w:val="FootnoteReference"/>
          <w:noProof/>
        </w:rPr>
        <w:footnoteReference w:id="3"/>
      </w:r>
      <w:r>
        <w:rPr>
          <w:noProof/>
        </w:rPr>
        <w:t>, întreaga legislație primară și secundară a Uniunii va înceta să se aplice Regatului Unit începând cu data de 30 martie 2019 (denumită în continuare „data retragerii”)</w:t>
      </w:r>
      <w:r>
        <w:rPr>
          <w:rStyle w:val="FootnoteReference"/>
          <w:noProof/>
        </w:rPr>
        <w:footnoteReference w:id="4"/>
      </w:r>
      <w:r>
        <w:rPr>
          <w:noProof/>
        </w:rPr>
        <w:t>. Regatul Unit va deveni, din acel moment, o țară terță, un stat care nu este membru al Uniunii.</w:t>
      </w:r>
    </w:p>
    <w:p>
      <w:pPr>
        <w:pBdr>
          <w:top w:val="nil"/>
          <w:left w:val="nil"/>
          <w:bottom w:val="nil"/>
          <w:right w:val="nil"/>
          <w:between w:val="nil"/>
          <w:bar w:val="nil"/>
        </w:pBdr>
        <w:spacing w:before="0" w:after="240"/>
        <w:rPr>
          <w:noProof/>
        </w:rPr>
      </w:pPr>
      <w:r>
        <w:rPr>
          <w:noProof/>
        </w:rPr>
        <w:t>În cazul în care nu se stabilesc dispoziții tranzitorii într-un acord de retragere, Regatul Unit nu va mai face parte din coridorul MNM începând cu 30 martie 2019. Autoritățile și părțile interesate din Regatul Unit nu vor mai participa la reuniuni și activități legate de coridor.</w:t>
      </w:r>
    </w:p>
    <w:p>
      <w:pPr>
        <w:pBdr>
          <w:top w:val="nil"/>
          <w:left w:val="nil"/>
          <w:bottom w:val="nil"/>
          <w:right w:val="nil"/>
          <w:between w:val="nil"/>
          <w:bar w:val="nil"/>
        </w:pBdr>
        <w:spacing w:before="0" w:after="240"/>
        <w:rPr>
          <w:noProof/>
        </w:rPr>
      </w:pPr>
      <w:r>
        <w:rPr>
          <w:noProof/>
        </w:rPr>
        <w:t>Având în vedere gradul de integrare dintre economiile Irlandei și ale Regatului Unit, precum și poziția geografică a Irlandei la marginea Uniunii, Irlanda va fi foarte afectată de retragerea Regatului Unit din Uniune. Regatul Unit este o legătură vitală de transport între Irlanda și continent. Prin urmare, este necesară o revizuire a alinierii rutei coridorului MNM pentru a se evita scindarea coridorului în două părți distincte, Irlanda nemaifiind legată de partea continentală a UE.</w:t>
      </w:r>
    </w:p>
    <w:p>
      <w:pPr>
        <w:pBdr>
          <w:top w:val="nil"/>
          <w:left w:val="nil"/>
          <w:bottom w:val="nil"/>
          <w:right w:val="nil"/>
          <w:between w:val="nil"/>
          <w:bar w:val="nil"/>
        </w:pBdr>
        <w:spacing w:before="0" w:after="240"/>
        <w:rPr>
          <w:noProof/>
        </w:rPr>
      </w:pPr>
      <w:r>
        <w:rPr>
          <w:noProof/>
        </w:rPr>
        <w:t>În comerțul său cu Europa continentală, Irlanda se bazează în mare măsură pe servicii de transport maritim containerizat pe distanțe scurte și pe servicii de transport cu feribotul. Serviciile de transport maritim containerizat pe distanțe scurte sunt mijloace importante de comerț cu țări terțe prin intermediul unor platforme situate în Europa continentală, în timp ce serviciile de transport cu feribotul sunt utilizate, de asemenea, pentru comerțul cu Regatul Unit.</w:t>
      </w:r>
    </w:p>
    <w:p>
      <w:pPr>
        <w:pBdr>
          <w:top w:val="nil"/>
          <w:left w:val="nil"/>
          <w:bottom w:val="nil"/>
          <w:right w:val="nil"/>
          <w:between w:val="nil"/>
          <w:bar w:val="nil"/>
        </w:pBdr>
        <w:spacing w:before="0" w:after="240"/>
        <w:rPr>
          <w:noProof/>
        </w:rPr>
      </w:pPr>
      <w:r>
        <w:rPr>
          <w:noProof/>
        </w:rPr>
        <w:t>Îmbunătățirea conexiunilor de transport în interiorul insulei Irlanda va fi esențială pentru a face față dificultăților provocate de retragerea Regatului Unit din Uniune și a satisface cerințele comerciale din ce în ce mai mari utilizând porturile Irlandei.</w:t>
      </w:r>
    </w:p>
    <w:p>
      <w:pPr>
        <w:pBdr>
          <w:top w:val="nil"/>
          <w:left w:val="nil"/>
          <w:bottom w:val="nil"/>
          <w:right w:val="nil"/>
          <w:between w:val="nil"/>
          <w:bar w:val="nil"/>
        </w:pBdr>
        <w:spacing w:before="0" w:after="240"/>
        <w:rPr>
          <w:noProof/>
        </w:rPr>
      </w:pPr>
      <w:r>
        <w:rPr>
          <w:noProof/>
        </w:rPr>
        <w:t>Spre deosebire de numeroase regiuni din coridor, Irlanda se bazează pe servicii de legătură, mai degrabă decât pe servicii directe de transport maritim containerizat pe distanțe mari, pentru a își conecta porturile la rețelele mondiale de transport containerizat. Așadar, îmbunătățirea accesului la principalele porturi pe cale terestră și maritimă (inclusiv folosind „autostrăzile maritime”) este, de asemenea, un pas important către o mai mare coeziune în cadrul coridorului.</w:t>
      </w:r>
    </w:p>
    <w:p>
      <w:pPr>
        <w:pBdr>
          <w:top w:val="nil"/>
          <w:left w:val="nil"/>
          <w:bottom w:val="nil"/>
          <w:right w:val="nil"/>
          <w:between w:val="nil"/>
          <w:bar w:val="nil"/>
        </w:pBdr>
        <w:spacing w:before="0" w:after="240"/>
        <w:rPr>
          <w:rFonts w:eastAsia="Arial Unicode MS"/>
          <w:noProof/>
        </w:rPr>
      </w:pPr>
      <w:r>
        <w:rPr>
          <w:noProof/>
        </w:rPr>
        <w:t>Regulamentul propus ar urma să adapteze alinierea rutei coridorului MNM prin adăugarea unor noi legături maritime între Dublin și Cork, principalele porturi irlandeze, pe de o parte, și porturile coridorului MNM situate în Belgia (Zeebrugge, Anvers) și în Țările de Jos (Rotterdam), pe de altă parte. El ar urma să intre în vigoare de la data la care Regulamentul privind MIE va înceta să se aplice Regatului Unit și, în consecință, Regatul Unit nu va mai face parte din coridorul MNM.</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rPr>
      </w:pPr>
      <w:r>
        <w:rPr>
          <w:noProof/>
        </w:rPr>
        <w:t>Prezenta propunere este în deplină coerență cu legislația existentă. Modificările aduse alinierii coridorului MNM prevăzute în prezenta propunere ar trebui să fie luate în considerare, de asemenea, în propunerea pentru un nou regulament privind MIE, în curs de elaborare</w:t>
      </w:r>
      <w:r>
        <w:rPr>
          <w:rStyle w:val="FootnoteReference"/>
          <w:noProof/>
        </w:rPr>
        <w:footnoteReference w:id="5"/>
      </w:r>
      <w:r>
        <w:rPr>
          <w:noProof/>
        </w:rPr>
        <w:t>.</w:t>
      </w:r>
    </w:p>
    <w:p>
      <w:pPr>
        <w:pStyle w:val="ManualHeading2"/>
        <w:rPr>
          <w:rFonts w:eastAsia="Arial Unicode MS"/>
          <w:noProof/>
        </w:rPr>
      </w:pPr>
      <w:r>
        <w:rPr>
          <w:noProof/>
          <w:color w:val="000000"/>
          <w:u w:color="000000"/>
          <w:bdr w:val="nil"/>
        </w:rPr>
        <w:t>•</w:t>
      </w:r>
      <w:r>
        <w:rPr>
          <w:noProof/>
        </w:rPr>
        <w:tab/>
        <w:t>Coerența cu alte domenii de politică ale Uniunii</w:t>
      </w:r>
    </w:p>
    <w:p>
      <w:pPr>
        <w:pBdr>
          <w:top w:val="nil"/>
          <w:left w:val="nil"/>
          <w:bottom w:val="nil"/>
          <w:right w:val="nil"/>
          <w:between w:val="nil"/>
          <w:bar w:val="nil"/>
        </w:pBdr>
        <w:spacing w:before="0" w:after="240"/>
        <w:rPr>
          <w:rFonts w:eastAsia="Arial Unicode MS"/>
          <w:noProof/>
        </w:rPr>
      </w:pPr>
      <w:r>
        <w:rPr>
          <w:noProof/>
        </w:rPr>
        <w:t>Prezenta propunere este în deplină coerență cu mandatul Consiliului pentru negocierile cu Regatul Unit privind retragerea sa din Uniune.</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Temeiul juridic al propunerii îl constituie articolul 172 din Tratatul privind funcționarea Uniunii Europene (TFUE).</w:t>
      </w:r>
    </w:p>
    <w:p>
      <w:pPr>
        <w:pStyle w:val="ManualHeading2"/>
        <w:rPr>
          <w:rFonts w:eastAsia="Arial Unicode MS"/>
          <w:noProof/>
          <w:u w:color="000000"/>
          <w:bdr w:val="nil"/>
        </w:rPr>
      </w:pPr>
      <w:r>
        <w:rPr>
          <w:noProof/>
        </w:rPr>
        <w:t>•</w:t>
      </w:r>
      <w:r>
        <w:rPr>
          <w:noProof/>
        </w:rPr>
        <w:tab/>
        <w:t>Subsidiaritate (în cazul competențelor neexclusive)</w:t>
      </w:r>
    </w:p>
    <w:p>
      <w:pPr>
        <w:pBdr>
          <w:top w:val="nil"/>
          <w:left w:val="nil"/>
          <w:bottom w:val="nil"/>
          <w:right w:val="nil"/>
          <w:between w:val="nil"/>
          <w:bar w:val="nil"/>
        </w:pBdr>
        <w:spacing w:before="0" w:after="240"/>
        <w:rPr>
          <w:rFonts w:eastAsia="Arial Unicode MS"/>
          <w:noProof/>
        </w:rPr>
      </w:pPr>
      <w:r>
        <w:rPr>
          <w:noProof/>
        </w:rPr>
        <w:t>Deoarece actul propus ar modifica conținutul actului existent al UE, obiectivul s-ar putea realiza doar printr-o acțiune la nivelul Uniunii.</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Propunerea se consideră proporționată deoarece prevede modificarea juridică necesară și în același timp nu merge mai departe de ceea ce este necesar pentru a realiza obiectivele de garantare a conectării Irlandei cu partea continentală a Europei după retragerea Regatului Unit din Uniune.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Având în vedere că prezentul act modifică un regulament al Parlamentului European și al Consiliului, modificarea propusă este singura formă adecvată.</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EVALUĂRII IMPACTULUI</w:t>
      </w:r>
    </w:p>
    <w:p>
      <w:pPr>
        <w:pStyle w:val="ManualHeading2"/>
        <w:rPr>
          <w:rFonts w:eastAsia="Arial Unicode MS"/>
          <w:noProof/>
          <w:u w:color="000000"/>
          <w:bdr w:val="nil"/>
        </w:rPr>
      </w:pPr>
      <w:r>
        <w:rPr>
          <w:noProof/>
        </w:rPr>
        <w:t>•</w:t>
      </w:r>
      <w:r>
        <w:rPr>
          <w:noProof/>
        </w:rPr>
        <w:tab/>
        <w:t xml:space="preserve">Evaluări </w:t>
      </w:r>
      <w:r>
        <w:rPr>
          <w:i/>
          <w:noProof/>
        </w:rPr>
        <w:t>ex post</w:t>
      </w:r>
      <w:r>
        <w:rPr>
          <w:noProof/>
        </w:rPr>
        <w:t>/verificări ale adecvării legislației existente</w:t>
      </w:r>
    </w:p>
    <w:p>
      <w:pPr>
        <w:pBdr>
          <w:top w:val="nil"/>
          <w:left w:val="nil"/>
          <w:bottom w:val="nil"/>
          <w:right w:val="nil"/>
          <w:between w:val="nil"/>
          <w:bar w:val="nil"/>
        </w:pBdr>
        <w:spacing w:before="0" w:after="240"/>
        <w:rPr>
          <w:rFonts w:eastAsia="Arial Unicode MS"/>
          <w:noProof/>
        </w:rPr>
      </w:pPr>
      <w:r>
        <w:rPr>
          <w:noProof/>
          <w:color w:val="000000" w:themeColor="text1"/>
        </w:rPr>
        <w:t>Nu se aplică.</w:t>
      </w:r>
    </w:p>
    <w:p>
      <w:pPr>
        <w:pStyle w:val="ManualHeading2"/>
        <w:rPr>
          <w:rFonts w:eastAsia="Arial Unicode MS"/>
          <w:noProof/>
          <w:u w:color="000000"/>
          <w:bdr w:val="nil"/>
        </w:rPr>
      </w:pPr>
      <w:r>
        <w:rPr>
          <w:noProof/>
        </w:rPr>
        <w:t>•</w:t>
      </w:r>
      <w:r>
        <w:rPr>
          <w:noProof/>
        </w:rPr>
        <w:tab/>
        <w:t>Consultările părților interesate</w:t>
      </w:r>
    </w:p>
    <w:p>
      <w:pPr>
        <w:pBdr>
          <w:top w:val="nil"/>
          <w:left w:val="nil"/>
          <w:bottom w:val="nil"/>
          <w:right w:val="nil"/>
          <w:between w:val="nil"/>
          <w:bar w:val="nil"/>
        </w:pBdr>
        <w:spacing w:before="0" w:after="240"/>
        <w:rPr>
          <w:noProof/>
        </w:rPr>
      </w:pPr>
      <w:r>
        <w:rPr>
          <w:noProof/>
        </w:rPr>
        <w:t>Provocările legate de fluxurile de transport din cadrul coridorului MNM ca urmare a retragerii Regatului Unit din Uniune au fost discutate în cadrul reuniunii privind coridorul rețelei centrale, organizată la 25 aprilie 2018 cu ocazia Zilelor TEN-T, cu statele membre și cu părțile interesate din țările participante la coridor.</w:t>
      </w:r>
    </w:p>
    <w:p>
      <w:pPr>
        <w:pBdr>
          <w:top w:val="nil"/>
          <w:left w:val="nil"/>
          <w:bottom w:val="nil"/>
          <w:right w:val="nil"/>
          <w:between w:val="nil"/>
          <w:bar w:val="nil"/>
        </w:pBdr>
        <w:spacing w:before="0" w:after="240"/>
        <w:rPr>
          <w:noProof/>
        </w:rPr>
      </w:pPr>
      <w:r>
        <w:rPr>
          <w:noProof/>
        </w:rPr>
        <w:t>Părțile interesate au avut posibilitatea să ofere feedback cu privire la inițiativă pe portalul pentru o mai bună legiferare („Exprimați-vă opinia”) al Comisiei Europene.</w:t>
      </w:r>
    </w:p>
    <w:p>
      <w:pPr>
        <w:pBdr>
          <w:top w:val="nil"/>
          <w:left w:val="nil"/>
          <w:bottom w:val="nil"/>
          <w:right w:val="nil"/>
          <w:between w:val="nil"/>
          <w:bar w:val="nil"/>
        </w:pBdr>
        <w:spacing w:before="0" w:after="240"/>
        <w:rPr>
          <w:rFonts w:eastAsia="Arial Unicode MS"/>
          <w:noProof/>
        </w:rPr>
      </w:pPr>
      <w:r>
        <w:rPr>
          <w:noProof/>
        </w:rPr>
        <w:t>În cursul perioadei de feedback, între 28 iunie 2018 și 12 iulie 2018, mai multe părți interesate au formulat observații, printre care întreprinderi, asociații de întreprinderi și autoritățile publice. Intenția de a revizui alinierea coridorului MNM a fost pe deplin apreciată. Observațiile au vizat, în principal, alegerea porturilor de pe continent la care ar trebui să fie conectată Irlanda.</w:t>
      </w:r>
      <w:r>
        <w:rPr>
          <w:i/>
          <w:noProof/>
        </w:rPr>
        <w:t xml:space="preserve"> </w:t>
      </w:r>
      <w:r>
        <w:rPr>
          <w:noProof/>
        </w:rPr>
        <w:t>Feedbackul a fost luat în considerare la redactarea propunerii.</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noProof/>
          <w:color w:val="000000" w:themeColor="text1"/>
        </w:rPr>
      </w:pPr>
      <w:r>
        <w:rPr>
          <w:noProof/>
          <w:color w:val="000000" w:themeColor="text1"/>
        </w:rPr>
        <w:t>Având în vedere natura măsurii propuse, nu este planificată nicio evaluare a impactului, în conformitate cu Orientările privind o mai bună legiferare. Nu există alte opțiuni de politică substanțial diferite. Măsura avută în vedere reprezintă singura opțiune de politică viabilă care poate să asigure conectarea neîntreruptă a tuturor părților coridorului Marea Nordului – mediteraneean ca urmare a retragerii Regatului Unit din Uniune.</w:t>
      </w:r>
    </w:p>
    <w:p>
      <w:pPr>
        <w:pBdr>
          <w:top w:val="nil"/>
          <w:left w:val="nil"/>
          <w:bottom w:val="nil"/>
          <w:right w:val="nil"/>
          <w:between w:val="nil"/>
          <w:bar w:val="nil"/>
        </w:pBdr>
        <w:spacing w:before="0" w:after="240"/>
        <w:rPr>
          <w:rFonts w:eastAsia="Arial Unicode MS"/>
          <w:noProof/>
        </w:rPr>
      </w:pPr>
      <w:r>
        <w:rPr>
          <w:noProof/>
        </w:rPr>
        <w:t>Măsura va răspunde unei nevoi continue de menținere a integrității coridorului de transport și de realizare a unor legături de transport cu adevărat eficiente și sustenabile între Irlanda și partea continentală a Europei. Măsura subliniază importanța conexiunilor maritime ca modalitate de soluționare a dificultăților provocate de retragerea Regatului Unit, care ar afecta, de asemenea, toate celelalte țări implicate în coridorul MNM din perspectiva planificării și a investițiilor în infrastructură.</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Prezenta propunere nu are consecințe asupra protecției drepturilor fundamentale.</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color w:val="000000" w:themeColor="text1"/>
        </w:rPr>
        <w:t>Nu se aplică.</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pPr>
      <w:r>
        <w:rPr>
          <w:noProof/>
          <w:color w:val="000000" w:themeColor="text1"/>
        </w:rPr>
        <w:t>Nu se aplică.</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2018/0299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(UE) nr. 1316/2013 în ceea ce privește retragerea Regatului Unit din Uniune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172,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6"/>
      </w:r>
      <w:r>
        <w:rPr>
          <w:noProof/>
        </w:rPr>
        <w:t>,</w:t>
      </w:r>
    </w:p>
    <w:p>
      <w:pPr>
        <w:rPr>
          <w:noProof/>
        </w:rPr>
      </w:pPr>
      <w:r>
        <w:rPr>
          <w:noProof/>
        </w:rPr>
        <w:t>având în vedere avizul Comitetului Regiunilor</w:t>
      </w:r>
      <w:r>
        <w:rPr>
          <w:rStyle w:val="FootnoteReference"/>
          <w:noProof/>
        </w:rPr>
        <w:footnoteReference w:id="7"/>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La 29 martie 2017, Regatul Unit a notificat Consiliului European intenția sa de a se retrage din Uniunea Europeană în temeiul articolului 50 din Tratatul privind Uniunea Europeană. Prin urmare, cu excepția cazului în care, printr-un acord de retragere se stabilește o altă dată sau dacă Consiliul European, în acord cu Regatul Unit, stabilește în unanimitate o altă dată, legislația Uniunii va înceta să se aplice Regatului Unit începând cu data de 30 martie 2019. Regatul Unit va deveni, din acel moment, o țară terță.</w:t>
      </w:r>
    </w:p>
    <w:p>
      <w:pPr>
        <w:pStyle w:val="ManualConsidrant"/>
        <w:rPr>
          <w:noProof/>
        </w:rPr>
      </w:pPr>
      <w:r>
        <w:t>(2)</w:t>
      </w:r>
      <w:r>
        <w:tab/>
      </w:r>
      <w:r>
        <w:rPr>
          <w:noProof/>
        </w:rPr>
        <w:t>Regulamentul (UE) nr. 1316/2013 al Parlamentului European și al Consiliului</w:t>
      </w:r>
      <w:r>
        <w:rPr>
          <w:rStyle w:val="FootnoteReference"/>
          <w:noProof/>
        </w:rPr>
        <w:footnoteReference w:id="8"/>
      </w:r>
      <w:r>
        <w:rPr>
          <w:noProof/>
        </w:rPr>
        <w:t xml:space="preserve"> a instituit un instrument de finanțare al Uniunii, Mecanismul pentru interconectarea Europei. Scopul Mecanismului pentru interconectarea Europei este de a permite pregătirea și implementarea proiectelor de interes comun din cadrul politicii privind rețelele transeuropene în sectoarele transporturilor, telecomunicațiilor și energiei.</w:t>
      </w:r>
    </w:p>
    <w:p>
      <w:pPr>
        <w:pStyle w:val="ManualConsidrant"/>
        <w:rPr>
          <w:noProof/>
        </w:rPr>
      </w:pPr>
      <w:r>
        <w:t>(3)</w:t>
      </w:r>
      <w:r>
        <w:tab/>
      </w:r>
      <w:r>
        <w:rPr>
          <w:noProof/>
        </w:rPr>
        <w:t>Partea I din anexa I la Regulamentul (UE) nr. 1316/2013 stabilește o listă cu nouă coridoare ale rețelei centrale. Aceste coridoare reprezintă un instrument care facilitează implementarea coordonată a rețelei centrale. Ele ar trebui să contribuie la coeziunea rețelei centrale prin intermediul unei cooperări teritoriale îmbunătățite, să contribuie la realizarea obiectivelor mai ample ale politicii în domeniul transporturilor și să faciliteze interoperabilitatea, integrarea modală și operațiunile multimodale.</w:t>
      </w:r>
    </w:p>
    <w:p>
      <w:pPr>
        <w:pStyle w:val="ManualConsidrant"/>
        <w:rPr>
          <w:noProof/>
        </w:rPr>
      </w:pPr>
      <w:r>
        <w:t>(4)</w:t>
      </w:r>
      <w:r>
        <w:tab/>
      </w:r>
      <w:r>
        <w:rPr>
          <w:noProof/>
        </w:rPr>
        <w:t>Regatul Unit face parte din coridorul Marea Nordului – mediteraneean, care include legături între Belfast, Dublin și Cork în Irlanda și legături în Regatul Unit de la Glasgow și Edinburgh la nord până la Folkestone și Dover în sud. Tronsoanele și nodurile din Regatul Unit sunt incluse în tabelul „Tronsoane identificate în prealabil care includ proiecte” cu coridoarele rețelei centrale, care figurează în partea I din anexa I la Regulamentul (UE) nr. 1316/2013.</w:t>
      </w:r>
    </w:p>
    <w:p>
      <w:pPr>
        <w:pStyle w:val="ManualConsidrant"/>
        <w:rPr>
          <w:noProof/>
        </w:rPr>
      </w:pPr>
      <w:r>
        <w:t>(5)</w:t>
      </w:r>
      <w:r>
        <w:tab/>
      </w:r>
      <w:r>
        <w:rPr>
          <w:noProof/>
        </w:rPr>
        <w:t>Având în vedere retragerea Regatului Unit din Uniune, părțile alinierii coridorului Marea Nordului – mediteraneean referitoare la Regatul Unit și la tronsoanele și nodurile Regatului Unit, incluse în tabelul „Tronsoane identificate în prealabil care includ proiecte”, vor deveni caduce și nu vor mai produce efecte juridice începând din ziua următoare celei în care Regulamentul (UE) nr. 1316/2013 va înceta să se aplice Regatului Unit.</w:t>
      </w:r>
    </w:p>
    <w:p>
      <w:pPr>
        <w:pStyle w:val="ManualConsidrant"/>
        <w:rPr>
          <w:noProof/>
        </w:rPr>
      </w:pPr>
      <w:r>
        <w:t>(6)</w:t>
      </w:r>
      <w:r>
        <w:tab/>
      </w:r>
      <w:r>
        <w:rPr>
          <w:noProof/>
        </w:rPr>
        <w:t>Pentru a se evita scindarea coridorului Marea Nordului – mediteraneean al rețelei centrale în două părți distincte și neconectate și a se asigura conectivitatea Irlandei cu Europa continentală, coridorul Marea Nordului – Marea Mediterană al rețelei centrale ar trebui să includă legături maritime între principalele porturi irlandeze și principalele porturi din Belgia și din Țările de Jos.</w:t>
      </w:r>
    </w:p>
    <w:p>
      <w:pPr>
        <w:pStyle w:val="ManualConsidrant"/>
        <w:rPr>
          <w:noProof/>
        </w:rPr>
      </w:pPr>
      <w:r>
        <w:t>(7)</w:t>
      </w:r>
      <w:r>
        <w:tab/>
      </w:r>
      <w:r>
        <w:rPr>
          <w:noProof/>
        </w:rPr>
        <w:t>Garantarea legăturii dintre Irlanda și celelalte state membre care participă la coridorul Marea Nordului – mediteraneean al rețelei centrale este esențială pentru investițiile în curs și cele viitoare în infrastructură, precum și în vederea asigurării clarității și securității juridice pentru planificarea infrastructurii.</w:t>
      </w:r>
    </w:p>
    <w:p>
      <w:pPr>
        <w:pStyle w:val="ManualConsidrant"/>
        <w:rPr>
          <w:noProof/>
        </w:rPr>
      </w:pPr>
      <w:r>
        <w:t>(8)</w:t>
      </w:r>
      <w:r>
        <w:tab/>
      </w:r>
      <w:r>
        <w:rPr>
          <w:noProof/>
        </w:rPr>
        <w:t>Prezentul regulament ar trebui să se aplice începând cu ziua următoare celei în care Regulamentul (UE) nr. 1316/2013 încetează să se aplice Regatului Unit,</w:t>
      </w:r>
    </w:p>
    <w:p>
      <w:pPr>
        <w:rPr>
          <w:noProof/>
        </w:rPr>
      </w:pPr>
    </w:p>
    <w:p>
      <w:pPr>
        <w:rPr>
          <w:noProof/>
          <w:highlight w:val="yellow"/>
        </w:rPr>
      </w:pPr>
    </w:p>
    <w:p>
      <w:pPr>
        <w:pStyle w:val="Formuledadoption"/>
        <w:rPr>
          <w:noProof/>
        </w:rPr>
      </w:pPr>
      <w:r>
        <w:rPr>
          <w:noProof/>
        </w:rPr>
        <w:t>ADOPTĂ PREZENTUL REGULAMENT:</w:t>
      </w:r>
    </w:p>
    <w:p>
      <w:pPr>
        <w:pStyle w:val="Titrearticle"/>
        <w:rPr>
          <w:noProof/>
        </w:rPr>
      </w:pPr>
      <w:r>
        <w:rPr>
          <w:noProof/>
        </w:rPr>
        <w:t>Articolul 1</w:t>
      </w:r>
    </w:p>
    <w:p>
      <w:pPr>
        <w:rPr>
          <w:noProof/>
        </w:rPr>
      </w:pPr>
      <w:r>
        <w:rPr>
          <w:noProof/>
          <w:color w:val="000000"/>
        </w:rPr>
        <w:t>Anexa I la Regulamentul (UE) nr. 1316/2013 se modifică astfel cum se prevede în anexa la prezentul regulament.</w:t>
      </w: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rPr>
          <w:noProof/>
        </w:rPr>
      </w:pPr>
      <w:r>
        <w:rPr>
          <w:noProof/>
        </w:rPr>
        <w:t>Se aplică începând cu ziua următoare celei în care Regulamentul (UE) nr. 1316/2013 încetează să se aplice Regatului Unit.</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Regulamentul (UE) nr. 1316/2013 al Parlamentului European și al Consiliului din 11 decembrie 2013 de instituire a Mecanismului pentru Interconectarea Europei, de modificare a Regulamentului (UE) nr. 913/2010 și de abrogare a Regulamentului (CE) nr. 680/2007 și (CE) nr. 67/2010.</w:t>
      </w:r>
    </w:p>
  </w:footnote>
  <w:footnote w:id="2">
    <w:p>
      <w:pPr>
        <w:pStyle w:val="FootnoteText"/>
      </w:pPr>
      <w:r>
        <w:rPr>
          <w:rStyle w:val="FootnoteReference"/>
        </w:rPr>
        <w:footnoteRef/>
      </w:r>
      <w:r>
        <w:tab/>
        <w:t>Regulamentul (UE) nr. 1315/2013 al Parlamentului European și al Consiliului din 11 decembrie 2013 privind orientările Uniunii pentru dezvoltarea rețelei transeuropene de transport și de abrogare a Deciziei nr. 661/2010/UE.</w:t>
      </w:r>
    </w:p>
  </w:footnote>
  <w:footnote w:id="3">
    <w:p>
      <w:pPr>
        <w:pStyle w:val="FootnoteText"/>
      </w:pPr>
      <w:r>
        <w:rPr>
          <w:rStyle w:val="FootnoteReference"/>
        </w:rPr>
        <w:footnoteRef/>
      </w:r>
      <w:r>
        <w:tab/>
        <w:t>Sunt în curs de desfășurare negocieri cu Regatul Unit în vederea ajungerii la un acord de retragere.</w:t>
      </w:r>
    </w:p>
  </w:footnote>
  <w:footnote w:id="4">
    <w:p>
      <w:pPr>
        <w:pStyle w:val="FootnoteText"/>
      </w:pPr>
      <w:r>
        <w:rPr>
          <w:rStyle w:val="FootnoteReference"/>
        </w:rPr>
        <w:footnoteRef/>
      </w:r>
      <w:r>
        <w:tab/>
        <w:t>În plus, în conformitate cu articolul 50 alineatul (3) din Tratatul privind Uniunea Europeană, Consiliul European, de acord cu Regatul Unit, poate decide în unanimitate că tratatele încetează să se aplice de la o dată ulterioară.</w:t>
      </w:r>
    </w:p>
  </w:footnote>
  <w:footnote w:id="5">
    <w:p>
      <w:pPr>
        <w:pStyle w:val="FootnoteText"/>
      </w:pPr>
      <w:r>
        <w:rPr>
          <w:rStyle w:val="FootnoteReference"/>
        </w:rPr>
        <w:footnoteRef/>
      </w:r>
      <w:r>
        <w:tab/>
        <w:t>Propunere de regulament al Parlamentului European și al Consiliului de instituire a Mecanismului pentru Interconectarea Europei</w:t>
      </w:r>
    </w:p>
    <w:p>
      <w:pPr>
        <w:pStyle w:val="FootnoteText"/>
      </w:pPr>
      <w:r>
        <w:t>și de abrogare a Regulamentului (UE) nr. 1316/2013 și a Regulamentului (UE) nr. 283/2014 (COM/2018/438 final)</w:t>
      </w:r>
    </w:p>
  </w:footnote>
  <w:footnote w:id="6">
    <w:p>
      <w:pPr>
        <w:pStyle w:val="FootnoteText"/>
      </w:pPr>
      <w:r>
        <w:rPr>
          <w:rStyle w:val="FootnoteReference"/>
        </w:rPr>
        <w:footnoteRef/>
      </w:r>
      <w:r>
        <w:tab/>
        <w:t>JO C , , p. .</w:t>
      </w:r>
    </w:p>
  </w:footnote>
  <w:footnote w:id="7">
    <w:p>
      <w:pPr>
        <w:pStyle w:val="FootnoteText"/>
      </w:pPr>
      <w:r>
        <w:rPr>
          <w:rStyle w:val="FootnoteReference"/>
        </w:rPr>
        <w:footnoteRef/>
      </w:r>
      <w:r>
        <w:tab/>
        <w:t>JO C , , p. .</w:t>
      </w:r>
    </w:p>
  </w:footnote>
  <w:footnote w:id="8">
    <w:p>
      <w:pPr>
        <w:pStyle w:val="FootnoteText"/>
      </w:pPr>
      <w:r>
        <w:rPr>
          <w:rStyle w:val="FootnoteReference"/>
        </w:rPr>
        <w:footnoteRef/>
      </w:r>
      <w:r>
        <w:tab/>
        <w:t>Regulamentul (UE) nr. 1316/2013 al Parlamentului European și al Consiliului din 11 decembrie 2013 de instituire a Mecanismului pentru Interconectarea Europei, de modificare a Regulamentului (UE) nr. 913/2010 și de abrogare a Regulamentelor (CE) nr. 680/2007 și (CE) nr. 67/2010 (JO L 348, 20.12.2013, p.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8F37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6C88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1D055E8"/>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08C0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080E4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D8EF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1BE2A68"/>
    <w:lvl w:ilvl="0">
      <w:start w:val="1"/>
      <w:numFmt w:val="decimal"/>
      <w:pStyle w:val="ListNumber"/>
      <w:lvlText w:val="%1."/>
      <w:lvlJc w:val="left"/>
      <w:pPr>
        <w:tabs>
          <w:tab w:val="num" w:pos="360"/>
        </w:tabs>
        <w:ind w:left="360" w:hanging="360"/>
      </w:pPr>
    </w:lvl>
  </w:abstractNum>
  <w:abstractNum w:abstractNumId="7">
    <w:nsid w:val="FFFFFF89"/>
    <w:multiLevelType w:val="singleLevel"/>
    <w:tmpl w:val="6292EA0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6"/>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6 07:19: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8902DFB-B4BA-445C-8B53-3F542FE32533"/>
    <w:docVar w:name="LW_COVERPAGE_TYPE" w:val="1"/>
    <w:docVar w:name="LW_CROSSREFERENCE" w:val="&lt;UNUSED&gt;"/>
    <w:docVar w:name="LW_DocType" w:val="COM"/>
    <w:docVar w:name="LW_EMISSION" w:val="1.8.2018"/>
    <w:docVar w:name="LW_EMISSION_ISODATE" w:val="2018-08-01"/>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99"/>
    <w:docVar w:name="LW_REF.II.NEW.CP_YEAR" w:val="2018"/>
    <w:docVar w:name="LW_REF.INST.NEW" w:val="COM"/>
    <w:docVar w:name="LW_REF.INST.NEW_ADOPTED" w:val="final"/>
    <w:docVar w:name="LW_REF.INST.NEW_TEXT" w:val="(2018) 5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UE) nr. 1316/2013 în ceea ce prive\u537?te retragerea Regatului Unit din Uniune"/>
    <w:docVar w:name="LW_TYPE.DOC.CP" w:val="REGULAMENT AL PARLAMENTULUI EUROPEAN \u536?I AL CONSILIULUI"/>
    <w:docVar w:name="Stamp" w:val="\\dossiers.dgt.cec.eu.int\dossiers\MOVE\MOVE-2018-00703\MOVE-2018-00703-00-00-EN-EDT-00.201807121208556608503.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customStyle="1" w:styleId="update1">
    <w:name w:val="update1"/>
    <w:basedOn w:val="DefaultParagraphFont"/>
    <w:rPr>
      <w:color w:val="006666"/>
    </w:rPr>
  </w:style>
  <w:style w:type="character" w:customStyle="1" w:styleId="bold1">
    <w:name w:val="bold1"/>
    <w:basedOn w:val="DefaultParagraphFon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7AD0-FE14-4F0F-8EC7-7BD43034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1850</Words>
  <Characters>11047</Characters>
  <Application>Microsoft Office Word</Application>
  <DocSecurity>0</DocSecurity>
  <Lines>190</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2018-07-13T13:01:00Z</cp:lastPrinted>
  <dcterms:created xsi:type="dcterms:W3CDTF">2018-07-25T08:15:00Z</dcterms:created>
  <dcterms:modified xsi:type="dcterms:W3CDTF">2018-07-26T05:19:00Z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