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987D9A4-3316-4627-A1D6-7F51A8B52113" style="width:455.25pt;height:424.5pt">
            <v:imagedata r:id="rId9" o:title=""/>
          </v:shape>
        </w:pict>
      </w:r>
    </w:p>
    <w:p>
      <w:pPr>
        <w:spacing w:before="0" w:after="200" w:line="276" w:lineRule="auto"/>
        <w:jc w:val="left"/>
        <w:rPr>
          <w:b/>
          <w:noProof/>
          <w:u w:val="single"/>
        </w:rPr>
      </w:pPr>
      <w:r>
        <w:rPr>
          <w:noProof/>
        </w:rPr>
        <w:br w:type="page"/>
      </w:r>
    </w:p>
    <w:p>
      <w:pPr>
        <w:pStyle w:val="Exposdesmotifstitre"/>
        <w:rPr>
          <w:noProof/>
        </w:rPr>
      </w:pPr>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rFonts w:eastAsia="Calibri"/>
          <w:noProof/>
        </w:rPr>
      </w:pPr>
      <w:r>
        <w:rPr>
          <w:noProof/>
        </w:rPr>
        <w:t>Demokrati er en af de grundlæggende værdier, som Den Europæiske Union bygger på. For at sikre, at et repræsentativt demokrati kan fungere på europæisk plan, fastsættes det i traktaterne, at Unionens borgere repræsenteres direkte i Europa-Parlamentet.</w:t>
      </w:r>
    </w:p>
    <w:p>
      <w:pPr>
        <w:rPr>
          <w:rFonts w:eastAsia="Calibri"/>
          <w:noProof/>
        </w:rPr>
      </w:pPr>
      <w:r>
        <w:rPr>
          <w:noProof/>
        </w:rPr>
        <w:t>Politiske partier spiller en afgørende rolle i et repræsentativt demokrati, idet de skaber en direkte forbindelse mellem borgerne og det politiske system og styrker derved systemets legitimitet. I artikel 10 i traktaten om Den Europæiske Union bestemmes det, at "politiske partier på europæisk plan bidrager til at skabe en europæisk politisk bevidsthed og til at udtrykke unionsborgernes vilje". I artikel 12, stk. 2, i Den Europæiske Unions charter om grundlæggende rettigheder fastlægges det samme princip.</w:t>
      </w:r>
    </w:p>
    <w:p>
      <w:pPr>
        <w:rPr>
          <w:noProof/>
          <w:szCs w:val="24"/>
        </w:rPr>
      </w:pPr>
      <w:r>
        <w:rPr>
          <w:noProof/>
        </w:rPr>
        <w:t>Kommissionen udsendte i februar 2018 en henstilling</w:t>
      </w:r>
      <w:r>
        <w:rPr>
          <w:rStyle w:val="FootnoteReference"/>
          <w:noProof/>
        </w:rPr>
        <w:footnoteReference w:id="2"/>
      </w:r>
      <w:r>
        <w:rPr>
          <w:noProof/>
        </w:rPr>
        <w:t xml:space="preserve"> om en mere synlig europæisk dimension og en mere effektiv gennemførelse af valget til Europa-Parlamentet i 2019, som var rettet til medlemsstaterne og til europæiske og nationale politiske partier. Den indeholdt opfordringer til de europæiske politiske partier og de nationale partier til at øge gennemsigtigheden med hensyn til deres respektive tilhørsforhold og tilknytning, og deri opfordredes disse politiske partier til at bidrage til at skabe opmærksomhed om vigtige spørgsmål på EU-plan og om, hvordan de har til hensigt at tackle dem i den kommende valgperiode.</w:t>
      </w:r>
    </w:p>
    <w:p>
      <w:pPr>
        <w:rPr>
          <w:rFonts w:eastAsia="Calibri"/>
          <w:noProof/>
        </w:rPr>
      </w:pPr>
      <w:r>
        <w:rPr>
          <w:noProof/>
        </w:rPr>
        <w:t>I EU er databeskyttelse en grundlæggende rettighed, og i den generelle forordning om databeskyttelse</w:t>
      </w:r>
      <w:r>
        <w:rPr>
          <w:rStyle w:val="FootnoteReference"/>
          <w:noProof/>
        </w:rPr>
        <w:footnoteReference w:id="3"/>
      </w:r>
      <w:r>
        <w:rPr>
          <w:noProof/>
        </w:rPr>
        <w:t xml:space="preserve"> fastsættes strenge bestemmelser til at beskytte denne grundlæggende rettighed. Navnlig skal personoplysninger behandles på en lovlig og rimelig måde. </w:t>
      </w:r>
    </w:p>
    <w:p>
      <w:pPr>
        <w:rPr>
          <w:rFonts w:eastAsia="Calibri"/>
          <w:noProof/>
        </w:rPr>
      </w:pPr>
      <w:r>
        <w:rPr>
          <w:noProof/>
        </w:rPr>
        <w:t>Onlinekommunikation har potentialet til at muliggøre tættere og direkte samspil mellem de politiske aktører og de europæiske borgere. Samtidig medfører det øget risiko for ulovlig behandling af personoplysninger i forbindelse med valg. Et antal begivenheder på det seneste har vist, at misbrug af databeskyttelsesreglerne kan påvirke den demokratiske debat og frie valg, herunder valg til Europa-Parlamentet.</w:t>
      </w:r>
    </w:p>
    <w:p>
      <w:pPr>
        <w:rPr>
          <w:noProof/>
          <w:u w:color="000000"/>
          <w:bdr w:val="nil"/>
        </w:rPr>
      </w:pPr>
      <w:r>
        <w:rPr>
          <w:noProof/>
        </w:rPr>
        <w:t xml:space="preserve">Facebook/Cambridge Analytica-sagen fra 2018 om påstået ulovlig behandling af brugerdata erhvervet fra Facebook af selskabet Cambridge Analytica gav anledning til alvorlig bekymring for konsekvenserne af databeskyttelseskrænkelser i valgprocesserne. Der pågår undersøgelser i forbindelse med dette særlige tilfælde, blandt andet af det britiske Information Commissioner's Office, som er den tilsynsmyndighed for databeskyttelse, der leder den europæiske undersøgelse i samarbejde med andre europæiske tilsynsmyndigheder for databeskyttelse. Kommissionen er i tæt kontakt med databeskyttelsesmyndighederne og følger denne proces nøje. USA's Føderale Handelskommission har indledt en undersøgelse af sagen. En række høringer fandt sted i Europa-Parlamentet om sagen og dens indvirkning på enkeltpersoners personoplysninger i Unionen. </w:t>
      </w:r>
    </w:p>
    <w:p>
      <w:pPr>
        <w:rPr>
          <w:noProof/>
          <w:szCs w:val="24"/>
        </w:rPr>
      </w:pPr>
      <w:r>
        <w:rPr>
          <w:noProof/>
        </w:rPr>
        <w:t>Europa Parlamentets og Rådets forordning nr. 1141/2014 af 22. oktober 2014 om statut for og finansiering af europæiske politiske partier og europæiske politiske fonde</w:t>
      </w:r>
      <w:r>
        <w:rPr>
          <w:rStyle w:val="FootnoteReference"/>
          <w:noProof/>
        </w:rPr>
        <w:footnoteReference w:id="4"/>
      </w:r>
      <w:r>
        <w:rPr>
          <w:noProof/>
        </w:rPr>
        <w:t xml:space="preserve"> blev vedtaget med det formål at øge de europæiske politiske partiers og deres tilknyttede politiske fondes synlighed, status, effektivitet, gennemsigtighed og ansvarlighed. I lyset af denne forordning fik politiske partier og fonde, som opfylder en række betingelser, mulighed for at få status som europæiske retlige enheder, hvis de registrerede sig på europæisk plan, hvilket styrkede deres adgang til europæisk finansiel støtte. Blandt disse betingelser er, at de både i deres programmer og aktiviteter, udviser respekt for de værdier, som EU bygger på — som er anført i artikel 2 i traktaten om den Europæiske Union: nemlig respekt for den menneskelige værdighed, frihed, demokrati, ligestilling, retsstaten og respekt for menneskerettighederne, herunder rettigheder for personer, der tilhører mindretal. Der blev etableret en uafhængig myndighed for europæiske politiske partier og fonde ("myndigheden") med det formål at registrere og overvåge europæiske politiske partier og europæiske politiske fonde og om nødvendigt at pålægge disse sanktioner, herunder at behandle tilfælde, hvor sådanne enheder angiveligt ikke respekterer disse grundlæggende europæiske værdier. </w:t>
      </w:r>
    </w:p>
    <w:p>
      <w:pPr>
        <w:rPr>
          <w:rFonts w:eastAsia="Calibri"/>
          <w:noProof/>
        </w:rPr>
      </w:pPr>
      <w:r>
        <w:rPr>
          <w:noProof/>
        </w:rPr>
        <w:t>De gældende bestemmelser giver imidlertid ikke mulighed for effektivt at afskrække og sanktionere misbrug af databeskyttelsesregler, der kan påvirke den demokratiske debat og frie valg.</w:t>
      </w:r>
    </w:p>
    <w:p>
      <w:pPr>
        <w:pBdr>
          <w:top w:val="nil"/>
          <w:left w:val="nil"/>
          <w:bottom w:val="nil"/>
          <w:right w:val="nil"/>
          <w:between w:val="nil"/>
          <w:bar w:val="nil"/>
        </w:pBdr>
        <w:spacing w:before="0" w:after="240"/>
        <w:rPr>
          <w:noProof/>
        </w:rPr>
      </w:pPr>
      <w:r>
        <w:rPr>
          <w:noProof/>
        </w:rPr>
        <w:t xml:space="preserve">For at sikre, at valget til Europa-Parlamentet finder sted i henhold til strenge demokratiske regler og med fuld respekt for de europæiske værdier som demokrati, retsstatsprincippet og respekten for de grundlæggende rettigheder, foreslår Kommissionen en målrettet ændring af forordning nr. 1141/2014. Ændringen har til formål at tillade finansielle sanktioner til europæiske politiske partier eller fonde, der anvender en overtrædelse af databeskyttelsesreglerne til bevidst at påvirke eller forsøge at påvirke resultatet af valg til Europa-Parlamentet. </w:t>
      </w:r>
    </w:p>
    <w:p>
      <w:pPr>
        <w:pBdr>
          <w:top w:val="nil"/>
          <w:left w:val="nil"/>
          <w:bottom w:val="nil"/>
          <w:right w:val="nil"/>
          <w:between w:val="nil"/>
          <w:bar w:val="nil"/>
        </w:pBdr>
        <w:spacing w:before="0" w:after="240"/>
        <w:rPr>
          <w:noProof/>
          <w:szCs w:val="24"/>
        </w:rPr>
      </w:pPr>
      <w:r>
        <w:rPr>
          <w:noProof/>
        </w:rPr>
        <w:t>Med forslaget vil også blive muligt for myndigheden at arbejde smidigt og effektivt, idet det sikres, at myndigheden får tildelt eget personale, og at dens direktør får beføjelser som ansættelsesmyndighed. Dette skulle også gøre det muligt for myndigheden at udføre sine opgaver, herunder de nye opgaver i dette forslag, og det på en uafhængig måde. Parallelt hermed er Kommissionen med henblik på at imødekomme myndighedens ønske om et øget antal medarbejdere og i lyset af myndighedens nøglerolle i perioden op til valget i Europa-Parlamentet klar til straks at udstationere de ønskede seks ekstra medarbejdere hos myndigheden, indtil det faste personale er ansat.</w:t>
      </w:r>
    </w:p>
    <w:p>
      <w:pPr>
        <w:rPr>
          <w:rFonts w:eastAsia="Calibri"/>
          <w:noProof/>
        </w:rPr>
      </w:pPr>
      <w:r>
        <w:rPr>
          <w:noProof/>
        </w:rPr>
        <w:t>Proceduren for valg til Europa-Parlamentet er underlagt den enkelte medlemsstats nationale bestemmelser. Politiske partier spiller en afgørende rolle i et repræsentativt demokrati, idet de skaber en direkte forbindelse mellem borgerne og det politiske system. De nationale og regionale politiske partier opstiller deres kandidater og organiserer valgkampagnerne. De nationale myndigheder har ansvaret for at overvåge valget på nationalt plan. De europæiske politiske partier gennemfører supplerende kampagner på europæisk plan, herunder kampagner for spidskandidater til rollen som formand for Europa-Kommissionen.</w:t>
      </w:r>
    </w:p>
    <w:p>
      <w:pPr>
        <w:rPr>
          <w:rFonts w:eastAsia="Calibri"/>
          <w:noProof/>
        </w:rPr>
      </w:pPr>
      <w:r>
        <w:rPr>
          <w:noProof/>
        </w:rPr>
        <w:t>Den ændrede forordning udgør en del af en sikkerhedspakke sammen med Kommissionens retningslinjer om anvendelsen af EU's databeskyttelseslovgivning i forbindelse med valg</w:t>
      </w:r>
      <w:r>
        <w:rPr>
          <w:rStyle w:val="FootnoteReference"/>
          <w:noProof/>
        </w:rPr>
        <w:footnoteReference w:id="5"/>
      </w:r>
      <w:r>
        <w:rPr>
          <w:noProof/>
        </w:rPr>
        <w:t>, Kommissionens henstilling om netværk for valgsamarbejde, gennemsigtighed på nettet, beskyttelse mod cyberangreb og bekæmpelse af desinformationskampagner i forbindelse med valg til Europa-Parlamentet</w:t>
      </w:r>
      <w:r>
        <w:rPr>
          <w:rStyle w:val="FootnoteReference"/>
          <w:noProof/>
        </w:rPr>
        <w:footnoteReference w:id="6"/>
      </w:r>
      <w:r>
        <w:rPr>
          <w:noProof/>
        </w:rPr>
        <w:t xml:space="preserve"> og en meddelelse fra Kommissionen om sikring af frie og retfærdige valg til Europa-Parlamentet</w:t>
      </w:r>
      <w:r>
        <w:rPr>
          <w:rStyle w:val="FootnoteReference"/>
          <w:noProof/>
        </w:rPr>
        <w:footnoteReference w:id="7"/>
      </w:r>
      <w:r>
        <w:rPr>
          <w:noProof/>
        </w:rPr>
        <w:t>, der vedtages samme dag. Det er et bidrag fra Europa-Kommissionen til ledernes møde i Salzburg den 19.-20. september 2018.</w:t>
      </w:r>
    </w:p>
    <w:p>
      <w:pPr>
        <w:rPr>
          <w:rFonts w:eastAsia="Calibri"/>
          <w:noProof/>
        </w:rPr>
      </w:pPr>
      <w:r>
        <w:rPr>
          <w:noProof/>
        </w:rPr>
        <w:t xml:space="preserve">I henstillingen tilskyndes datatilsynsmyndighederne i overensstemmelse med gældende EU-ret og national lovgivning til straks og proaktivt at underrette myndigheden for europæiske politiske partier og europæiske politiske fonde, når de træffer afgørelser, hvori de konstaterer, at et europæisk politisk parti, en europæisk politisk fond eller en anden fysisk eller juridisk person har overtrådt gældende regler om beskyttelse af personoplysninger. Denne underretning skal gives, når det af afgørelsen følger, eller når der er andre rimelige grunde til at formode, at overtrædelsen er knyttet til et europæisk politisk partis eller en europæisk politisk fonds politiske aktiviteter i forbindelse med valg til Europa-Parlamentet. I henstillingen tilskyndes medlemsstaterne til også at anvende passende sanktioner over for politiske partier og fonde på nationalt og regionalt plan i tilfælde af, at overtrædelser af reglerne om beskyttelse af personoplysninger anvendes med henblik på at påvirke eller forsøge at påvirke valg til Europa-Parlamentet. </w:t>
      </w:r>
    </w:p>
    <w:p>
      <w:pPr>
        <w:rPr>
          <w:noProof/>
          <w:u w:color="000000"/>
          <w:bdr w:val="nil"/>
        </w:rPr>
      </w:pPr>
      <w:r>
        <w:rPr>
          <w:noProof/>
        </w:rPr>
        <w:t xml:space="preserve">De målrettede ændringer af forordning nr. 1141/2014 bør være iværksat inden valget til Europa-Parlamentet i 2019. </w:t>
      </w:r>
    </w:p>
    <w:p>
      <w:pPr>
        <w:pStyle w:val="ManualHeading2"/>
        <w:rPr>
          <w:rFonts w:eastAsia="Arial Unicode MS"/>
          <w:noProof/>
          <w:color w:val="000000"/>
          <w:u w:color="000000"/>
          <w:bdr w:val="nil"/>
        </w:rPr>
      </w:pPr>
      <w:r>
        <w:rPr>
          <w:noProof/>
          <w:color w:val="000000"/>
          <w:u w:color="000000"/>
          <w:bdr w:val="nil"/>
        </w:rPr>
        <w:t>•</w:t>
      </w:r>
      <w:r>
        <w:rPr>
          <w:noProof/>
        </w:rPr>
        <w:tab/>
        <w:t xml:space="preserve">Sammenhæng med Unionens politik på andre områder </w:t>
      </w:r>
    </w:p>
    <w:p>
      <w:pPr>
        <w:rPr>
          <w:noProof/>
        </w:rPr>
      </w:pPr>
      <w:r>
        <w:rPr>
          <w:noProof/>
        </w:rPr>
        <w:t>Den generelle forordning om databeskyttelse</w:t>
      </w:r>
      <w:r>
        <w:rPr>
          <w:rStyle w:val="FootnoteReference"/>
          <w:noProof/>
        </w:rPr>
        <w:footnoteReference w:id="8"/>
      </w:r>
      <w:r>
        <w:rPr>
          <w:noProof/>
        </w:rPr>
        <w:t xml:space="preserve"> har siden den 25. maj 2018 fundet anvendelse i alle EU's medlemsstater. Heri er der fastsat høje databeskyttelsesstandarder, der er egnede til den digitale økonomi, og som bidrager til, at organisationer, der behandler oplysninger, herunder europæiske politiske partier og europæiske politiske fonde, i højere grad bliver ansvarlige og ansvarsbevidste i deres behandling af personoplysninger. </w:t>
      </w:r>
    </w:p>
    <w:p>
      <w:pPr>
        <w:rPr>
          <w:noProof/>
        </w:rPr>
      </w:pPr>
      <w:r>
        <w:rPr>
          <w:noProof/>
        </w:rPr>
        <w:t>Kommissionen opfordrer i sin henstilling af 14. februar 2018</w:t>
      </w:r>
      <w:r>
        <w:rPr>
          <w:rStyle w:val="FootnoteReference"/>
          <w:noProof/>
        </w:rPr>
        <w:footnoteReference w:id="9"/>
      </w:r>
      <w:r>
        <w:rPr>
          <w:noProof/>
        </w:rPr>
        <w:t xml:space="preserve"> om en mere synlig europæisk dimension og en mere effektiv gennemførelse af valget til Europa-Parlamentet i 2019 de kompetente nationale myndigheder til at udpege bedste praksisser med henblik på identifikation, afbødning og håndtering af risici i forbindelse med afviklingen af valget fra cyberangreb og desinformation. Kommissionen afholdt i april 2018 et møde med medlemsstaternes valgkommission for at drøfte, udveksle bedste praksis og oplyse de nationale myndigheder om sikkerhed, desinformationskampagner og håndhævelse af valgregler på nettet.</w:t>
      </w:r>
    </w:p>
    <w:p>
      <w:pPr>
        <w:pBdr>
          <w:top w:val="nil"/>
          <w:left w:val="nil"/>
          <w:bottom w:val="nil"/>
          <w:right w:val="nil"/>
          <w:between w:val="nil"/>
          <w:bar w:val="nil"/>
        </w:pBdr>
        <w:spacing w:before="0" w:after="240"/>
        <w:rPr>
          <w:noProof/>
          <w:highlight w:val="green"/>
        </w:rPr>
      </w:pPr>
      <w:r>
        <w:rPr>
          <w:noProof/>
        </w:rPr>
        <w:t>Kommissionen offentliggjorde i april 2018 en meddelelse om "Bekæmpelse af desinformation på internettet"</w:t>
      </w:r>
      <w:r>
        <w:rPr>
          <w:rStyle w:val="FootnoteReference"/>
          <w:noProof/>
        </w:rPr>
        <w:footnoteReference w:id="10"/>
      </w:r>
      <w:r>
        <w:rPr>
          <w:noProof/>
        </w:rPr>
        <w:t xml:space="preserve">, hvori de relevante interessenters roller og ansvarsområder blev fastlagt, og der fremgik en række foranstaltninger, herunder en styrkelse af Kommissionens strategiske kommunikationsrespons på desinformation. </w:t>
      </w:r>
    </w:p>
    <w:p>
      <w:pPr>
        <w:rPr>
          <w:noProof/>
          <w:szCs w:val="24"/>
        </w:rPr>
      </w:pPr>
      <w:r>
        <w:rPr>
          <w:noProof/>
        </w:rPr>
        <w:t>Dette forslag hænger sammen med Kommissionens forslag</w:t>
      </w:r>
      <w:r>
        <w:rPr>
          <w:rStyle w:val="FootnoteReference"/>
          <w:noProof/>
        </w:rPr>
        <w:footnoteReference w:id="11"/>
      </w:r>
      <w:r>
        <w:rPr>
          <w:noProof/>
        </w:rPr>
        <w:t xml:space="preserve"> til en forordning om respekt for privatliv og beskyttelse af personoplysninger i forbindelse med elektronisk kommunikation (e-databeskyttelsesforordningen), hvori gældende e-databeskyttelsesdirektiv</w:t>
      </w:r>
      <w:r>
        <w:rPr>
          <w:rStyle w:val="FootnoteReference"/>
          <w:noProof/>
        </w:rPr>
        <w:footnoteReference w:id="12"/>
      </w:r>
      <w:r>
        <w:rPr>
          <w:noProof/>
        </w:rPr>
        <w:t xml:space="preserve"> revideres, hvilket vil øge gennemsigtigheden og udvide anvendelsesområdet for beskyttelsen af andre end traditionelle teleoperatører til at omfatte internetbaserede elektroniske kommunikationstjenester, og som bør vedtages omgående af Europa-Parlamentet og Rådet. </w:t>
      </w:r>
    </w:p>
    <w:p>
      <w:pPr>
        <w:pStyle w:val="ManualHeading1"/>
        <w:jc w:val="left"/>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autoSpaceDE w:val="0"/>
        <w:autoSpaceDN w:val="0"/>
        <w:adjustRightInd w:val="0"/>
        <w:spacing w:after="0"/>
        <w:rPr>
          <w:bCs/>
          <w:noProof/>
          <w:szCs w:val="24"/>
        </w:rPr>
      </w:pPr>
      <w:r>
        <w:rPr>
          <w:noProof/>
        </w:rPr>
        <w:t>Forslaget er baseret på artikel 224 i traktaten om Den Europæiske Unions funktionsmåde, hvoraf det fremgår, at "</w:t>
      </w:r>
      <w:r>
        <w:rPr>
          <w:i/>
          <w:noProof/>
        </w:rPr>
        <w:t>Europa-Parlamentet og Rådet fastsætter ved forordning efter den almindelige lovgivningsprocedure statutten for politiske partier på europæisk plan som nævnt i artikel 10, stk. 4, i traktaten om Den Europæiske Union og navnlig reglerne for deres finansiering</w:t>
      </w:r>
      <w:r>
        <w:rPr>
          <w:noProof/>
        </w:rPr>
        <w:t>", og på artikel 106a i traktaten om oprettelse af Det Europæiske Atomenergifællesskab</w:t>
      </w:r>
      <w:r>
        <w:rPr>
          <w:rStyle w:val="FootnoteReference"/>
          <w:noProof/>
        </w:rPr>
        <w:footnoteReference w:id="13"/>
      </w:r>
      <w:r>
        <w:rPr>
          <w:noProof/>
        </w:rPr>
        <w:t>.</w:t>
      </w:r>
    </w:p>
    <w:p>
      <w:pPr>
        <w:pStyle w:val="ManualHeading2"/>
        <w:rPr>
          <w:rFonts w:eastAsia="Arial Unicode MS"/>
          <w:noProof/>
          <w:u w:color="000000"/>
          <w:bdr w:val="nil"/>
        </w:rPr>
      </w:pPr>
      <w:r>
        <w:rPr>
          <w:noProof/>
        </w:rPr>
        <w:t>•</w:t>
      </w:r>
      <w:r>
        <w:rPr>
          <w:noProof/>
        </w:rPr>
        <w:tab/>
        <w:t>Nærhedsprincippet</w:t>
      </w:r>
    </w:p>
    <w:p>
      <w:pPr>
        <w:autoSpaceDE w:val="0"/>
        <w:autoSpaceDN w:val="0"/>
        <w:adjustRightInd w:val="0"/>
        <w:spacing w:after="0"/>
        <w:rPr>
          <w:bCs/>
          <w:noProof/>
          <w:szCs w:val="24"/>
        </w:rPr>
      </w:pPr>
      <w:r>
        <w:rPr>
          <w:noProof/>
        </w:rPr>
        <w:t>Eftersom den nuværende forordning omhandler et system på EU-plan, herunder en specifik status som europæisk juridisk person til partier og fonde og finansiering over EU-budgettet, kan mangler i dette system kun afhjælpes gennem EU-lovgivning. Foranstaltninger, der træffes af medlemsstater alene, er derfor ikke en relevant mulighed.</w:t>
      </w:r>
    </w:p>
    <w:p>
      <w:pPr>
        <w:autoSpaceDE w:val="0"/>
        <w:autoSpaceDN w:val="0"/>
        <w:adjustRightInd w:val="0"/>
        <w:spacing w:after="0"/>
        <w:rPr>
          <w:bCs/>
          <w:noProof/>
          <w:szCs w:val="24"/>
        </w:rPr>
      </w:pPr>
      <w:r>
        <w:rPr>
          <w:noProof/>
        </w:rPr>
        <w:t>De foreslåede målrettede ændringer er derfor i fuld overensstemmelse med nærhedsprincippet. Kun på EU-plan kan der fastsættes regler vedrørende statut for og finansiering af europæiske politiske partier og europæiske politiske fonde. Ved fastsættelsen af de mulige reformforanstaltninger har Kommissionen bestræbt sig på at afspejle de principper, der er fastlagt i protokol nr. 2 til traktaterne.</w:t>
      </w:r>
    </w:p>
    <w:p>
      <w:pPr>
        <w:pStyle w:val="ManualHeading2"/>
        <w:rPr>
          <w:rFonts w:eastAsia="Arial Unicode MS"/>
          <w:noProof/>
          <w:u w:color="000000"/>
          <w:bdr w:val="nil"/>
        </w:rPr>
      </w:pPr>
      <w:r>
        <w:rPr>
          <w:noProof/>
        </w:rPr>
        <w:t>•</w:t>
      </w:r>
      <w:r>
        <w:rPr>
          <w:noProof/>
        </w:rPr>
        <w:tab/>
        <w:t>Proportionalitetsprincippet</w:t>
      </w:r>
    </w:p>
    <w:p>
      <w:pPr>
        <w:autoSpaceDE w:val="0"/>
        <w:autoSpaceDN w:val="0"/>
        <w:adjustRightInd w:val="0"/>
        <w:spacing w:after="0"/>
        <w:rPr>
          <w:bCs/>
          <w:noProof/>
          <w:szCs w:val="24"/>
        </w:rPr>
      </w:pPr>
      <w:r>
        <w:rPr>
          <w:noProof/>
        </w:rPr>
        <w:t xml:space="preserve">Som det fremgår af afsnit 5, går de foreslåede målrettede foranstaltninger ikke ud over, hvad der er nødvendigt for at nå det langsigtede mål om at udvikle og styrke det europæiske demokrati og EU-institutionernes legitimitet. </w:t>
      </w:r>
    </w:p>
    <w:p>
      <w:pPr>
        <w:autoSpaceDE w:val="0"/>
        <w:autoSpaceDN w:val="0"/>
        <w:adjustRightInd w:val="0"/>
        <w:spacing w:after="0"/>
        <w:rPr>
          <w:bCs/>
          <w:noProof/>
          <w:szCs w:val="24"/>
        </w:rPr>
      </w:pPr>
      <w:r>
        <w:rPr>
          <w:noProof/>
        </w:rPr>
        <w:t xml:space="preserve">Forslaget er i overensstemmelse med proportionalitetsprincippet. De foreslåede sanktioner bygger på systemet i forordning (EF) nr. 1141/2014, hvori der er fastsat forholdsmæssige sanktioner. De foreslåede foranstaltninger sikrer, at der ikke er dobbelt straf for samme adfærd: overtrædelser af databeskyttelsesregler vil blive straffet af de kompetente tilsynsmyndigheder for databeskyttelse, som fastsat i den generelle forordning om databeskyttelse. Ifølge dette forslag vil udnyttelse af overtrædelser af databeskyttelsesreglerne til bevidst at påvirke eller forsøge at påvirke resultatet af valg til Europa-Parlamentet blive sanktioneret. Myndigheden vil ikke som sådan pålægge sanktioner for overtrædelse af databeskyttelsesreglerne.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Kun en forordning kan ændre en eksisterende forordning.</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color w:val="000000"/>
          <w:u w:color="000000"/>
          <w:bdr w:val="nil"/>
        </w:rPr>
      </w:pPr>
      <w:r>
        <w:rPr>
          <w:noProof/>
        </w:rPr>
        <w:t xml:space="preserve">Kommissionen har ved forberedelsen af dette forslag taget hensyn til de opfordringer, der blev givet udtryk for under drøftelserne og høringerne i Europa-Parlamentet vedrørende Facebook/Cambridge Analytica-sagen </w:t>
      </w:r>
      <w:r>
        <w:rPr>
          <w:noProof/>
          <w:color w:val="000000"/>
          <w:u w:color="000000"/>
          <w:bdr w:val="nil"/>
        </w:rPr>
        <w:t xml:space="preserve">om påstandene om Cambridge Analyticas anvendelse af Facebookbrugeres data og indvirkningen på beskyttelsen af enkeltpersoners data i Unionen (høringer den 4. juni 2018, den 25. juni 2018 og den 2. juli 2018). </w:t>
      </w:r>
    </w:p>
    <w:p>
      <w:pPr>
        <w:pBdr>
          <w:top w:val="nil"/>
          <w:left w:val="nil"/>
          <w:bottom w:val="nil"/>
          <w:right w:val="nil"/>
          <w:between w:val="nil"/>
          <w:bar w:val="nil"/>
        </w:pBdr>
        <w:spacing w:before="0" w:after="240"/>
        <w:rPr>
          <w:noProof/>
        </w:rPr>
      </w:pPr>
      <w:r>
        <w:rPr>
          <w:noProof/>
        </w:rPr>
        <w:t xml:space="preserve">Disse drøftelser og høringer har vist, at anvendelsen af vildledende og manipulerende teknikker til mikromålretning med det formål at skabe en urimelig påvirkning af resultatet af afstemninger er tæt forbundet med spørgsmålet om ulovlig overførsel og behandling af personoplysninger. EU's regler sikrer allerede effektiv beskyttelse af personoplysninger. </w:t>
      </w:r>
    </w:p>
    <w:p>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Konsekvensanalyse</w:t>
      </w:r>
    </w:p>
    <w:p>
      <w:pPr>
        <w:pBdr>
          <w:top w:val="nil"/>
          <w:left w:val="nil"/>
          <w:bottom w:val="nil"/>
          <w:right w:val="nil"/>
          <w:between w:val="nil"/>
          <w:bar w:val="nil"/>
        </w:pBdr>
        <w:spacing w:before="0" w:after="240"/>
        <w:rPr>
          <w:rFonts w:eastAsia="Arial Unicode MS"/>
          <w:noProof/>
        </w:rPr>
      </w:pPr>
      <w:r>
        <w:rPr>
          <w:noProof/>
        </w:rPr>
        <w:t>Forslaget ledsages ikke af en specifik konsekvensanalyse. Det forventes ikke at få større økonomiske, sociale og miljømæssige virkninger. De foreslåede ændringer bygger på de eksisterende kontrol- og sanktionsordninger, der er fastsat i forordning nr. 1141/2014.</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bCs/>
          <w:noProof/>
          <w:szCs w:val="24"/>
        </w:rPr>
      </w:pPr>
      <w:r>
        <w:rPr>
          <w:noProof/>
        </w:rPr>
        <w:t>Det er fastlagt i artikel 2 i traktaten om Den Europæiske Union (TEU), at "</w:t>
      </w:r>
      <w:r>
        <w:rPr>
          <w:i/>
          <w:noProof/>
        </w:rPr>
        <w:t>Unionen bygger på værdierne respekt for den menneskelige værdighed, frihed, demokrati, ligestilling, retsstaten og respekt for menneskerettighederne, herunder rettigheder for personer, der tilhører mindretal</w:t>
      </w:r>
      <w:r>
        <w:rPr>
          <w:noProof/>
        </w:rPr>
        <w:t>.</w:t>
      </w:r>
      <w:r>
        <w:rPr>
          <w:i/>
          <w:noProof/>
        </w:rPr>
        <w:t xml:space="preserve"> Dette er medlemsstaternes fælles værdigrundlag i et samfund præget af pluralisme, ikke-forskelsbehandling, tolerance, retfærdighed, solidaritet og ligestilling mellem kvinder og mænd</w:t>
      </w:r>
      <w:r>
        <w:rPr>
          <w:noProof/>
        </w:rPr>
        <w:t>".</w:t>
      </w:r>
    </w:p>
    <w:p>
      <w:pPr>
        <w:pBdr>
          <w:top w:val="nil"/>
          <w:left w:val="nil"/>
          <w:bottom w:val="nil"/>
          <w:right w:val="nil"/>
          <w:between w:val="nil"/>
          <w:bar w:val="nil"/>
        </w:pBdr>
        <w:spacing w:before="0" w:after="240"/>
        <w:rPr>
          <w:bCs/>
          <w:i/>
          <w:noProof/>
          <w:szCs w:val="24"/>
        </w:rPr>
      </w:pPr>
      <w:r>
        <w:rPr>
          <w:noProof/>
        </w:rPr>
        <w:t>I artikel 10, stk. 1 og 2, i TEU bestemmes det, at "</w:t>
      </w:r>
      <w:r>
        <w:rPr>
          <w:i/>
          <w:noProof/>
        </w:rPr>
        <w:t>Unionens funktionsmåde bygger på det repræsentative demokrati</w:t>
      </w:r>
      <w:r>
        <w:rPr>
          <w:noProof/>
        </w:rPr>
        <w:t>", og at "</w:t>
      </w:r>
      <w:r>
        <w:rPr>
          <w:i/>
          <w:noProof/>
        </w:rPr>
        <w:t>borgerne repræsenteres direkte på EU-plan i Europa-Parlamentet</w:t>
      </w:r>
      <w:r>
        <w:rPr>
          <w:noProof/>
        </w:rPr>
        <w:t>". I artikel 10, stk. 4, fastsættes det, at: "</w:t>
      </w:r>
      <w:r>
        <w:rPr>
          <w:i/>
          <w:noProof/>
        </w:rPr>
        <w:t>politiske partier på europæisk plan bidrager til at skabe en europæisk politisk bevidsthed og til at udtrykke unionsborgernes vilje</w:t>
      </w:r>
      <w:r>
        <w:rPr>
          <w:noProof/>
        </w:rPr>
        <w:t>". Ved artikel 11 og 12 i EU's charter om grundlæggende rettigheder sikres retten til ytringsfrihed og foreningsfrihed. I artikel 7 i Den Europæiske Unions charter om grundlæggende rettigheder fastsættes det, at "</w:t>
      </w:r>
      <w:r>
        <w:rPr>
          <w:i/>
          <w:noProof/>
        </w:rPr>
        <w:t>enhver har ret til respekt for sit privatliv og familieliv, sit hjem og sin kommunikation</w:t>
      </w:r>
      <w:r>
        <w:rPr>
          <w:noProof/>
        </w:rPr>
        <w:t xml:space="preserve">". Ifølge artikel 8 i Den Europæiske Unions charter om grundlæggende rettigheder fastsættes det, </w:t>
      </w:r>
      <w:r>
        <w:rPr>
          <w:i/>
          <w:noProof/>
        </w:rPr>
        <w:t>at "1) enhver har ret til beskyttelse af personoplysninger, der vedrører den pågældende</w:t>
      </w:r>
      <w:r>
        <w:rPr>
          <w:noProof/>
        </w:rPr>
        <w:t>".</w:t>
      </w:r>
      <w:r>
        <w:rPr>
          <w:i/>
          <w:noProof/>
        </w:rPr>
        <w:t xml:space="preserve"> 2) Disse oplysninger skal behandles rimeligt, til udtrykkeligt angivne formål og på grundlag af de berørte personers samtykke eller på et andet berettiget ved lov fastsat grundlag. Enhver har ret til adgang til indsamlede oplysninger, der vedrører den pågældende, og til berigtigelse heraf. 3) Overholdelsen af disse regler er underlagt en uafhængig myndigheds kontrol."</w:t>
      </w:r>
    </w:p>
    <w:p>
      <w:pPr>
        <w:pBdr>
          <w:top w:val="nil"/>
          <w:left w:val="nil"/>
          <w:bottom w:val="nil"/>
          <w:right w:val="nil"/>
          <w:between w:val="nil"/>
          <w:bar w:val="nil"/>
        </w:pBdr>
        <w:spacing w:before="0" w:after="240"/>
        <w:rPr>
          <w:rFonts w:eastAsia="Arial Unicode MS"/>
          <w:noProof/>
        </w:rPr>
      </w:pPr>
      <w:r>
        <w:rPr>
          <w:noProof/>
        </w:rPr>
        <w:t>De ændringer, der er omhandlet i dette forslag, forfølger disse bestemmelsers formål og er forenelige med og gennemfører de grundlæggende rettigheder, der sikres ved chartrets artikel 7, 8 og 12.</w:t>
      </w:r>
    </w:p>
    <w:p>
      <w:pPr>
        <w:pStyle w:val="ManualHeading1"/>
        <w:rPr>
          <w:noProof/>
        </w:rPr>
      </w:pPr>
      <w:r>
        <w:rPr>
          <w:noProof/>
        </w:rPr>
        <w:t>4.</w:t>
      </w:r>
      <w:r>
        <w:rPr>
          <w:noProof/>
        </w:rPr>
        <w:tab/>
        <w:t>VIRKNINGER FOR BUDGETTET</w:t>
      </w:r>
    </w:p>
    <w:p>
      <w:pPr>
        <w:spacing w:before="0" w:after="0"/>
        <w:rPr>
          <w:noProof/>
        </w:rPr>
      </w:pPr>
      <w:r>
        <w:rPr>
          <w:noProof/>
        </w:rPr>
        <w:t>Der er behov for, at myndigheden, der ifølge forslaget får flere opgaver, får tildelt fastansat personale for at forslaget reelt kan få en effekt. De budgetmæssige konsekvenser er anført i finansieringsoversigten vedlagt dette forslag. Der bør udarbejdes bestemmelser om personalet i form af omfordeling af eksisterende midler, og det vil kræve en ændring af de bidragende institutioners stillingsfortegnelser. Disse elementer bør derfor være indeholdt i den kommende ændringsskrivelse til forslaget til budget 2019. En særskilt stillingsfortegnelse er grundet myndighedens størrelse ikke nødvendig, men i en fodnote anføres bemandingens størrelse og type i sektion I - Europa-Parlamentet.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Nærmere redegørelse for de enkelte bestemmelser i forslaget</w:t>
      </w:r>
    </w:p>
    <w:p>
      <w:pPr>
        <w:spacing w:before="0" w:after="0"/>
        <w:rPr>
          <w:bCs/>
          <w:noProof/>
          <w:szCs w:val="24"/>
        </w:rPr>
      </w:pPr>
      <w:r>
        <w:rPr>
          <w:noProof/>
        </w:rPr>
        <w:t>Kommissionen foreslår med henblik på finansiel sanktionering af europæiske politiske partier eller fonde, der anvender overtrædelser af databeskyttelsesreglerne til bevidst at påvirke eller forsøge at påvirke resultatet af valg til Europa-Parlamentet følgende målrettede ændringer af forordningen:</w:t>
      </w:r>
    </w:p>
    <w:p>
      <w:pPr>
        <w:pBdr>
          <w:top w:val="nil"/>
          <w:left w:val="nil"/>
          <w:bottom w:val="nil"/>
          <w:right w:val="nil"/>
          <w:between w:val="nil"/>
          <w:bar w:val="nil"/>
        </w:pBdr>
        <w:spacing w:before="0" w:after="240"/>
        <w:rPr>
          <w:bCs/>
          <w:noProof/>
          <w:szCs w:val="24"/>
        </w:rPr>
      </w:pPr>
      <w:r>
        <w:rPr>
          <w:noProof/>
        </w:rPr>
        <w:t xml:space="preserve">Det foreslås at indføre en kontrolprocedure vedrørende overtrædelse af reglerne om beskyttelse af personoplysninger, der vil kræve, at myndigheden anmoder om en udtalelse fra udvalget af uafhængige fremtrædende personer kort tid efter en afgørelse af en kompetent tilsynsmyndighed for databeskyttelse. Udvalgets udtalelse, der skal afgives inden for en kort frist, som fastsættes af myndigheden, er en vurdering af, om overtrædelsen blev brugt til bevidst at påvirke eller forsøge at påvirke resultatet af valg til Europa-Parlamentet. Igangsætningen af denne nye procedure er ikke til hinder for iværksættelsen af kontrolproceduren om overholdelse af de registreringsbetingelser og -krav, der er fastsat i forordningens artikel 10 om tilfælde af europæiske politiske partiers eller fondes massive og alvorlige tilsidesættelse af de værdier, som Unionen bygger på. Den nye procedure vil blive indført ved indsættelse af en ny artikel 10a. </w:t>
      </w:r>
    </w:p>
    <w:p>
      <w:pPr>
        <w:rPr>
          <w:noProof/>
        </w:rPr>
      </w:pPr>
      <w:r>
        <w:rPr>
          <w:noProof/>
        </w:rPr>
        <w:t>Det foreslås med henblik på at sikre, at denne procedure kan igangsættes på ethvert tidspunkt, herunder tæt på datoen for valg til Europa-Parlamentet, at præcisere, at tidsfristen for kontrolproceduren vedrørende overholdelsen af registreringsbetingelserne og -kravene, der er fastsat i artikel 10, ikke finder anvendelse herpå, ved at ændre artikel 10, stk. 3, tredje afsnit.</w:t>
      </w:r>
    </w:p>
    <w:p>
      <w:pPr>
        <w:pBdr>
          <w:top w:val="nil"/>
          <w:left w:val="nil"/>
          <w:bottom w:val="nil"/>
          <w:right w:val="nil"/>
          <w:between w:val="nil"/>
          <w:bar w:val="nil"/>
        </w:pBdr>
        <w:spacing w:before="0" w:after="240"/>
        <w:rPr>
          <w:b/>
          <w:bCs/>
          <w:noProof/>
          <w:szCs w:val="24"/>
        </w:rPr>
      </w:pPr>
      <w:r>
        <w:rPr>
          <w:noProof/>
        </w:rPr>
        <w:t xml:space="preserve">Artikel 11 om udvalget af uafhængige fremtrædende personer ændres med henblik på udtrykkeligt at henvise til udtalelsen om påvirkning af resultatet af valg til Europa-Parlamentet. </w:t>
      </w:r>
    </w:p>
    <w:p>
      <w:pPr>
        <w:pBdr>
          <w:top w:val="nil"/>
          <w:left w:val="nil"/>
          <w:bottom w:val="nil"/>
          <w:right w:val="nil"/>
          <w:between w:val="nil"/>
          <w:bar w:val="nil"/>
        </w:pBdr>
        <w:spacing w:before="0" w:after="240"/>
        <w:rPr>
          <w:bCs/>
          <w:noProof/>
          <w:szCs w:val="24"/>
        </w:rPr>
      </w:pPr>
      <w:r>
        <w:rPr>
          <w:noProof/>
        </w:rPr>
        <w:t xml:space="preserve">Der vil blive tilføjet et nyt grundlag for finansielle sanktioner i artikel 27 for det tilfælde, at det fremgår af udtalelsen fra udvalget af uafhængige fremtrædende personer, at et europæisk politisk parti eller en fond bevidst har påvirket eller forsøgt at påvirke resultatet af valg til Europa-Parlamentet ved at drage fordel af en overtrædelse af de gældende regler om beskyttelse af personoplysninger . </w:t>
      </w:r>
    </w:p>
    <w:p>
      <w:pPr>
        <w:pBdr>
          <w:top w:val="nil"/>
          <w:left w:val="nil"/>
          <w:bottom w:val="nil"/>
          <w:right w:val="nil"/>
          <w:between w:val="nil"/>
          <w:bar w:val="nil"/>
        </w:pBdr>
        <w:spacing w:before="0" w:after="240"/>
        <w:rPr>
          <w:bCs/>
          <w:noProof/>
          <w:szCs w:val="24"/>
        </w:rPr>
      </w:pPr>
      <w:r>
        <w:rPr>
          <w:noProof/>
        </w:rPr>
        <w:t xml:space="preserve">Dette nye grundlag vil blive føjet til listen over overtrædelser, som forhindrer et europæisk politisk parti eller en europæisk politisk fond i at ansøge om midler fra Den Europæiske Unions almindelige budget i det år, hvor sanktionen er blevet pålagt. Dette vil ske ved en ændring af artikel 18. </w:t>
      </w:r>
    </w:p>
    <w:p>
      <w:pPr>
        <w:pBdr>
          <w:top w:val="nil"/>
          <w:left w:val="nil"/>
          <w:bottom w:val="nil"/>
          <w:right w:val="nil"/>
          <w:between w:val="nil"/>
          <w:bar w:val="nil"/>
        </w:pBdr>
        <w:spacing w:before="0" w:after="240"/>
        <w:rPr>
          <w:bCs/>
          <w:noProof/>
          <w:szCs w:val="24"/>
        </w:rPr>
      </w:pPr>
      <w:r>
        <w:rPr>
          <w:noProof/>
        </w:rPr>
        <w:t xml:space="preserve">Eftersom den nye kontrolprocedure igangsættes af en afgørelse fra en kompetent tilsynsmyndighed for databeskyttelse, foreslås det at gøre det muligt at efterprøve sanktionen, hvis afgørelsen fra den kompetente tilsynsmyndighed for databeskyttelse ophæves, eller hvis en foranstaltning over for en sådan afgørelse er blevet taget til følge, ved at tilføje et nyt stykke i artikel 27. </w:t>
      </w:r>
    </w:p>
    <w:p>
      <w:pPr>
        <w:pBdr>
          <w:top w:val="nil"/>
          <w:left w:val="nil"/>
          <w:bottom w:val="nil"/>
          <w:right w:val="nil"/>
          <w:between w:val="nil"/>
          <w:bar w:val="nil"/>
        </w:pBdr>
        <w:spacing w:before="0" w:after="240"/>
        <w:rPr>
          <w:bCs/>
          <w:noProof/>
          <w:szCs w:val="24"/>
        </w:rPr>
      </w:pPr>
      <w:r>
        <w:rPr>
          <w:noProof/>
        </w:rPr>
        <w:t>Endelig foreslår Kommissionen, for at myndigheden kan agere på en uafhængig og smidig måde, at myndigheden får tildelt fast personale, og at direktøren får beføjelser som ansættelsesmyndighed ved ændring af artikel 6, stk. 5.</w:t>
      </w:r>
    </w:p>
    <w:p>
      <w:pPr>
        <w:spacing w:before="0" w:after="200" w:line="276" w:lineRule="auto"/>
        <w:jc w:val="left"/>
        <w:rPr>
          <w:bCs/>
          <w:noProof/>
          <w:szCs w:val="24"/>
        </w:rPr>
      </w:pPr>
      <w:r>
        <w:rPr>
          <w:noProof/>
        </w:rPr>
        <w:br w:type="page"/>
      </w:r>
    </w:p>
    <w:p>
      <w:pPr>
        <w:pStyle w:val="Rfrenceinterinstitutionnelle"/>
        <w:rPr>
          <w:noProof/>
        </w:rPr>
      </w:pPr>
      <w:r>
        <w:rPr>
          <w:noProof/>
        </w:rPr>
        <w:t>2018/0336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ændring af forordning (EU, Euratom) nr. 1141/2014 for så vidt angår en kontrolprocedure vedrørende overtrædelse af reglerne om beskyttelse af personoplysninger i forbindelse med valg til Europa-Parlamentet</w:t>
      </w:r>
      <w:r>
        <w:rPr>
          <w:noProof/>
        </w:rPr>
        <w:br/>
      </w:r>
      <w:r>
        <w:rPr>
          <w:noProof/>
        </w:rPr>
        <w:br/>
      </w:r>
      <w:r>
        <w:rPr>
          <w:i/>
          <w:noProof/>
        </w:rPr>
        <w:t>Et bidrag fra Europa-Kommissionen til ledernes møde i</w:t>
      </w:r>
      <w:r>
        <w:rPr>
          <w:noProof/>
        </w:rPr>
        <w:t xml:space="preserve"> </w:t>
      </w:r>
      <w:r>
        <w:rPr>
          <w:i/>
          <w:noProof/>
        </w:rPr>
        <w:t>Salzburg den 19. - 20. september 2018</w:t>
      </w:r>
      <w:r>
        <w:rPr>
          <w:noProof/>
        </w:rPr>
        <w:br/>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224,</w:t>
      </w:r>
    </w:p>
    <w:p>
      <w:pPr>
        <w:rPr>
          <w:noProof/>
        </w:rPr>
      </w:pPr>
      <w:r>
        <w:rPr>
          <w:noProof/>
        </w:rPr>
        <w:t>under henvisning til traktaten om oprettelse af Det Europæiske Atomenergifællesskab, særlig artikel 106a,</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4"/>
      </w:r>
      <w:r>
        <w:rPr>
          <w:noProof/>
        </w:rPr>
        <w:t xml:space="preserve">, </w:t>
      </w:r>
    </w:p>
    <w:p>
      <w:pPr>
        <w:rPr>
          <w:i/>
          <w:noProof/>
        </w:rPr>
      </w:pPr>
      <w:r>
        <w:rPr>
          <w:noProof/>
        </w:rPr>
        <w:t>under henvisning til udtalelse fra Regionsudvalget</w:t>
      </w:r>
      <w:r>
        <w:rPr>
          <w:rStyle w:val="FootnoteReference"/>
          <w:noProof/>
        </w:rPr>
        <w:footnoteReference w:id="15"/>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Ved forordning (EU, Euratom) nr. 1141/2014</w:t>
      </w:r>
      <w:r>
        <w:rPr>
          <w:rStyle w:val="FootnoteReference"/>
          <w:noProof/>
        </w:rPr>
        <w:footnoteReference w:id="16"/>
      </w:r>
      <w:r>
        <w:rPr>
          <w:noProof/>
        </w:rPr>
        <w:t xml:space="preserve"> indføres der en særlig europæisk retlig status for europæiske politiske partier og europæiske politiske fonde, og forordningen omhandler deres finansiering via Den Europæiske Unions almindelige budget, hvori der også oprettes en myndighed for europæiske politiske partier og europæiske politiske fonde ("myndigheden").</w:t>
      </w:r>
    </w:p>
    <w:p>
      <w:pPr>
        <w:pStyle w:val="ManualConsidrant"/>
        <w:rPr>
          <w:noProof/>
          <w:szCs w:val="24"/>
        </w:rPr>
      </w:pPr>
      <w:r>
        <w:t>(2)</w:t>
      </w:r>
      <w:r>
        <w:tab/>
      </w:r>
      <w:r>
        <w:rPr>
          <w:noProof/>
        </w:rPr>
        <w:t xml:space="preserve">Det er nødvendigt, at myndigheden får tildelt fastansat personale, og at myndighedens direktør får beføjelser som ansættelsesmyndighed, for at myndigheden kan udføre sine opgaver, herunder de nye, der foreslås i denne forordning, og for </w:t>
      </w:r>
      <w:r>
        <w:rPr>
          <w:noProof/>
          <w:color w:val="1F497D"/>
        </w:rPr>
        <w:t>at den kan gøre dette</w:t>
      </w:r>
      <w:r>
        <w:rPr>
          <w:noProof/>
        </w:rPr>
        <w:t xml:space="preserve"> på en uafhængig måde.</w:t>
      </w:r>
    </w:p>
    <w:p>
      <w:pPr>
        <w:pStyle w:val="ManualConsidrant"/>
        <w:rPr>
          <w:noProof/>
        </w:rPr>
      </w:pPr>
      <w:r>
        <w:t>(3)</w:t>
      </w:r>
      <w:r>
        <w:tab/>
      </w:r>
      <w:r>
        <w:rPr>
          <w:noProof/>
        </w:rPr>
        <w:t xml:space="preserve">De seneste begivenheder har vist de potentielle risici for valgprocesser og demokrati, som følge af ulovlig brug af personoplysninger. Det er derfor nødvendigt at beskytte den demokratiske proces i Europa ved at indføre finansielle sanktioner i situationer, hvor europæiske politiske partier og europæiske politiske fonde drager fordel af overtrædelser af databeskyttelsesreglerne med henblik på at påvirke resultatet af valget til Europa-Parlamentet. </w:t>
      </w:r>
    </w:p>
    <w:p>
      <w:pPr>
        <w:pStyle w:val="ManualConsidrant"/>
        <w:rPr>
          <w:noProof/>
        </w:rPr>
      </w:pPr>
      <w:r>
        <w:t>(4)</w:t>
      </w:r>
      <w:r>
        <w:tab/>
      </w:r>
      <w:r>
        <w:rPr>
          <w:noProof/>
        </w:rPr>
        <w:t xml:space="preserve">Der bør med dette for øje fastlægges en kontrolprocedure, hvorefter myndigheden under særlige omstændigheder skal anmode udvalget af uafhængige fremtrædende personer om at vurdere, hvorvidt et europæisk politisk parti eller en europæisk politisk fond bevidst har påvirket eller forsøgt at påvirke resultatet af valg til Europa-Parlamentet ved at drage fordel af en overtrædelse af de gældende regler om beskyttelse af personoplysninger. Hvis udvalget finder, at dette er tilfældet, bør myndigheden pålægge sanktioner i overensstemmelse med det effektive, forholdsmæssige og afskrækkende sanktionssystem, der er indført ved forordning (EU, Euratom) nr. 1141/2014. </w:t>
      </w:r>
    </w:p>
    <w:p>
      <w:pPr>
        <w:pStyle w:val="ManualConsidrant"/>
        <w:rPr>
          <w:noProof/>
        </w:rPr>
      </w:pPr>
      <w:r>
        <w:t>(5)</w:t>
      </w:r>
      <w:r>
        <w:tab/>
      </w:r>
      <w:r>
        <w:rPr>
          <w:noProof/>
        </w:rPr>
        <w:t>Den nye procedure bør gælde side om side med de nuværende procedurer, der anvendes til kontrol af overholdelsen af registreringsbetingelserne og i tilfælde af massive og alvorlige tilsidesættelse af de værdier, som Unionen bygger på. Tidsfristen for kontrol af overholdelsen af registreringsbetingelserne og -kravene i artikel 10 i forordning (EU, Euratom) nr. 1141/2014 bør dog ikke finde anvendelse på den nye procedure.</w:t>
      </w:r>
    </w:p>
    <w:p>
      <w:pPr>
        <w:pStyle w:val="ManualConsidrant"/>
        <w:rPr>
          <w:noProof/>
        </w:rPr>
      </w:pPr>
      <w:r>
        <w:t>(6)</w:t>
      </w:r>
      <w:r>
        <w:tab/>
      </w:r>
      <w:r>
        <w:rPr>
          <w:noProof/>
        </w:rPr>
        <w:t xml:space="preserve">Eftersom den nye procedure igangsættes af en afgørelse fra en kompetent tilsynsmyndighed for databeskyttelse, bør det være muligt for det pågældende europæiske politiske parti eller den pågældende europæiske politiske fond at anmode om, at sanktionen efterprøves, hvis afgørelsen fra den kompetente tilsynsmyndighed ophæves, eller hvis en foranstaltning over for en sådan afgørelse er blevet taget til følge. </w:t>
      </w:r>
    </w:p>
    <w:p>
      <w:pPr>
        <w:pStyle w:val="ManualConsidrant"/>
        <w:rPr>
          <w:noProof/>
        </w:rPr>
      </w:pPr>
      <w:r>
        <w:t>(7)</w:t>
      </w:r>
      <w:r>
        <w:tab/>
      </w:r>
      <w:r>
        <w:rPr>
          <w:noProof/>
        </w:rPr>
        <w:t xml:space="preserve">For at sikre, at valget til Europa-Parlamentet i 2019 finder sted i henhold til strenge demokratiske regler og med fuld respekt for de europæiske værdier som demokrati, retsstatsprincippet og respekten for de grundlæggende rettigheder, er det vigtigt, at den foreslåede kontrolprocedure træder i kraft rettidigt og kan anvendes snarest. For at opnå dette bør de foreslåede ændringer af forordning (EU, Euratom) nr. 1141/2014, der indføres ved nærværende forordning, træde i kraft på dagen for offentliggørelsen i </w:t>
      </w:r>
      <w:r>
        <w:rPr>
          <w:i/>
          <w:noProof/>
        </w:rPr>
        <w:t>Den Europæiske Unions Tidende</w:t>
      </w:r>
      <w:r>
        <w:rPr>
          <w:noProof/>
        </w:rPr>
        <w:t xml:space="preserve">. </w:t>
      </w:r>
    </w:p>
    <w:p>
      <w:pPr>
        <w:pStyle w:val="ManualConsidrant"/>
        <w:rPr>
          <w:noProof/>
        </w:rPr>
      </w:pPr>
      <w:r>
        <w:t>(8)</w:t>
      </w:r>
      <w:r>
        <w:tab/>
      </w:r>
      <w:r>
        <w:rPr>
          <w:noProof/>
        </w:rPr>
        <w:t>Forordning (EU, Euratom) nr. 1141/2014 bør derfor ændres —</w:t>
      </w:r>
    </w:p>
    <w:p>
      <w:pPr>
        <w:pStyle w:val="Formuledadoption"/>
        <w:rPr>
          <w:noProof/>
        </w:rPr>
      </w:pPr>
      <w:r>
        <w:rPr>
          <w:noProof/>
        </w:rPr>
        <w:t>VEDTAGET DENNE FORORDNING:</w:t>
      </w:r>
    </w:p>
    <w:p>
      <w:pPr>
        <w:pStyle w:val="Titrearticle"/>
        <w:rPr>
          <w:noProof/>
        </w:rPr>
      </w:pPr>
      <w:r>
        <w:rPr>
          <w:noProof/>
        </w:rPr>
        <w:t>Artikel 1</w:t>
      </w:r>
    </w:p>
    <w:p>
      <w:pPr>
        <w:rPr>
          <w:noProof/>
        </w:rPr>
      </w:pPr>
      <w:r>
        <w:rPr>
          <w:noProof/>
        </w:rPr>
        <w:t>I forordning (EU, Euratom) nr. 1141/2014 foretages følgende ændringer:</w:t>
      </w:r>
    </w:p>
    <w:p>
      <w:pPr>
        <w:pStyle w:val="Point0number"/>
        <w:numPr>
          <w:ilvl w:val="0"/>
          <w:numId w:val="16"/>
        </w:numPr>
        <w:rPr>
          <w:noProof/>
        </w:rPr>
      </w:pPr>
      <w:r>
        <w:rPr>
          <w:noProof/>
        </w:rPr>
        <w:t>Artikel 6, stk. 5, affattes således:</w:t>
      </w:r>
    </w:p>
    <w:p>
      <w:pPr>
        <w:pStyle w:val="Text1"/>
        <w:rPr>
          <w:noProof/>
        </w:rPr>
      </w:pPr>
      <w:r>
        <w:rPr>
          <w:noProof/>
        </w:rPr>
        <w:t>"Myndighedens direktør bistås af personale, over for hvilket vedkommende udøver de beføjelser, som personalevedtægten tillægger ansættelsesmyndigheden, og som ansættelsesvilkårene for de øvrige ansatte tillægger den myndighed, der har beføjelser til at indgå ansættelseskontrakter for øvrige ansatte (i det følgende benævnt "beføjelserne som ansættelsesmyndighed")</w:t>
      </w:r>
      <w:r>
        <w:rPr>
          <w:rStyle w:val="FootnoteReference"/>
          <w:noProof/>
        </w:rPr>
        <w:footnoteReference w:id="17"/>
      </w:r>
      <w:r>
        <w:rPr>
          <w:noProof/>
        </w:rPr>
        <w:t>. Myndigheden kan inden for alle felter af sit arbejde gøre brug af andre udstationerede nationale eksperter eller andet personale, der ikke er ansat af myndigheden.</w:t>
      </w:r>
    </w:p>
    <w:p>
      <w:pPr>
        <w:pStyle w:val="Text1"/>
        <w:rPr>
          <w:noProof/>
        </w:rPr>
      </w:pPr>
      <w:r>
        <w:rPr>
          <w:noProof/>
        </w:rPr>
        <w:t>Vedtægten for tjenestemænd og ansættelsesvilkårene for de øvrige ansatte og de regler, som EU-institutionerne i fællesskab har vedtaget for anvendelsen af denne personalevedtægt og disse ansættelsesvilkår, gælder for myndighedens personale."</w:t>
      </w:r>
    </w:p>
    <w:p>
      <w:pPr>
        <w:pStyle w:val="Point0number"/>
        <w:rPr>
          <w:noProof/>
        </w:rPr>
      </w:pPr>
      <w:r>
        <w:rPr>
          <w:noProof/>
        </w:rPr>
        <w:t>I artikel 10, stk. 3, tilføjes i slutningen af tredje afsnit følgende punktum:</w:t>
      </w:r>
    </w:p>
    <w:p>
      <w:pPr>
        <w:pStyle w:val="Text1"/>
        <w:rPr>
          <w:noProof/>
        </w:rPr>
      </w:pPr>
      <w:r>
        <w:rPr>
          <w:noProof/>
        </w:rPr>
        <w:t>"Denne tidsfrist gælder ikke for proceduren i artikel 10a"</w:t>
      </w:r>
    </w:p>
    <w:p>
      <w:pPr>
        <w:pStyle w:val="Point0number"/>
        <w:rPr>
          <w:noProof/>
        </w:rPr>
      </w:pPr>
      <w:r>
        <w:rPr>
          <w:noProof/>
        </w:rPr>
        <w:t>Følgende indsættes som artikel 10a:</w:t>
      </w:r>
    </w:p>
    <w:p>
      <w:pPr>
        <w:jc w:val="center"/>
        <w:rPr>
          <w:noProof/>
        </w:rPr>
      </w:pPr>
      <w:r>
        <w:rPr>
          <w:noProof/>
        </w:rPr>
        <w:t>"Artikel 10a</w:t>
      </w:r>
    </w:p>
    <w:p>
      <w:pPr>
        <w:jc w:val="center"/>
        <w:rPr>
          <w:b/>
          <w:noProof/>
        </w:rPr>
      </w:pPr>
      <w:r>
        <w:rPr>
          <w:b/>
          <w:noProof/>
        </w:rPr>
        <w:t xml:space="preserve">Kontrolprocedure vedrørende overtrædelse af reglerne om beskyttelse af personoplysninger </w:t>
      </w:r>
    </w:p>
    <w:p>
      <w:pPr>
        <w:rPr>
          <w:noProof/>
        </w:rPr>
      </w:pPr>
      <w:r>
        <w:rPr>
          <w:noProof/>
        </w:rPr>
        <w:t>Hvis myndigheden bliver bekendt med en afgørelse truffet af en tilsynsmyndighed som omhandlet i artikel 4, nr. 21, i Europa-Parlamentets og Rådets forordning (EU) 2016/679</w:t>
      </w:r>
      <w:r>
        <w:rPr>
          <w:rStyle w:val="FootnoteReference"/>
          <w:noProof/>
        </w:rPr>
        <w:footnoteReference w:id="18"/>
      </w:r>
      <w:r>
        <w:rPr>
          <w:noProof/>
        </w:rPr>
        <w:t>, hvori det konstateres, at en fysisk eller juridisk person har overtrådt gældende regler om beskyttelse af personoplysninger, og hvis det af afgørelsen følger, eller hvis der er andre rimelige grunde til at formode, at overtrædelsen er knyttet til et europæisk politisk partis eller en europæisk politisk fonds politiske aktiviteter i forbindelse med valg til Europa-Parlamentet, indbringer myndigheden sagen for udvalget af uafhængige fremtrædende personer, der er oprettet ved artikel 11. Udvalget afgiver udtalelse om, hvorvidt det pågældende europæiske politiske parti eller den pågældende europæiske politiske fond bevidst har påvirket eller forsøgt at påvirke resultatet af valget til Europa-Parlamentet ved at drage fordel af overtrædelsen. Myndigheden anmoder om udtalelsen uden unødig forsinkelse og senest én måned efter tilsynsmyndighedens afgørelse. Udvalget afgiver udtalelsen inden for en kort, rimelig frist, som fastsættes af myndigheden.</w:t>
      </w:r>
    </w:p>
    <w:p>
      <w:pPr>
        <w:rPr>
          <w:noProof/>
        </w:rPr>
      </w:pPr>
      <w:r>
        <w:rPr>
          <w:noProof/>
        </w:rPr>
        <w:t>Den procedure, der er fastsat i denne artikel, berører ikke den procedure, der er fastsat i artikel 10."</w:t>
      </w:r>
    </w:p>
    <w:p>
      <w:pPr>
        <w:pStyle w:val="Point0number"/>
        <w:rPr>
          <w:noProof/>
        </w:rPr>
      </w:pPr>
      <w:r>
        <w:rPr>
          <w:noProof/>
        </w:rPr>
        <w:t>Artikel 11, stk. 3, første afsnit, andet punktum, affattes således:</w:t>
      </w:r>
    </w:p>
    <w:p>
      <w:pPr>
        <w:rPr>
          <w:noProof/>
        </w:rPr>
      </w:pPr>
      <w:r>
        <w:rPr>
          <w:noProof/>
        </w:rPr>
        <w:t>"På anmodning af myndigheden afgiver udvalget udtalelse om, hvorvidt et europæisk politisk parti eller en europæisk politisk fond bevidst har påvirket eller forsøgt at påvirke resultatet af valg til Europa-Parlamentet ved at drage fordel af en overtrædelse af de gældende regler om beskyttelse af personoplysninger. I begge tilfælde kan udvalget anmode om eventuelle relevante dokumenter og bevismaterialer fra myndigheden, Europa-Parlamentets tjenestegrene, det pågældende europæiske politiske parti eller den pågældende europæiske politiske fond, andre politiske partier, politiske fonde eller andre interessenter, og det kan anmode om at høre deres repræsentanter. I tilfælde af udtalelser om, hvorvidt et europæisk politisk parti eller en europæisk politisk fond bevidst har påvirket eller forsøgt at påvirke resultatet af valg til Europa-Parlamentet ved at drage fordel af en overtrædelse af de gældende regler om beskyttelse af personoplysninger, samarbejder de tilsynsmyndigheder, der er omhandlet i artikel 10a, med udvalget i overensstemmelse med gældende lovgivning."</w:t>
      </w:r>
    </w:p>
    <w:p>
      <w:pPr>
        <w:pStyle w:val="Point0number"/>
        <w:rPr>
          <w:noProof/>
        </w:rPr>
      </w:pPr>
      <w:r>
        <w:rPr>
          <w:noProof/>
        </w:rPr>
        <w:t>I artikel 18, stk. 2, ændres ordene "og artikel 27, stk. 2, litra a), nr. v), og vi)," til "og i artikel 27, stk. 2, litra a), nr. v), vi), og vii),"</w:t>
      </w:r>
    </w:p>
    <w:p>
      <w:pPr>
        <w:pStyle w:val="Point0number"/>
        <w:rPr>
          <w:noProof/>
        </w:rPr>
      </w:pPr>
      <w:r>
        <w:rPr>
          <w:noProof/>
        </w:rPr>
        <w:t>Artikel 27 ændres således:</w:t>
      </w:r>
    </w:p>
    <w:p>
      <w:pPr>
        <w:pStyle w:val="Point0letter"/>
        <w:rPr>
          <w:noProof/>
        </w:rPr>
      </w:pPr>
      <w:r>
        <w:rPr>
          <w:noProof/>
        </w:rPr>
        <w:t>I stk. 2, litra a), tilføjes som nr. vii):</w:t>
      </w:r>
    </w:p>
    <w:p>
      <w:pPr>
        <w:rPr>
          <w:noProof/>
        </w:rPr>
      </w:pPr>
      <w:r>
        <w:rPr>
          <w:noProof/>
        </w:rPr>
        <w:t>"vii) når udvalget i medfør at artikel 10a afgiver en udtalelse, hvori der konstateres, at et europæisk politisk parti eller en europæisk politisk fond bevidst har påvirket eller forsøgt at påvirke resultatet af valg til Europa-Parlamentet ved at drage fordel af en overtrædelse af de gældende regler om beskyttelse af personoplysninger."</w:t>
      </w:r>
    </w:p>
    <w:p>
      <w:pPr>
        <w:pStyle w:val="Point0letter"/>
        <w:rPr>
          <w:noProof/>
        </w:rPr>
      </w:pPr>
      <w:r>
        <w:rPr>
          <w:noProof/>
        </w:rPr>
        <w:t>Som stk. 7 tilføjes:</w:t>
      </w:r>
    </w:p>
    <w:p>
      <w:pPr>
        <w:rPr>
          <w:noProof/>
        </w:rPr>
      </w:pPr>
      <w:r>
        <w:rPr>
          <w:noProof/>
        </w:rPr>
        <w:t>"7. Når en afgørelse truffet af den tilsynsmyndighed, der er omhandlet i artikel 10a, er blevet ophævet, eller hvis en foranstaltning over for en sådan afgørelse er taget til følge, efterprøver myndigheden enhver sanktion, der er pålagt i henhold til stk. 2, litra a), nr. vii), efter anmodning fra det pågældende europæiske politiske parti eller den pågældende europæiske fond."</w:t>
      </w:r>
    </w:p>
    <w:p>
      <w:pPr>
        <w:pStyle w:val="Titrearticle"/>
        <w:rPr>
          <w:noProof/>
        </w:rPr>
      </w:pPr>
      <w:r>
        <w:rPr>
          <w:noProof/>
        </w:rPr>
        <w:t>Artikel 2</w:t>
      </w:r>
    </w:p>
    <w:p>
      <w:pPr>
        <w:rPr>
          <w:i/>
          <w:noProof/>
        </w:rPr>
      </w:pPr>
      <w:r>
        <w:rPr>
          <w:noProof/>
        </w:rPr>
        <w:t xml:space="preserve">Denne forordning træder i kraft på dagen for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794" w:right="907" w:bottom="851" w:left="1361" w:header="510" w:footer="454" w:gutter="0"/>
          <w:pgNumType w:start="1"/>
          <w:cols w:space="720"/>
          <w:docGrid w:linePitch="326"/>
        </w:sectPr>
      </w:pPr>
    </w:p>
    <w:p>
      <w:pPr>
        <w:pStyle w:val="Fichefinanciretitre"/>
        <w:rPr>
          <w:noProof/>
        </w:rPr>
      </w:pPr>
      <w:bookmarkStart w:id="0" w:name="_Toc514938659"/>
      <w:bookmarkStart w:id="1" w:name="_Toc524270782"/>
      <w:bookmarkStart w:id="2" w:name="_GoBack"/>
      <w:bookmarkEnd w:id="2"/>
      <w:r>
        <w:rPr>
          <w:noProof/>
        </w:rPr>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2"/>
        <w:rPr>
          <w:b w:val="0"/>
          <w:noProof/>
        </w:rPr>
      </w:pPr>
      <w:r>
        <w:rPr>
          <w:noProof/>
        </w:rPr>
        <w:tab/>
      </w:r>
      <w:r>
        <w:rPr>
          <w:b w:val="0"/>
          <w:noProof/>
        </w:rPr>
        <w:t>1.6.</w:t>
      </w:r>
      <w:r>
        <w:rPr>
          <w:noProof/>
        </w:rPr>
        <w:tab/>
      </w:r>
      <w:r>
        <w:rPr>
          <w:b w:val="0"/>
          <w:noProof/>
        </w:rPr>
        <w:t xml:space="preserve">Varighed og finansielle virkninger </w:t>
      </w:r>
    </w:p>
    <w:p>
      <w:pPr>
        <w:pStyle w:val="ManualHeading2"/>
        <w:rPr>
          <w:b w:val="0"/>
          <w:noProof/>
        </w:rPr>
      </w:pPr>
      <w:r>
        <w:rPr>
          <w:noProof/>
        </w:rPr>
        <w:tab/>
      </w:r>
      <w:r>
        <w:rPr>
          <w:b w:val="0"/>
          <w:noProof/>
        </w:rPr>
        <w:t>1.7.</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aktionsbevillingerne </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sectPr>
          <w:footerReference w:type="default" r:id="rId16"/>
          <w:footerReference w:type="first" r:id="rId17"/>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pPr>
        <w:jc w:val="center"/>
        <w:rPr>
          <w:noProof/>
        </w:rPr>
      </w:pPr>
      <w:r>
        <w:rPr>
          <w:b/>
          <w:noProof/>
          <w:u w:val="single"/>
        </w:rPr>
        <w:t>FINANSIERINGSOVERSIGT</w:t>
      </w:r>
    </w:p>
    <w:p>
      <w:pPr>
        <w:pStyle w:val="ManualHeading1"/>
        <w:rPr>
          <w:bCs/>
          <w:noProof/>
          <w:szCs w:val="24"/>
        </w:rPr>
      </w:pPr>
      <w:r>
        <w:t>1.</w:t>
      </w:r>
      <w:r>
        <w:tab/>
      </w:r>
      <w:r>
        <w:rPr>
          <w:noProof/>
        </w:rPr>
        <w:t xml:space="preserve">FORSLAGETS/INITIATIVETS RAMME </w:t>
      </w:r>
    </w:p>
    <w:p>
      <w:pPr>
        <w:pStyle w:val="ManualHeading2"/>
        <w:rPr>
          <w:bCs/>
          <w:noProof/>
          <w:szCs w:val="24"/>
        </w:rPr>
      </w:pPr>
      <w:r>
        <w:t>1.1.</w:t>
      </w:r>
      <w:r>
        <w:tab/>
      </w:r>
      <w:r>
        <w:rPr>
          <w:noProof/>
        </w:rPr>
        <w:t>Forslagets/initiativets betegnelse</w:t>
      </w:r>
    </w:p>
    <w:p>
      <w:pPr>
        <w:pStyle w:val="Text1"/>
        <w:pBdr>
          <w:top w:val="single" w:sz="4" w:space="1" w:color="auto"/>
          <w:left w:val="single" w:sz="4" w:space="4" w:color="auto"/>
          <w:bottom w:val="single" w:sz="4" w:space="1" w:color="auto"/>
          <w:right w:val="single" w:sz="4" w:space="4" w:color="auto"/>
        </w:pBdr>
        <w:rPr>
          <w:noProof/>
        </w:rPr>
      </w:pPr>
      <w:r>
        <w:rPr>
          <w:noProof/>
        </w:rPr>
        <w:t>Forslag til EUROPA-PARLAMENTETS OG RÅDETS FORORDNING om ændring af forordning (EU, Euratom) nr. 1141/2014 for så vidt angår en kontrolprocedure vedrørende overtrædelse af reglerne om beskyttelse af personoplysninger i forbindelse med valg til Europa-Parlamentet</w:t>
      </w:r>
    </w:p>
    <w:p>
      <w:pPr>
        <w:pStyle w:val="ManualHeading2"/>
        <w:rPr>
          <w:bCs/>
          <w:noProof/>
          <w:szCs w:val="24"/>
        </w:rPr>
      </w:pPr>
      <w:r>
        <w:t>1.2.</w:t>
      </w:r>
      <w:r>
        <w:tab/>
      </w:r>
      <w:r>
        <w:rPr>
          <w:noProof/>
        </w:rPr>
        <w:t>Berørt(e) politikområde(r)</w:t>
      </w:r>
    </w:p>
    <w:p>
      <w:pPr>
        <w:pStyle w:val="Text1"/>
        <w:pBdr>
          <w:top w:val="single" w:sz="4" w:space="1" w:color="auto"/>
          <w:left w:val="single" w:sz="4" w:space="4" w:color="auto"/>
          <w:bottom w:val="single" w:sz="4" w:space="1" w:color="auto"/>
          <w:right w:val="single" w:sz="4" w:space="4" w:color="auto"/>
        </w:pBdr>
        <w:rPr>
          <w:noProof/>
        </w:rPr>
      </w:pPr>
      <w:r>
        <w:rPr>
          <w:noProof/>
        </w:rPr>
        <w:t>Grundlæggende rettigheder</w:t>
      </w:r>
    </w:p>
    <w:p>
      <w:pPr>
        <w:pStyle w:val="ManualHeading2"/>
        <w:rPr>
          <w:bCs/>
          <w:noProof/>
          <w:szCs w:val="24"/>
        </w:rPr>
      </w:pPr>
      <w:r>
        <w:t>1.3.</w:t>
      </w:r>
      <w:r>
        <w:tab/>
      </w:r>
      <w:r>
        <w:rPr>
          <w:noProof/>
        </w:rPr>
        <w:t xml:space="preserve">Forslaget vedrører </w:t>
      </w:r>
    </w:p>
    <w:p>
      <w:pPr>
        <w:pStyle w:val="Text1"/>
        <w:rPr>
          <w:b/>
          <w:noProof/>
        </w:rPr>
      </w:pPr>
      <w:r>
        <w:rPr>
          <w:noProof/>
        </w:rPr>
        <w:sym w:font="Wingdings" w:char="F0A8"/>
      </w:r>
      <w:r>
        <w:rPr>
          <w:b/>
          <w:i/>
          <w:noProof/>
        </w:rPr>
        <w:t xml:space="preserve"> </w:t>
      </w:r>
      <w:r>
        <w:rPr>
          <w:b/>
          <w:noProof/>
        </w:rPr>
        <w:t xml:space="preserve">en ny foranstaltning </w:t>
      </w:r>
    </w:p>
    <w:p>
      <w:pPr>
        <w:pStyle w:val="Text1"/>
        <w:rPr>
          <w:noProof/>
          <w:sz w:val="22"/>
        </w:rPr>
      </w:pPr>
      <w:r>
        <w:rPr>
          <w:noProof/>
        </w:rPr>
        <w:sym w:font="Wingdings" w:char="F0A8"/>
      </w:r>
      <w:r>
        <w:rPr>
          <w:i/>
          <w:noProof/>
        </w:rPr>
        <w:t xml:space="preserve"> </w:t>
      </w:r>
      <w:r>
        <w:rPr>
          <w:b/>
          <w:noProof/>
        </w:rPr>
        <w:t>en ny foranstaltning som opfølgning på et pilotprojekt/en forberedende foranstaltning</w:t>
      </w:r>
      <w:r>
        <w:rPr>
          <w:rStyle w:val="FootnoteReference"/>
          <w:b/>
          <w:noProof/>
        </w:rPr>
        <w:footnoteReference w:id="19"/>
      </w:r>
      <w:r>
        <w:rPr>
          <w:noProof/>
          <w:sz w:val="22"/>
        </w:rPr>
        <w:t xml:space="preserve"> </w:t>
      </w:r>
    </w:p>
    <w:p>
      <w:pPr>
        <w:pStyle w:val="Text1"/>
        <w:rPr>
          <w:noProof/>
        </w:rPr>
      </w:pPr>
      <w:r>
        <w:rPr>
          <w:noProof/>
        </w:rPr>
        <w:t>X</w:t>
      </w:r>
      <w:r>
        <w:rPr>
          <w:i/>
          <w:noProof/>
        </w:rPr>
        <w:t xml:space="preserve"> </w:t>
      </w:r>
      <w:r>
        <w:rPr>
          <w:b/>
          <w:noProof/>
        </w:rPr>
        <w:t>en forlængelse af en eksisterende foranstaltning</w:t>
      </w:r>
      <w:r>
        <w:rPr>
          <w:noProof/>
        </w:rPr>
        <w:t xml:space="preserve"> </w:t>
      </w:r>
    </w:p>
    <w:p>
      <w:pPr>
        <w:pStyle w:val="Text1"/>
        <w:rPr>
          <w:noProof/>
        </w:rPr>
      </w:pPr>
      <w:r>
        <w:rPr>
          <w:noProof/>
        </w:rPr>
        <w:sym w:font="Wingdings" w:char="F0A8"/>
      </w:r>
      <w:r>
        <w:rPr>
          <w:i/>
          <w:noProof/>
        </w:rPr>
        <w:t xml:space="preserve"> </w:t>
      </w:r>
      <w:r>
        <w:rPr>
          <w:b/>
          <w:noProof/>
        </w:rPr>
        <w:t>en sammenlægning af en eller flere</w:t>
      </w:r>
      <w:r>
        <w:rPr>
          <w:noProof/>
        </w:rPr>
        <w:t xml:space="preserve"> </w:t>
      </w:r>
      <w:r>
        <w:rPr>
          <w:b/>
          <w:noProof/>
        </w:rPr>
        <w:t>foranstaltninger til en anden/ny foranstaltning</w:t>
      </w:r>
      <w:r>
        <w:rPr>
          <w:noProof/>
        </w:rPr>
        <w:t xml:space="preserve"> </w:t>
      </w:r>
    </w:p>
    <w:p>
      <w:pPr>
        <w:pStyle w:val="ManualHeading2"/>
        <w:rPr>
          <w:bCs/>
          <w:noProof/>
          <w:szCs w:val="24"/>
        </w:rPr>
      </w:pPr>
      <w:r>
        <w:t>1.4.</w:t>
      </w:r>
      <w:r>
        <w:tab/>
      </w:r>
      <w:r>
        <w:rPr>
          <w:noProof/>
        </w:rPr>
        <w:t>Mål</w:t>
      </w:r>
    </w:p>
    <w:p>
      <w:pPr>
        <w:pStyle w:val="ManualHeading3"/>
        <w:rPr>
          <w:bCs/>
          <w:noProof/>
          <w:szCs w:val="24"/>
        </w:rPr>
      </w:pPr>
      <w:r>
        <w:t>1.4.1.</w:t>
      </w:r>
      <w:r>
        <w:tab/>
      </w:r>
      <w:r>
        <w:rPr>
          <w:noProof/>
        </w:rPr>
        <w:t xml:space="preserve">Generelle mål </w:t>
      </w:r>
    </w:p>
    <w:p>
      <w:pPr>
        <w:pStyle w:val="Text1"/>
        <w:pBdr>
          <w:top w:val="single" w:sz="4" w:space="1" w:color="auto"/>
          <w:left w:val="single" w:sz="4" w:space="4" w:color="auto"/>
          <w:bottom w:val="single" w:sz="4" w:space="1" w:color="auto"/>
          <w:right w:val="single" w:sz="4" w:space="4" w:color="auto"/>
        </w:pBdr>
        <w:rPr>
          <w:noProof/>
        </w:rPr>
      </w:pPr>
      <w:r>
        <w:rPr>
          <w:noProof/>
        </w:rPr>
        <w:t>De seneste begivenheder har vist de potentielle risici for valgprocesser og demokrati som følge af ulovlig brug af personoplysninger. Det er derfor nødvendigt at beskytte den demokratiske proces i Europa ved at indføre finansielle sanktioner i situationer, hvor europæiske politiske partier og europæiske politiske fonde drager fordel af overtrædelser af databeskyttelsesreglerne med henblik på at påvirke resultatet af valget til Europa-Parlamentet.</w:t>
      </w:r>
    </w:p>
    <w:p>
      <w:pPr>
        <w:pStyle w:val="ManualHeading3"/>
        <w:rPr>
          <w:bCs/>
          <w:noProof/>
          <w:szCs w:val="24"/>
        </w:rPr>
      </w:pPr>
      <w:r>
        <w:t>1.4.2.</w:t>
      </w:r>
      <w:r>
        <w:tab/>
      </w:r>
      <w:r>
        <w:rPr>
          <w:noProof/>
        </w:rPr>
        <w:t xml:space="preserve">Specifikke mål </w:t>
      </w:r>
    </w:p>
    <w:p>
      <w:pPr>
        <w:pStyle w:val="Text1"/>
        <w:pBdr>
          <w:top w:val="single" w:sz="4" w:space="1" w:color="auto"/>
          <w:left w:val="single" w:sz="4" w:space="4" w:color="auto"/>
          <w:bottom w:val="single" w:sz="4" w:space="1" w:color="auto"/>
          <w:right w:val="single" w:sz="4" w:space="4" w:color="auto"/>
        </w:pBdr>
        <w:rPr>
          <w:noProof/>
        </w:rPr>
      </w:pPr>
      <w:r>
        <w:rPr>
          <w:noProof/>
        </w:rPr>
        <w:t>Der bør fastlægges en kontrolprocedure, hvorved den myndighed, der er oprettet ved artikel 6 i forordning (EU, Euratom) nr. 1141/2014 ("myndigheden"), i visse tilfælde skal anmode udvalget af uafhængige fremtrædende personer om at vurdere, om et europæisk politisk parti eller en europæisk politisk fond bevidst har påvirket eller forsøgt at påvirke resultatet af valg til Europa-Parlamentet ved at drage fordel af en overtrædelse af de gældende regler om beskyttelse af personoplysninger. Hvis udvalget finder, at dette er tilfældet, bør myndigheden pålægge sanktioner i overensstemmelse med det effektive, forholdsmæssige og afskrækkende sanktionssystem, der er indført ved forordning (EU, Euratom) nr. 1141/2014.</w:t>
      </w:r>
    </w:p>
    <w:p>
      <w:pPr>
        <w:pStyle w:val="Text1"/>
        <w:pBdr>
          <w:top w:val="single" w:sz="4" w:space="1" w:color="auto"/>
          <w:left w:val="single" w:sz="4" w:space="4" w:color="auto"/>
          <w:bottom w:val="single" w:sz="4" w:space="1" w:color="auto"/>
          <w:right w:val="single" w:sz="4" w:space="4" w:color="auto"/>
        </w:pBdr>
        <w:rPr>
          <w:noProof/>
          <w:u w:val="single"/>
        </w:rPr>
      </w:pPr>
      <w:r>
        <w:rPr>
          <w:noProof/>
        </w:rPr>
        <w:t xml:space="preserve">Myndigheden bør have tilstrækkelige ressourcer til at udføre sine opgaver, både dem, som er fastlagt ved den gældende forordning, og dem, som er hensigten at tillægge myndigheden med nærværende ændringsforslag. Dette kræver et stabilt personaleniveau og styrkelse af de menneskelige ressourcer, som aktuelt er tildelt myndigheden. </w:t>
      </w:r>
    </w:p>
    <w:p>
      <w:pPr>
        <w:pStyle w:val="ManualHeading3"/>
        <w:rPr>
          <w:noProof/>
          <w:szCs w:val="24"/>
        </w:rPr>
      </w:pPr>
      <w:r>
        <w:t>1.4.3.</w:t>
      </w:r>
      <w:r>
        <w:tab/>
      </w:r>
      <w:r>
        <w:rPr>
          <w:noProof/>
        </w:rPr>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Forslaget har til formål at afskrække europæiske politiske partier og fonde fra at benytte sig af overtrædelser af databeskyttelsesreglerne med henblik på at påvirke resultatet af valget til Europa-Parlamentet ved at fastsætte finansielle sanktioner for ethvert tilfælde af en sådan upassende adfærd. </w:t>
      </w:r>
    </w:p>
    <w:p>
      <w:pPr>
        <w:pStyle w:val="ManualHeading3"/>
        <w:rPr>
          <w:bCs/>
          <w:noProof/>
          <w:szCs w:val="24"/>
        </w:rPr>
      </w:pPr>
      <w:r>
        <w:t>1.4.4.</w:t>
      </w:r>
      <w:r>
        <w:tab/>
      </w:r>
      <w:r>
        <w:rPr>
          <w:noProof/>
        </w:rPr>
        <w:t xml:space="preserve">Resultatindikatorer </w:t>
      </w:r>
    </w:p>
    <w:p>
      <w:pPr>
        <w:pStyle w:val="Text1"/>
        <w:rPr>
          <w:i/>
          <w:noProof/>
          <w:sz w:val="20"/>
        </w:rPr>
      </w:pPr>
      <w:r>
        <w:rPr>
          <w:i/>
          <w:noProof/>
          <w:sz w:val="20"/>
        </w:rPr>
        <w:t>Angiv indikatorerne til overvågning af fremskridt og resultater</w:t>
      </w:r>
    </w:p>
    <w:p>
      <w:pPr>
        <w:pStyle w:val="Text1"/>
        <w:pBdr>
          <w:top w:val="single" w:sz="4" w:space="1" w:color="auto"/>
          <w:left w:val="single" w:sz="4" w:space="1" w:color="auto"/>
          <w:bottom w:val="single" w:sz="4" w:space="1" w:color="auto"/>
          <w:right w:val="single" w:sz="4" w:space="1" w:color="auto"/>
        </w:pBdr>
        <w:rPr>
          <w:noProof/>
        </w:rPr>
      </w:pPr>
      <w:r>
        <w:rPr>
          <w:noProof/>
        </w:rPr>
        <w:t>Europæiske politiske partier eller fonde bør i god tid pålægges sanktioner, når det kan påvises, at de drager fordel af overtrædelser af reglerne om databeskyttelse med henblik på bevidst at påvirke udfaldet af valg til Europa-Parlamentet.</w:t>
      </w:r>
    </w:p>
    <w:p>
      <w:pPr>
        <w:pStyle w:val="ManualHeading2"/>
        <w:rPr>
          <w:bCs/>
          <w:noProof/>
          <w:szCs w:val="24"/>
        </w:rPr>
      </w:pPr>
      <w:r>
        <w:t>1.5.</w:t>
      </w:r>
      <w:r>
        <w:tab/>
      </w:r>
      <w:r>
        <w:rPr>
          <w:noProof/>
        </w:rPr>
        <w:t xml:space="preserve">Forslagets/initiativets begrundelse </w:t>
      </w:r>
    </w:p>
    <w:p>
      <w:pPr>
        <w:pStyle w:val="ManualHeading3"/>
        <w:rPr>
          <w:noProof/>
        </w:rPr>
      </w:pPr>
      <w:r>
        <w:t>1.5.1.</w:t>
      </w:r>
      <w:r>
        <w:tab/>
      </w:r>
      <w:r>
        <w:rPr>
          <w:noProof/>
        </w:rPr>
        <w:t>Behov, der skal opfyldes på kort eller lang sigt, herunder en detaljeret tidsplan for iværksættelsen af initiativet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Ovennævnte sanktioner bør indføres et godt stykke tid før valget til Europa-Parlamentet i 2019 med henblik på at afskrække fra den beskrevne upassende adfærd. For at sikre gennemførligheden og sætte myndigheden i stand til at varetage alle sine opgaver bør der tildeles yderligere menneskelige ressourcer snarest muligt, i første omgang gennem omfordeling af de ressourcer, som udførte disse opgaver inden oprettelsen af myndigheden.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 at forenkle og sørge for større operationel uafhængighed bør de beføjelser, som er tillagt ansættelsesmyndigheden efter vedtægten for tjenestemænd og ansættelsesvilkårene for de øvrige ansatte [Rådets forordning (EØF, Euratom, EKSF) nr. 259/68 af 29. februar 1968 om vedtægten for tjenestemænd i De europæiske Fællesskaber og om ansættelsesvilkårene for de øvrige ansatte i disse Fællesskaber samt om særlige midlertidige foranstaltninger for tjenestemænd i Kommissionen (EFT L 56 af 4.3.1968, s. 1)], delegeres til myndighedens direktør. </w:t>
      </w:r>
    </w:p>
    <w:p>
      <w:pPr>
        <w:pStyle w:val="ManualHeading3"/>
        <w:rPr>
          <w:bCs/>
          <w:noProof/>
          <w:szCs w:val="24"/>
        </w:rPr>
      </w:pPr>
      <w:r>
        <w:t>1.5.2.</w:t>
      </w:r>
      <w:r>
        <w:tab/>
      </w:r>
      <w:r>
        <w:rPr>
          <w:noProof/>
        </w:rPr>
        <w:t>Merværdien ved et EU-tiltag (f.eks. koordineringsfordele, retssikkerhed, større virkningsfuldhed eller komplementaritet). Ved "merværdien ved et EU-tiltag" forstås her merværdien af EU's intervention i forhold til den værdi, som medlemsstaterne ville have skabt enkeltvis.</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Dette forslag vedrører systemet for europæiske politiske partier og de europæiske politiske fonde etableret på EU-plan. I henhold til forordning (EU, Euratom) nr. 1141/2014 er disse organer europæiske juridiske personer. Myndigheden er også et organ med status som juridisk person i henhold til EU-retten. Derfor er det kun via foranstaltninger på EU-plan, at de ovenfor beskrevne mål kan forfølges. </w:t>
      </w:r>
    </w:p>
    <w:p>
      <w:pPr>
        <w:pStyle w:val="Text1"/>
        <w:pBdr>
          <w:top w:val="single" w:sz="4" w:space="1" w:color="auto"/>
          <w:left w:val="single" w:sz="4" w:space="4" w:color="auto"/>
          <w:bottom w:val="single" w:sz="4" w:space="1" w:color="auto"/>
          <w:right w:val="single" w:sz="4" w:space="4" w:color="auto"/>
        </w:pBdr>
        <w:rPr>
          <w:noProof/>
        </w:rPr>
      </w:pPr>
      <w:r>
        <w:rPr>
          <w:noProof/>
        </w:rPr>
        <w:t>Målene med dette forslag vil være nået, hvis enten a) det foreslåede sanktionssystem afskrækker de europæiske politiske partier eller fonde fra upassende anvendelse af resultater af overtrædelser af reglerne om beskyttelse af personoplysninger, eller b) enhver sådan handling sanktioneres behørigt.</w:t>
      </w:r>
    </w:p>
    <w:p>
      <w:pPr>
        <w:pStyle w:val="Text1"/>
        <w:pBdr>
          <w:top w:val="single" w:sz="4" w:space="1" w:color="auto"/>
          <w:left w:val="single" w:sz="4" w:space="4" w:color="auto"/>
          <w:bottom w:val="single" w:sz="4" w:space="1" w:color="auto"/>
          <w:right w:val="single" w:sz="4" w:space="4" w:color="auto"/>
        </w:pBdr>
        <w:rPr>
          <w:noProof/>
        </w:rPr>
      </w:pPr>
      <w:r>
        <w:rPr>
          <w:noProof/>
        </w:rPr>
        <w:t xml:space="preserve">Myndigheden bør være i stand til fuldt ud at varetage alle sine pligter, navnlig lige før og efter den europæiske valgperiode i 2019. </w:t>
      </w:r>
    </w:p>
    <w:p>
      <w:pPr>
        <w:pStyle w:val="ManualHeading3"/>
        <w:rPr>
          <w:noProof/>
        </w:rPr>
      </w:pPr>
      <w:r>
        <w:t>1.5.3.</w:t>
      </w:r>
      <w:r>
        <w:tab/>
      </w:r>
      <w:r>
        <w:rPr>
          <w:noProof/>
        </w:rPr>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myndighedens første årsrapport (for 2017) kan man læse følgende: "Myndigheden består for øjeblikket af to fuldtidsansatte og direktøren. I november 2016 udstationerede Europa-Parlamentet en administrativ assistent til at støtte direktøren i etableringen af myndigheden og registreringsprocessen for EU-partier og -fonde. I juni 2017 ansatte myndigheden en juridisk rådgiver med henblik på rådgivning om proceduremæssige, materielle og finansielle spørgsmål. På nuværende tidspunkt stilles hele myndighedens personale til rådighed for Europa-Parlamentet. Det nuværende personale er utilstrækkeligt til, at myndigheden ordentligt kan varetage de opgaver, som den er tillagt ved forordning (EU, Euratom) nr. 1141/2014. Derudover vil manglen på personale også kunne påvirke myndighedens uafhængighed og forretningskontinuiteten." </w:t>
      </w:r>
    </w:p>
    <w:p>
      <w:pPr>
        <w:pStyle w:val="ManualHeading3"/>
        <w:rPr>
          <w:noProof/>
        </w:rPr>
      </w:pPr>
      <w:r>
        <w:t>1.5.4.</w:t>
      </w:r>
      <w:r>
        <w:tab/>
      </w:r>
      <w:r>
        <w:rPr>
          <w:noProof/>
        </w:rPr>
        <w:t>Forenelighed med den flerårige finansielle ramme og mulige synergivirkninger med andre relevante instrumenter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Nærværende forslag vil ikke indebære ændringer af loftet for administrationsudgifter for EU-institutionerne, som er fastlagt i den flerårige finansielle ramme. </w:t>
      </w:r>
    </w:p>
    <w:p>
      <w:pPr>
        <w:pStyle w:val="ManualHeading3"/>
        <w:rPr>
          <w:noProof/>
        </w:rPr>
      </w:pPr>
      <w:r>
        <w:t>1.5.5.</w:t>
      </w:r>
      <w:r>
        <w:tab/>
      </w:r>
      <w:r>
        <w:rPr>
          <w:noProof/>
        </w:rPr>
        <w:t>Vurdering af de forskellige finansieringsmuligheder, der er til rådighed, herunder muligheden for omfordeling</w:t>
      </w:r>
    </w:p>
    <w:p>
      <w:pPr>
        <w:pStyle w:val="Text1"/>
        <w:pBdr>
          <w:top w:val="single" w:sz="4" w:space="1" w:color="auto"/>
          <w:left w:val="single" w:sz="4" w:space="4" w:color="auto"/>
          <w:bottom w:val="single" w:sz="4" w:space="1" w:color="auto"/>
          <w:right w:val="single" w:sz="4" w:space="4" w:color="auto"/>
        </w:pBdr>
        <w:rPr>
          <w:noProof/>
        </w:rPr>
      </w:pPr>
      <w:r>
        <w:rPr>
          <w:noProof/>
        </w:rPr>
        <w:t>Den foreslåede stigning i antallet af ansatte i myndigheden opnås først og fremmest gennem omfordeling af eksisterende ressourcer.</w:t>
      </w:r>
    </w:p>
    <w:p>
      <w:pPr>
        <w:pStyle w:val="ManualHeading2"/>
        <w:rPr>
          <w:bCs/>
          <w:noProof/>
          <w:szCs w:val="24"/>
        </w:rPr>
      </w:pPr>
      <w:r>
        <w:t>1.6.</w:t>
      </w:r>
      <w:r>
        <w:tab/>
      </w:r>
      <w:r>
        <w:rPr>
          <w:noProof/>
        </w:rPr>
        <w:t>Varighed og finansielle virkninger</w:t>
      </w:r>
    </w:p>
    <w:p>
      <w:pPr>
        <w:pStyle w:val="Text1"/>
        <w:rPr>
          <w:noProof/>
        </w:rPr>
      </w:pPr>
      <w:r>
        <w:rPr>
          <w:noProof/>
        </w:rPr>
        <w:sym w:font="Wingdings" w:char="F0A8"/>
      </w:r>
      <w:r>
        <w:rPr>
          <w:noProof/>
        </w:rPr>
        <w:t>Forslag/initiativ af</w:t>
      </w:r>
      <w:r>
        <w:rPr>
          <w:b/>
          <w:i/>
          <w:noProof/>
        </w:rPr>
        <w:t xml:space="preserve"> </w:t>
      </w:r>
      <w:r>
        <w:rPr>
          <w:b/>
          <w:noProof/>
        </w:rPr>
        <w:t xml:space="preserve">begrænset varighed </w:t>
      </w:r>
    </w:p>
    <w:p>
      <w:pPr>
        <w:pStyle w:val="ListDash2"/>
        <w:rPr>
          <w:noProof/>
        </w:rPr>
      </w:pPr>
      <w:r>
        <w:rPr>
          <w:noProof/>
        </w:rPr>
        <w:sym w:font="Wingdings" w:char="F0A8"/>
      </w:r>
      <w:r>
        <w:rPr>
          <w:noProof/>
        </w:rPr>
        <w:tab/>
        <w:t xml:space="preserve">Forslag/initiativ gældende fra [DD/MM]ÅÅÅÅ til [DD/MM]ÅÅÅÅ </w:t>
      </w:r>
    </w:p>
    <w:p>
      <w:pPr>
        <w:pStyle w:val="ListDash2"/>
        <w:rPr>
          <w:noProof/>
          <w:lang w:val="nb-NO"/>
        </w:rPr>
      </w:pPr>
      <w:r>
        <w:rPr>
          <w:noProof/>
        </w:rPr>
        <w:sym w:font="Wingdings" w:char="F0A8"/>
      </w:r>
      <w:r>
        <w:rPr>
          <w:noProof/>
          <w:lang w:val="nb-NO"/>
        </w:rPr>
        <w:tab/>
        <w:t>Finansielle virkninger fra ÅÅÅÅ til ÅÅÅÅ</w:t>
      </w:r>
    </w:p>
    <w:p>
      <w:pPr>
        <w:pStyle w:val="Text1"/>
        <w:rPr>
          <w:noProof/>
        </w:rPr>
      </w:pPr>
      <w:r>
        <w:rPr>
          <w:b/>
          <w:noProof/>
        </w:rPr>
        <w:t>X ubegrænset varighed</w:t>
      </w:r>
    </w:p>
    <w:p>
      <w:pPr>
        <w:pStyle w:val="ListDash1"/>
        <w:rPr>
          <w:noProof/>
        </w:rPr>
      </w:pPr>
      <w:r>
        <w:rPr>
          <w:noProof/>
        </w:rPr>
        <w:t>Iværksættelse med en indkøringsperiode fra ÅÅÅÅ til ÅÅÅÅ</w:t>
      </w:r>
    </w:p>
    <w:p>
      <w:pPr>
        <w:pStyle w:val="ListDash1"/>
        <w:rPr>
          <w:noProof/>
        </w:rPr>
      </w:pPr>
      <w:r>
        <w:rPr>
          <w:noProof/>
        </w:rPr>
        <w:t>derefter gennemførelse i fuldt omfang.</w:t>
      </w:r>
    </w:p>
    <w:p>
      <w:pPr>
        <w:pStyle w:val="ManualHeading2"/>
        <w:rPr>
          <w:bCs/>
          <w:noProof/>
          <w:szCs w:val="24"/>
        </w:rPr>
      </w:pPr>
      <w:r>
        <w:t>1.7.</w:t>
      </w:r>
      <w:r>
        <w:tab/>
      </w:r>
      <w:r>
        <w:rPr>
          <w:noProof/>
        </w:rPr>
        <w:t>Påtænkt(e) forvaltningsmetode(r)</w:t>
      </w:r>
      <w:r>
        <w:rPr>
          <w:rStyle w:val="FootnoteReference"/>
          <w:noProof/>
        </w:rPr>
        <w:footnoteReference w:id="20"/>
      </w:r>
      <w:r>
        <w:rPr>
          <w:rStyle w:val="FootnoteReference"/>
          <w:noProof/>
        </w:rPr>
        <w:t xml:space="preserve"> </w:t>
      </w:r>
    </w:p>
    <w:p>
      <w:pPr>
        <w:pStyle w:val="Text1"/>
        <w:rPr>
          <w:noProof/>
        </w:rPr>
      </w:pPr>
      <w:r>
        <w:rPr>
          <w:b/>
          <w:noProof/>
        </w:rPr>
        <w:t>X Direkte forvaltning</w:t>
      </w:r>
      <w:r>
        <w:rPr>
          <w:noProof/>
        </w:rPr>
        <w:t xml:space="preserve"> ved Europa-Parlament gennem myndigheden</w:t>
      </w:r>
    </w:p>
    <w:p>
      <w:pPr>
        <w:pStyle w:val="ListDash2"/>
        <w:rPr>
          <w:noProof/>
        </w:rPr>
      </w:pPr>
      <w:r>
        <w:rPr>
          <w:noProof/>
        </w:rPr>
        <w:sym w:font="Wingdings" w:char="F0A8"/>
      </w:r>
      <w:r>
        <w:rPr>
          <w:noProof/>
        </w:rPr>
        <w:tab/>
        <w:t xml:space="preserve">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pPr>
        <w:pStyle w:val="Text1"/>
        <w:rPr>
          <w:noProof/>
        </w:rPr>
      </w:pPr>
      <w:r>
        <w:rPr>
          <w:noProof/>
        </w:rPr>
        <w:sym w:font="Wingdings" w:char="F0A8"/>
      </w:r>
      <w:r>
        <w:rPr>
          <w:noProof/>
        </w:rPr>
        <w:t xml:space="preserve"> internationale organisationer og deres organer (angives nærmere)</w:t>
      </w:r>
    </w:p>
    <w:p>
      <w:pPr>
        <w:pStyle w:val="Text1"/>
        <w:rPr>
          <w:noProof/>
        </w:rPr>
      </w:pPr>
      <w:r>
        <w:rPr>
          <w:noProof/>
        </w:rPr>
        <w:sym w:font="Wingdings" w:char="F0A8"/>
      </w:r>
      <w:r>
        <w:rPr>
          <w:noProof/>
        </w:rPr>
        <w:t xml:space="preserve"> Den Europæiske Investeringsbank og Den Europæiske Investeringsfond</w:t>
      </w:r>
    </w:p>
    <w:p>
      <w:pPr>
        <w:pStyle w:val="Text1"/>
        <w:rPr>
          <w:noProof/>
        </w:rPr>
      </w:pPr>
      <w:r>
        <w:rPr>
          <w:noProof/>
        </w:rPr>
        <w:sym w:font="Wingdings" w:char="F0A8"/>
      </w:r>
      <w:r>
        <w:rPr>
          <w:noProof/>
        </w:rPr>
        <w:t xml:space="preserve"> de organer, der er omhandlet i artikel 70 og 71</w:t>
      </w:r>
    </w:p>
    <w:p>
      <w:pPr>
        <w:pStyle w:val="Text1"/>
        <w:rPr>
          <w:noProof/>
        </w:rPr>
      </w:pPr>
      <w:r>
        <w:rPr>
          <w:noProof/>
        </w:rPr>
        <w:sym w:font="Wingdings" w:char="F0A8"/>
      </w:r>
      <w:r>
        <w:rPr>
          <w:noProof/>
        </w:rPr>
        <w:t xml:space="preserve"> offentligretlige organer</w:t>
      </w:r>
    </w:p>
    <w:p>
      <w:pPr>
        <w:pStyle w:val="Text1"/>
        <w:rPr>
          <w:noProof/>
        </w:rPr>
      </w:pPr>
      <w:r>
        <w:rPr>
          <w:noProof/>
        </w:rPr>
        <w:sym w:font="Wingdings" w:char="F0A8"/>
      </w:r>
      <w:r>
        <w:rPr>
          <w:noProof/>
        </w:rPr>
        <w:t xml:space="preserve"> privatretlige organer, der har fået overdraget samfundsopgaver, forudsat at de stiller tilstrækkelige finansielle garantier</w:t>
      </w:r>
    </w:p>
    <w:p>
      <w:pPr>
        <w:pStyle w:val="Text1"/>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Text1"/>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rPr>
          <w:noProof/>
        </w:rPr>
      </w:pPr>
      <w:r>
        <w:rPr>
          <w:noProof/>
        </w:rPr>
        <w:t>Bemærkninger</w:t>
      </w:r>
    </w:p>
    <w:p>
      <w:pPr>
        <w:pBdr>
          <w:top w:val="single" w:sz="4" w:space="1" w:color="auto"/>
          <w:left w:val="single" w:sz="4" w:space="4" w:color="auto"/>
          <w:bottom w:val="single" w:sz="4" w:space="1" w:color="auto"/>
          <w:right w:val="single" w:sz="4" w:space="4" w:color="auto"/>
        </w:pBdr>
        <w:rPr>
          <w:noProof/>
        </w:rPr>
      </w:pPr>
      <w:r>
        <w:rPr>
          <w:noProof/>
        </w:rPr>
        <w:t>Myndigheden finansieres via et specifikt afsnit i budgettet (afsnit 5) for Europa-Parlamentet. Antallet og sammensætningen af personalet angives i budgetanmærkningerne i det konkrete afsnit. Opgaverne som anvisningsberettiget for Europa-Parlamentet delegeres til myndighedens direktør i medfør af artikel 6, stk. 7, i forordning (EU, Euratom) nr. 1141/2014.</w:t>
      </w:r>
    </w:p>
    <w:p>
      <w:pPr>
        <w:rPr>
          <w:noProof/>
        </w:rPr>
        <w:sectPr>
          <w:pgSz w:w="11907" w:h="16839" w:code="9"/>
          <w:pgMar w:top="794" w:right="907" w:bottom="851" w:left="1361" w:header="510" w:footer="454" w:gutter="0"/>
          <w:cols w:space="720"/>
          <w:docGrid w:linePitch="326"/>
        </w:sectPr>
      </w:pPr>
    </w:p>
    <w:p>
      <w:pPr>
        <w:pStyle w:val="ManualHeading1"/>
        <w:rPr>
          <w:bCs/>
          <w:noProof/>
          <w:szCs w:val="24"/>
        </w:rPr>
      </w:pPr>
      <w:r>
        <w:t>2.</w:t>
      </w:r>
      <w:r>
        <w:tab/>
      </w:r>
      <w:r>
        <w:rPr>
          <w:noProof/>
        </w:rPr>
        <w:t xml:space="preserve">FORVALTNINGSFORANSTALTNINGER </w:t>
      </w:r>
    </w:p>
    <w:p>
      <w:pPr>
        <w:pStyle w:val="ManualHeading2"/>
        <w:rPr>
          <w:bCs/>
          <w:noProof/>
          <w:szCs w:val="24"/>
        </w:rPr>
      </w:pPr>
      <w:r>
        <w:t>2.1.</w:t>
      </w:r>
      <w:r>
        <w:tab/>
      </w:r>
      <w:r>
        <w:rPr>
          <w:noProof/>
        </w:rPr>
        <w:t xml:space="preserve">Bestemmelser om kontrol og rapportering </w:t>
      </w:r>
    </w:p>
    <w:p>
      <w:pPr>
        <w:pStyle w:val="Text1"/>
        <w:rPr>
          <w:i/>
          <w:noProof/>
          <w:sz w:val="20"/>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Myndigheden vil fortsætte med at forelægge en rapport i henhold til artikel 6, stk. 10, i forordning (EU, Euratom) nr. 1141/2014. Europa-Parlamentet vil rapportere om de relevante finansielle transaktioner, som er en del af Unionens årlige regnskabscyklus.</w:t>
      </w:r>
    </w:p>
    <w:p>
      <w:pPr>
        <w:pStyle w:val="ManualHeading2"/>
        <w:rPr>
          <w:bCs/>
          <w:noProof/>
          <w:szCs w:val="24"/>
        </w:rPr>
      </w:pPr>
      <w:r>
        <w:t>2.2.</w:t>
      </w:r>
      <w:r>
        <w:tab/>
      </w:r>
      <w:r>
        <w:rPr>
          <w:noProof/>
        </w:rPr>
        <w:t xml:space="preserve">Forvaltnings- og kontrolsystem(er) </w:t>
      </w:r>
    </w:p>
    <w:p>
      <w:pPr>
        <w:pStyle w:val="ManualHeading3"/>
        <w:rPr>
          <w:noProof/>
        </w:rPr>
      </w:pPr>
      <w:r>
        <w:t>2.2.1.</w:t>
      </w:r>
      <w:r>
        <w:tab/>
      </w:r>
      <w:r>
        <w:rPr>
          <w:noProof/>
        </w:rPr>
        <w:t>Begrundelse for den/de foreslåede forvaltningsmetode(r), finansieringsmekanisme(r), betalingsvilkår og kontrolstrategi</w:t>
      </w:r>
    </w:p>
    <w:p>
      <w:pPr>
        <w:pStyle w:val="Text1"/>
        <w:pBdr>
          <w:top w:val="single" w:sz="4" w:space="1" w:color="auto"/>
          <w:left w:val="single" w:sz="4" w:space="4" w:color="auto"/>
          <w:bottom w:val="single" w:sz="4" w:space="1" w:color="auto"/>
          <w:right w:val="single" w:sz="4" w:space="4" w:color="auto"/>
        </w:pBdr>
        <w:rPr>
          <w:noProof/>
        </w:rPr>
      </w:pPr>
      <w:r>
        <w:rPr>
          <w:noProof/>
        </w:rPr>
        <w:t xml:space="preserve">Som følge af myndighedens konkrete opbygning (et uafhængigt organ, hvis budget imidlertid er en del af Europa-Parlamentets budget) er de foreslåede skridt de eneste logiske set i lyset af de ovenfor beskrevne behov. </w:t>
      </w:r>
    </w:p>
    <w:p>
      <w:pPr>
        <w:pStyle w:val="ManualHeading3"/>
        <w:rPr>
          <w:noProof/>
        </w:rPr>
      </w:pPr>
      <w:r>
        <w:t>2.2.2.</w:t>
      </w:r>
      <w:r>
        <w:tab/>
      </w:r>
      <w:r>
        <w:rPr>
          <w:noProof/>
        </w:rPr>
        <w:t>Oplysninger om de udpegede risici og det/de interne kontrolsystem(er), der etableres for at afbøde dem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finansielle risici er de samme som for alle andre former for administrative udgifter i Unionens institutioner, og i dette tilfælde vil de være omfattet af Europa-Parlamentets eksisterende interne kontrolsystem. </w:t>
      </w:r>
    </w:p>
    <w:p>
      <w:pPr>
        <w:pStyle w:val="ManualHeading3"/>
        <w:rPr>
          <w:noProof/>
        </w:rPr>
      </w:pPr>
      <w:r>
        <w:t>2.2.3.</w:t>
      </w:r>
      <w:r>
        <w:tab/>
      </w:r>
      <w:r>
        <w:rPr>
          <w:noProof/>
        </w:rPr>
        <w:t xml:space="preserve">Vurdering af og begrundelse for kontrolforanstaltningernes omkostningseffektivitet (forholdet mellem kontrolomkostningerne og værdien af de forvaltede midler) samt vurdering af den forventede risiko for fejl (ved betaling og ved afslutning)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Der stilles ikke forslag om et nyt internt kontrolsystem, og den ekstrabyrde, som pålægges Europa-Parlamentets interne kontrolsystem med disse ændringer, er ikke væsentlig. </w:t>
      </w:r>
    </w:p>
    <w:p>
      <w:pPr>
        <w:spacing w:before="0" w:after="200" w:line="276" w:lineRule="auto"/>
        <w:jc w:val="left"/>
        <w:rPr>
          <w:rFonts w:eastAsiaTheme="majorEastAsia"/>
          <w:b/>
          <w:bCs/>
          <w:noProof/>
          <w:szCs w:val="26"/>
        </w:rPr>
      </w:pPr>
      <w:r>
        <w:rPr>
          <w:noProof/>
        </w:rPr>
        <w:br w:type="page"/>
      </w:r>
    </w:p>
    <w:p>
      <w:pPr>
        <w:pStyle w:val="ManualHeading2"/>
        <w:rPr>
          <w:bCs/>
          <w:noProof/>
          <w:szCs w:val="24"/>
        </w:rPr>
      </w:pPr>
      <w:r>
        <w:t>2.3.</w:t>
      </w:r>
      <w:r>
        <w:tab/>
      </w:r>
      <w:r>
        <w:rPr>
          <w:noProof/>
        </w:rPr>
        <w:t xml:space="preserve">Foranstaltninger til forebyggelse af svig og uregelmæssigheder </w:t>
      </w:r>
    </w:p>
    <w:p>
      <w:pPr>
        <w:pStyle w:val="Text1"/>
        <w:rPr>
          <w:i/>
          <w:noProof/>
          <w:sz w:val="20"/>
        </w:rPr>
      </w:pPr>
      <w:r>
        <w:rPr>
          <w:i/>
          <w:noProof/>
          <w:sz w:val="20"/>
        </w:rPr>
        <w:t>Angiv eksisterende eller påtænkte forebyggelses- og beskyttelsesforanstaltninger, f.eks. fra strategien til bekæmpelse af svig.</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Europa-Parlamentets gældende bestemmelser vedrørende dets administrative udgifter vil finde anvendelse på de heri fastlagte. </w:t>
      </w:r>
    </w:p>
    <w:p>
      <w:pPr>
        <w:pStyle w:val="ManualHeading1"/>
        <w:rPr>
          <w:bCs/>
          <w:noProof/>
          <w:szCs w:val="24"/>
        </w:rPr>
      </w:pPr>
      <w:r>
        <w:t>3.</w:t>
      </w:r>
      <w:r>
        <w:tab/>
      </w:r>
      <w:r>
        <w:rPr>
          <w:noProof/>
        </w:rPr>
        <w:t xml:space="preserve">FORSLAGETS/INITIATIVETS ANSLÅEDE FINANSIELLE VIRKNINGER </w:t>
      </w:r>
    </w:p>
    <w:p>
      <w:pPr>
        <w:pStyle w:val="ManualHeading2"/>
        <w:rPr>
          <w:bCs/>
          <w:noProof/>
          <w:szCs w:val="24"/>
        </w:rPr>
      </w:pPr>
      <w:r>
        <w:t>3.1.</w:t>
      </w:r>
      <w:r>
        <w:tab/>
      </w:r>
      <w:r>
        <w:rPr>
          <w:noProof/>
        </w:rPr>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Udgiftens</w:t>
            </w:r>
            <w:r>
              <w:rPr>
                <w:noProof/>
                <w:sz w:val="22"/>
              </w:rPr>
              <w:br/>
            </w:r>
            <w:r>
              <w:rPr>
                <w:noProof/>
                <w:sz w:val="18"/>
              </w:rPr>
              <w:t>art</w:t>
            </w:r>
          </w:p>
        </w:tc>
        <w:tc>
          <w:tcPr>
            <w:tcW w:w="4556" w:type="dxa"/>
            <w:gridSpan w:val="4"/>
            <w:vAlign w:val="center"/>
          </w:tcPr>
          <w:p>
            <w:pPr>
              <w:spacing w:before="60" w:after="60"/>
              <w:jc w:val="center"/>
              <w:rPr>
                <w:noProof/>
              </w:rPr>
            </w:pPr>
            <w:r>
              <w:rPr>
                <w:noProof/>
                <w:sz w:val="20"/>
              </w:rPr>
              <w:t xml:space="preserve">Bidrag </w:t>
            </w:r>
          </w:p>
        </w:tc>
      </w:tr>
      <w:tr>
        <w:tc>
          <w:tcPr>
            <w:tcW w:w="1080" w:type="dxa"/>
            <w:vMerge/>
            <w:vAlign w:val="center"/>
          </w:tcPr>
          <w:p>
            <w:pPr>
              <w:rPr>
                <w:noProof/>
                <w:sz w:val="18"/>
              </w:rPr>
            </w:pPr>
          </w:p>
        </w:tc>
        <w:tc>
          <w:tcPr>
            <w:tcW w:w="396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18"/>
              </w:rPr>
              <w:t>OB/IOB</w:t>
            </w:r>
            <w:r>
              <w:rPr>
                <w:rStyle w:val="FootnoteReference"/>
                <w:noProof/>
                <w:sz w:val="18"/>
              </w:rPr>
              <w:footnoteReference w:id="21"/>
            </w:r>
          </w:p>
        </w:tc>
        <w:tc>
          <w:tcPr>
            <w:tcW w:w="956" w:type="dxa"/>
            <w:vAlign w:val="center"/>
          </w:tcPr>
          <w:p>
            <w:pPr>
              <w:jc w:val="center"/>
              <w:rPr>
                <w:noProof/>
              </w:rPr>
            </w:pPr>
            <w:r>
              <w:rPr>
                <w:noProof/>
                <w:sz w:val="18"/>
              </w:rPr>
              <w:t>fra EFTA</w:t>
            </w:r>
            <w:r>
              <w:rPr>
                <w:noProof/>
              </w:rPr>
              <w:softHyphen/>
            </w:r>
            <w:r>
              <w:rPr>
                <w:noProof/>
                <w:sz w:val="18"/>
              </w:rPr>
              <w:t>lande</w:t>
            </w:r>
            <w:r>
              <w:rPr>
                <w:rStyle w:val="FootnoteReference"/>
                <w:noProof/>
                <w:sz w:val="18"/>
              </w:rPr>
              <w:footnoteReference w:id="22"/>
            </w:r>
          </w:p>
        </w:tc>
        <w:tc>
          <w:tcPr>
            <w:tcW w:w="1080" w:type="dxa"/>
            <w:vAlign w:val="center"/>
          </w:tcPr>
          <w:p>
            <w:pPr>
              <w:jc w:val="center"/>
              <w:rPr>
                <w:noProof/>
                <w:sz w:val="18"/>
              </w:rPr>
            </w:pPr>
            <w:r>
              <w:rPr>
                <w:noProof/>
                <w:sz w:val="18"/>
              </w:rPr>
              <w:t>fra kandidat</w:t>
            </w:r>
            <w:r>
              <w:rPr>
                <w:noProof/>
              </w:rPr>
              <w:softHyphen/>
            </w:r>
            <w:r>
              <w:rPr>
                <w:noProof/>
                <w:sz w:val="18"/>
              </w:rPr>
              <w:t>lande</w:t>
            </w:r>
            <w:r>
              <w:rPr>
                <w:rStyle w:val="FootnoteReference"/>
                <w:noProof/>
                <w:sz w:val="18"/>
              </w:rPr>
              <w:footnoteReference w:id="23"/>
            </w:r>
          </w:p>
        </w:tc>
        <w:tc>
          <w:tcPr>
            <w:tcW w:w="956" w:type="dxa"/>
            <w:vAlign w:val="center"/>
          </w:tcPr>
          <w:p>
            <w:pPr>
              <w:jc w:val="center"/>
              <w:rPr>
                <w:noProof/>
                <w:sz w:val="18"/>
              </w:rPr>
            </w:pPr>
            <w:r>
              <w:rPr>
                <w:noProof/>
                <w:sz w:val="18"/>
              </w:rPr>
              <w:t>fra tredje</w:t>
            </w:r>
            <w:r>
              <w:rPr>
                <w:noProof/>
              </w:rPr>
              <w:softHyphen/>
            </w:r>
            <w:r>
              <w:rPr>
                <w:noProof/>
                <w:sz w:val="18"/>
              </w:rPr>
              <w:t>lande</w:t>
            </w:r>
          </w:p>
        </w:tc>
        <w:tc>
          <w:tcPr>
            <w:tcW w:w="1564" w:type="dxa"/>
            <w:vAlign w:val="center"/>
          </w:tcPr>
          <w:p>
            <w:pPr>
              <w:jc w:val="center"/>
              <w:rPr>
                <w:noProof/>
                <w:sz w:val="16"/>
                <w:szCs w:val="16"/>
              </w:rPr>
            </w:pPr>
            <w:r>
              <w:rPr>
                <w:noProof/>
                <w:sz w:val="16"/>
              </w:rPr>
              <w:t xml:space="preserve">iht. finansforordningens artikel 21, stk. 2, litra b) </w:t>
            </w:r>
          </w:p>
        </w:tc>
      </w:tr>
      <w:tr>
        <w:tc>
          <w:tcPr>
            <w:tcW w:w="1080" w:type="dxa"/>
            <w:vAlign w:val="center"/>
          </w:tcPr>
          <w:p>
            <w:pPr>
              <w:jc w:val="center"/>
              <w:rPr>
                <w:noProof/>
              </w:rPr>
            </w:pPr>
            <w:r>
              <w:rPr>
                <w:noProof/>
              </w:rPr>
              <w:t>5</w:t>
            </w:r>
          </w:p>
        </w:tc>
        <w:tc>
          <w:tcPr>
            <w:tcW w:w="3960" w:type="dxa"/>
            <w:vAlign w:val="center"/>
          </w:tcPr>
          <w:p>
            <w:pPr>
              <w:spacing w:after="60"/>
              <w:rPr>
                <w:noProof/>
              </w:rPr>
            </w:pPr>
            <w:r>
              <w:rPr>
                <w:noProof/>
              </w:rPr>
              <w:t>Sektion I - Europa-Parlamentet</w:t>
            </w:r>
          </w:p>
        </w:tc>
        <w:tc>
          <w:tcPr>
            <w:tcW w:w="1080" w:type="dxa"/>
            <w:vAlign w:val="center"/>
          </w:tcPr>
          <w:p>
            <w:pPr>
              <w:jc w:val="center"/>
              <w:rPr>
                <w:noProof/>
              </w:rPr>
            </w:pPr>
            <w:r>
              <w:rPr>
                <w:noProof/>
                <w:sz w:val="18"/>
              </w:rPr>
              <w:t>OB/IOB</w:t>
            </w:r>
          </w:p>
        </w:tc>
        <w:tc>
          <w:tcPr>
            <w:tcW w:w="956" w:type="dxa"/>
            <w:vAlign w:val="center"/>
          </w:tcPr>
          <w:p>
            <w:pPr>
              <w:jc w:val="center"/>
              <w:rPr>
                <w:noProof/>
                <w:sz w:val="20"/>
              </w:rPr>
            </w:pPr>
            <w:r>
              <w:rPr>
                <w:noProof/>
                <w:sz w:val="20"/>
              </w:rPr>
              <w:t>NEJ</w:t>
            </w:r>
          </w:p>
        </w:tc>
        <w:tc>
          <w:tcPr>
            <w:tcW w:w="1080" w:type="dxa"/>
            <w:vAlign w:val="center"/>
          </w:tcPr>
          <w:p>
            <w:pPr>
              <w:jc w:val="center"/>
              <w:rPr>
                <w:noProof/>
                <w:sz w:val="20"/>
              </w:rPr>
            </w:pPr>
            <w:r>
              <w:rPr>
                <w:noProof/>
                <w:sz w:val="20"/>
              </w:rPr>
              <w:t>NEJ</w:t>
            </w:r>
          </w:p>
        </w:tc>
        <w:tc>
          <w:tcPr>
            <w:tcW w:w="956" w:type="dxa"/>
            <w:vAlign w:val="center"/>
          </w:tcPr>
          <w:p>
            <w:pPr>
              <w:jc w:val="center"/>
              <w:rPr>
                <w:noProof/>
                <w:sz w:val="20"/>
              </w:rPr>
            </w:pPr>
            <w:r>
              <w:rPr>
                <w:noProof/>
                <w:sz w:val="20"/>
              </w:rPr>
              <w:t>NEJ</w:t>
            </w:r>
          </w:p>
        </w:tc>
        <w:tc>
          <w:tcPr>
            <w:tcW w:w="1564" w:type="dxa"/>
            <w:vAlign w:val="center"/>
          </w:tcPr>
          <w:p>
            <w:pPr>
              <w:jc w:val="center"/>
              <w:rPr>
                <w:noProof/>
                <w:sz w:val="20"/>
              </w:rPr>
            </w:pPr>
            <w:r>
              <w:rPr>
                <w:noProof/>
                <w:sz w:val="20"/>
              </w:rPr>
              <w:t>NEJ</w:t>
            </w:r>
          </w:p>
        </w:tc>
      </w:tr>
    </w:tbl>
    <w:p>
      <w:pPr>
        <w:rPr>
          <w:noProof/>
        </w:rPr>
        <w:sectPr>
          <w:pgSz w:w="11907" w:h="16839" w:code="9"/>
          <w:pgMar w:top="794" w:right="907" w:bottom="851" w:left="1361" w:header="510" w:footer="454" w:gutter="0"/>
          <w:cols w:space="720"/>
          <w:docGrid w:linePitch="326"/>
        </w:sectPr>
      </w:pPr>
    </w:p>
    <w:p>
      <w:pPr>
        <w:pStyle w:val="ManualHeading2"/>
        <w:rPr>
          <w:bCs/>
          <w:noProof/>
          <w:szCs w:val="24"/>
        </w:rPr>
      </w:pPr>
      <w:r>
        <w:t>3.2.</w:t>
      </w:r>
      <w:r>
        <w:tab/>
      </w:r>
      <w:r>
        <w:rPr>
          <w:noProof/>
        </w:rPr>
        <w:t xml:space="preserve">Anslåede virkninger for udgifterne </w:t>
      </w:r>
    </w:p>
    <w:p>
      <w:pPr>
        <w:pStyle w:val="ManualHeading3"/>
        <w:rPr>
          <w:bCs/>
          <w:noProof/>
          <w:szCs w:val="24"/>
        </w:rPr>
      </w:pPr>
      <w:r>
        <w:t>3.2.1.</w:t>
      </w:r>
      <w:r>
        <w:tab/>
      </w:r>
      <w:r>
        <w:rPr>
          <w:noProof/>
        </w:rPr>
        <w:t xml:space="preserve">Sammenfatning af de anslåede virkninger for udgifterne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Udgiftsområde i den flerårige finansielle</w:t>
            </w:r>
            <w:r>
              <w:rPr>
                <w:noProof/>
                <w:sz w:val="22"/>
              </w:rPr>
              <w:br/>
            </w:r>
            <w:r>
              <w:rPr>
                <w:b/>
                <w:noProof/>
                <w:sz w:val="22"/>
              </w:rPr>
              <w:t xml:space="preserve">ramme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"Administration"</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n</w:t>
            </w:r>
          </w:p>
        </w:tc>
        <w:tc>
          <w:tcPr>
            <w:tcW w:w="868" w:type="dxa"/>
            <w:vAlign w:val="center"/>
          </w:tcPr>
          <w:p>
            <w:pPr>
              <w:jc w:val="center"/>
              <w:rPr>
                <w:noProof/>
                <w:sz w:val="20"/>
              </w:rPr>
            </w:pPr>
            <w:r>
              <w:rPr>
                <w:noProof/>
                <w:sz w:val="20"/>
              </w:rPr>
              <w:t>År</w:t>
            </w:r>
            <w:r>
              <w:rPr>
                <w:noProof/>
                <w:sz w:val="22"/>
              </w:rPr>
              <w:br/>
            </w:r>
            <w:r>
              <w:rPr>
                <w:b/>
                <w:noProof/>
                <w:sz w:val="20"/>
              </w:rPr>
              <w:t>n + 1</w:t>
            </w:r>
          </w:p>
        </w:tc>
        <w:tc>
          <w:tcPr>
            <w:tcW w:w="868" w:type="dxa"/>
            <w:vAlign w:val="center"/>
          </w:tcPr>
          <w:p>
            <w:pPr>
              <w:jc w:val="center"/>
              <w:rPr>
                <w:noProof/>
                <w:sz w:val="20"/>
              </w:rPr>
            </w:pPr>
            <w:r>
              <w:rPr>
                <w:noProof/>
                <w:sz w:val="20"/>
              </w:rPr>
              <w:t>År</w:t>
            </w:r>
            <w:r>
              <w:rPr>
                <w:noProof/>
                <w:sz w:val="22"/>
              </w:rPr>
              <w:br/>
            </w:r>
            <w:r>
              <w:rPr>
                <w:b/>
                <w:noProof/>
                <w:sz w:val="20"/>
              </w:rPr>
              <w:t>n + +2</w:t>
            </w:r>
          </w:p>
        </w:tc>
        <w:tc>
          <w:tcPr>
            <w:tcW w:w="868" w:type="dxa"/>
            <w:vAlign w:val="center"/>
          </w:tcPr>
          <w:p>
            <w:pPr>
              <w:jc w:val="center"/>
              <w:rPr>
                <w:noProof/>
                <w:sz w:val="20"/>
              </w:rPr>
            </w:pPr>
            <w:r>
              <w:rPr>
                <w:noProof/>
                <w:sz w:val="20"/>
              </w:rPr>
              <w:t>År</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Der indsættes flere år, hvis virkningerne varer længere (jf. punkt 1.6) </w:t>
            </w:r>
          </w:p>
        </w:tc>
        <w:tc>
          <w:tcPr>
            <w:tcW w:w="1777" w:type="dxa"/>
            <w:vAlign w:val="center"/>
          </w:tcPr>
          <w:p>
            <w:pPr>
              <w:jc w:val="center"/>
              <w:rPr>
                <w:b/>
                <w:noProof/>
                <w:sz w:val="20"/>
              </w:rPr>
            </w:pPr>
            <w:r>
              <w:rPr>
                <w:b/>
                <w:noProof/>
                <w:sz w:val="20"/>
              </w:rPr>
              <w:t>I ALT</w:t>
            </w:r>
          </w:p>
        </w:tc>
      </w:tr>
      <w:tr>
        <w:trPr>
          <w:gridAfter w:val="10"/>
          <w:wAfter w:w="9947" w:type="dxa"/>
        </w:trPr>
        <w:tc>
          <w:tcPr>
            <w:tcW w:w="3960" w:type="dxa"/>
            <w:vAlign w:val="center"/>
          </w:tcPr>
          <w:p>
            <w:pPr>
              <w:spacing w:before="60" w:after="60"/>
              <w:jc w:val="center"/>
              <w:rPr>
                <w:noProof/>
              </w:rPr>
            </w:pPr>
            <w:r>
              <w:rPr>
                <w:noProof/>
                <w:sz w:val="22"/>
              </w:rPr>
              <w:t xml:space="preserve">Europa-Parlamentet </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Menneskelige ressourcer</w:t>
            </w:r>
          </w:p>
        </w:tc>
        <w:tc>
          <w:tcPr>
            <w:tcW w:w="868" w:type="dxa"/>
            <w:vAlign w:val="center"/>
          </w:tcPr>
          <w:p>
            <w:pPr>
              <w:spacing w:before="20" w:after="2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Andre administrationsudgifter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Europa-Parlamentet I ALT</w:t>
            </w:r>
          </w:p>
        </w:tc>
        <w:tc>
          <w:tcPr>
            <w:tcW w:w="2094" w:type="dxa"/>
            <w:gridSpan w:val="2"/>
            <w:vAlign w:val="center"/>
          </w:tcPr>
          <w:p>
            <w:pPr>
              <w:rPr>
                <w:noProof/>
                <w:sz w:val="14"/>
              </w:rPr>
            </w:pPr>
            <w:r>
              <w:rPr>
                <w:noProof/>
                <w:sz w:val="18"/>
              </w:rPr>
              <w:t xml:space="preserve">Bevillinger </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rPr>
            </w:pPr>
            <w:r>
              <w:rPr>
                <w:noProof/>
                <w:sz w:val="18"/>
              </w:rPr>
              <w:t>(Forpligtelser i alt = betalinger i alt)</w:t>
            </w:r>
          </w:p>
        </w:tc>
        <w:tc>
          <w:tcPr>
            <w:tcW w:w="868" w:type="dxa"/>
            <w:vAlign w:val="center"/>
          </w:tcPr>
          <w:p>
            <w:pPr>
              <w:spacing w:before="20" w:after="20"/>
              <w:jc w:val="right"/>
              <w:rPr>
                <w:noProof/>
                <w:sz w:val="20"/>
              </w:rPr>
            </w:pPr>
            <w:r>
              <w:rPr>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noProof/>
                <w:sz w:val="20"/>
              </w:rPr>
            </w:pPr>
            <w:r>
              <w:rPr>
                <w:b/>
                <w:noProof/>
                <w:sz w:val="20"/>
              </w:rPr>
              <w:t>1,43</w:t>
            </w:r>
          </w:p>
        </w:tc>
        <w:tc>
          <w:tcPr>
            <w:tcW w:w="868" w:type="dxa"/>
            <w:vAlign w:val="center"/>
          </w:tcPr>
          <w:p>
            <w:pPr>
              <w:spacing w:before="20" w:after="20"/>
              <w:jc w:val="right"/>
              <w:rPr>
                <w:b/>
                <w:noProof/>
                <w:sz w:val="20"/>
              </w:rPr>
            </w:pPr>
            <w:r>
              <w:rPr>
                <w:b/>
                <w:noProof/>
                <w:sz w:val="20"/>
              </w:rPr>
              <w:t>1,43</w:t>
            </w:r>
          </w:p>
        </w:tc>
        <w:tc>
          <w:tcPr>
            <w:tcW w:w="1777" w:type="dxa"/>
            <w:vAlign w:val="center"/>
          </w:tcPr>
          <w:p>
            <w:pPr>
              <w:spacing w:before="20" w:after="20"/>
              <w:jc w:val="right"/>
              <w:rPr>
                <w:b/>
                <w:noProof/>
                <w:sz w:val="20"/>
              </w:rPr>
            </w:pPr>
            <w:r>
              <w:rPr>
                <w:b/>
                <w:noProof/>
                <w:sz w:val="20"/>
              </w:rPr>
              <w:t>10,01</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n</w:t>
            </w:r>
            <w:r>
              <w:rPr>
                <w:rStyle w:val="FootnoteReference"/>
                <w:b/>
                <w:noProof/>
                <w:sz w:val="20"/>
              </w:rPr>
              <w:footnoteReference w:id="24"/>
            </w:r>
          </w:p>
        </w:tc>
        <w:tc>
          <w:tcPr>
            <w:tcW w:w="868" w:type="dxa"/>
            <w:vAlign w:val="center"/>
          </w:tcPr>
          <w:p>
            <w:pPr>
              <w:jc w:val="center"/>
              <w:rPr>
                <w:noProof/>
                <w:sz w:val="20"/>
              </w:rPr>
            </w:pPr>
            <w:r>
              <w:rPr>
                <w:noProof/>
                <w:sz w:val="20"/>
              </w:rPr>
              <w:t>År</w:t>
            </w:r>
            <w:r>
              <w:rPr>
                <w:noProof/>
                <w:sz w:val="22"/>
              </w:rPr>
              <w:br/>
            </w:r>
            <w:r>
              <w:rPr>
                <w:b/>
                <w:noProof/>
                <w:sz w:val="20"/>
              </w:rPr>
              <w:t>n + 1</w:t>
            </w:r>
          </w:p>
        </w:tc>
        <w:tc>
          <w:tcPr>
            <w:tcW w:w="868" w:type="dxa"/>
            <w:vAlign w:val="center"/>
          </w:tcPr>
          <w:p>
            <w:pPr>
              <w:jc w:val="center"/>
              <w:rPr>
                <w:noProof/>
                <w:sz w:val="20"/>
              </w:rPr>
            </w:pPr>
            <w:r>
              <w:rPr>
                <w:noProof/>
                <w:sz w:val="20"/>
              </w:rPr>
              <w:t>År</w:t>
            </w:r>
            <w:r>
              <w:rPr>
                <w:noProof/>
                <w:sz w:val="22"/>
              </w:rPr>
              <w:br/>
            </w:r>
            <w:r>
              <w:rPr>
                <w:b/>
                <w:noProof/>
                <w:sz w:val="20"/>
              </w:rPr>
              <w:t>n + +2</w:t>
            </w:r>
          </w:p>
        </w:tc>
        <w:tc>
          <w:tcPr>
            <w:tcW w:w="868" w:type="dxa"/>
            <w:vAlign w:val="center"/>
          </w:tcPr>
          <w:p>
            <w:pPr>
              <w:jc w:val="center"/>
              <w:rPr>
                <w:noProof/>
                <w:sz w:val="20"/>
              </w:rPr>
            </w:pPr>
            <w:r>
              <w:rPr>
                <w:noProof/>
                <w:sz w:val="20"/>
              </w:rPr>
              <w:t>År</w:t>
            </w:r>
            <w:r>
              <w:rPr>
                <w:noProof/>
                <w:sz w:val="22"/>
              </w:rPr>
              <w:br/>
            </w:r>
            <w:r>
              <w:rPr>
                <w:b/>
                <w:noProof/>
                <w:sz w:val="20"/>
              </w:rPr>
              <w:t>n + +3</w:t>
            </w:r>
          </w:p>
        </w:tc>
        <w:tc>
          <w:tcPr>
            <w:tcW w:w="2604" w:type="dxa"/>
            <w:gridSpan w:val="3"/>
            <w:vAlign w:val="center"/>
          </w:tcPr>
          <w:p>
            <w:pPr>
              <w:jc w:val="center"/>
              <w:rPr>
                <w:b/>
                <w:noProof/>
                <w:sz w:val="18"/>
              </w:rPr>
            </w:pPr>
            <w:r>
              <w:rPr>
                <w:noProof/>
                <w:sz w:val="18"/>
              </w:rPr>
              <w:t>Der indsættes flere år, hvis virkningerne varer længere (jf. punkt 1.6)</w:t>
            </w:r>
          </w:p>
        </w:tc>
        <w:tc>
          <w:tcPr>
            <w:tcW w:w="1777"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rPr>
            </w:pPr>
            <w:r>
              <w:rPr>
                <w:b/>
                <w:noProof/>
                <w:sz w:val="22"/>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b/>
                <w:noProof/>
                <w:sz w:val="20"/>
              </w:rPr>
            </w:pPr>
            <w:r>
              <w:rPr>
                <w:b/>
                <w:noProof/>
                <w:sz w:val="20"/>
              </w:rPr>
              <w:t>1,43</w:t>
            </w:r>
          </w:p>
        </w:tc>
        <w:tc>
          <w:tcPr>
            <w:tcW w:w="1777" w:type="dxa"/>
            <w:vAlign w:val="center"/>
          </w:tcPr>
          <w:p>
            <w:pPr>
              <w:spacing w:before="60" w:after="60"/>
              <w:jc w:val="right"/>
              <w:rPr>
                <w:b/>
                <w:noProof/>
                <w:sz w:val="20"/>
              </w:rPr>
            </w:pPr>
            <w:r>
              <w:rPr>
                <w:b/>
                <w:noProof/>
                <w:sz w:val="20"/>
              </w:rPr>
              <w:t>10,01</w:t>
            </w:r>
          </w:p>
        </w:tc>
      </w:tr>
      <w:tr>
        <w:tc>
          <w:tcPr>
            <w:tcW w:w="3960" w:type="dxa"/>
            <w:vMerge/>
            <w:vAlign w:val="center"/>
          </w:tcPr>
          <w:p>
            <w:pPr>
              <w:rPr>
                <w:b/>
                <w:noProof/>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right"/>
              <w:rPr>
                <w:noProof/>
                <w:sz w:val="20"/>
              </w:rPr>
            </w:pPr>
            <w:r>
              <w:rPr>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noProof/>
                <w:sz w:val="20"/>
              </w:rPr>
            </w:pPr>
            <w:r>
              <w:rPr>
                <w:b/>
                <w:noProof/>
                <w:sz w:val="20"/>
              </w:rPr>
              <w:t>1,43</w:t>
            </w:r>
          </w:p>
        </w:tc>
        <w:tc>
          <w:tcPr>
            <w:tcW w:w="868" w:type="dxa"/>
            <w:vAlign w:val="center"/>
          </w:tcPr>
          <w:p>
            <w:pPr>
              <w:spacing w:before="60" w:after="60"/>
              <w:jc w:val="right"/>
              <w:rPr>
                <w:b/>
                <w:noProof/>
                <w:sz w:val="20"/>
              </w:rPr>
            </w:pPr>
            <w:r>
              <w:rPr>
                <w:b/>
                <w:noProof/>
                <w:sz w:val="20"/>
              </w:rPr>
              <w:t>1,43</w:t>
            </w:r>
          </w:p>
        </w:tc>
        <w:tc>
          <w:tcPr>
            <w:tcW w:w="1777" w:type="dxa"/>
            <w:vAlign w:val="center"/>
          </w:tcPr>
          <w:p>
            <w:pPr>
              <w:spacing w:before="60" w:after="60"/>
              <w:jc w:val="right"/>
              <w:rPr>
                <w:b/>
                <w:noProof/>
                <w:sz w:val="20"/>
              </w:rPr>
            </w:pPr>
            <w:r>
              <w:rPr>
                <w:b/>
                <w:noProof/>
                <w:sz w:val="20"/>
              </w:rPr>
              <w:t>10,01</w:t>
            </w:r>
          </w:p>
        </w:tc>
      </w:tr>
    </w:tbl>
    <w:p>
      <w:pPr>
        <w:rPr>
          <w:noProof/>
        </w:rPr>
        <w:sectPr>
          <w:headerReference w:type="default" r:id="rId18"/>
          <w:footerReference w:type="default" r:id="rId19"/>
          <w:headerReference w:type="first" r:id="rId20"/>
          <w:footerReference w:type="first" r:id="rId21"/>
          <w:pgSz w:w="16839" w:h="11907" w:orient="landscape" w:code="9"/>
          <w:pgMar w:top="1134" w:right="1077" w:bottom="902" w:left="1247" w:header="709" w:footer="510" w:gutter="0"/>
          <w:cols w:space="720"/>
          <w:docGrid w:linePitch="326"/>
        </w:sectPr>
      </w:pPr>
    </w:p>
    <w:p>
      <w:pPr>
        <w:pStyle w:val="ManualHeading3"/>
        <w:rPr>
          <w:bCs/>
          <w:noProof/>
          <w:szCs w:val="24"/>
        </w:rPr>
      </w:pPr>
      <w:r>
        <w:t>3.2.2.</w:t>
      </w:r>
      <w:r>
        <w:tab/>
      </w:r>
      <w:r>
        <w:rPr>
          <w:noProof/>
        </w:rPr>
        <w:t xml:space="preserve">Anslåede virkninger for [organets] bevillinger </w:t>
      </w:r>
    </w:p>
    <w:p>
      <w:pPr>
        <w:pStyle w:val="ListDash1"/>
        <w:rPr>
          <w:noProof/>
        </w:rPr>
      </w:pPr>
      <w:r>
        <w:rPr>
          <w:noProof/>
        </w:rPr>
        <w:t>X</w:t>
      </w:r>
      <w:r>
        <w:rPr>
          <w:noProof/>
        </w:rPr>
        <w:tab/>
        <w:t xml:space="preserve">Forslaget/initiativet medfører ikke anvendelse af aktionsbevillinger </w:t>
      </w:r>
    </w:p>
    <w:p>
      <w:pPr>
        <w:pStyle w:val="ListDash1"/>
        <w:rPr>
          <w:noProof/>
        </w:rPr>
      </w:pPr>
      <w:r>
        <w:rPr>
          <w:noProof/>
        </w:rPr>
        <w:sym w:font="Wingdings" w:char="F0A8"/>
      </w:r>
      <w:r>
        <w:rPr>
          <w:noProof/>
        </w:rPr>
        <w:tab/>
        <w:t>Forslaget/initiativet medfører anvendelse af aktionsbevillinger som anført herunder:</w:t>
      </w:r>
    </w:p>
    <w:p>
      <w:pPr>
        <w:jc w:val="right"/>
        <w:rPr>
          <w:noProof/>
          <w:sz w:val="20"/>
        </w:rPr>
      </w:pPr>
      <w:r>
        <w:rPr>
          <w:noProof/>
          <w:sz w:val="20"/>
        </w:rPr>
        <w:t>Forpligtelsesbevillinger 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Der angives mål og resultater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År</w:t>
            </w:r>
            <w:r>
              <w:rPr>
                <w:noProof/>
                <w:sz w:val="22"/>
              </w:rPr>
              <w:br/>
            </w:r>
            <w:r>
              <w:rPr>
                <w:b/>
                <w:noProof/>
                <w:sz w:val="18"/>
              </w:rPr>
              <w:t>n</w:t>
            </w:r>
          </w:p>
        </w:tc>
        <w:tc>
          <w:tcPr>
            <w:tcW w:w="1260" w:type="dxa"/>
            <w:gridSpan w:val="2"/>
            <w:vAlign w:val="center"/>
          </w:tcPr>
          <w:p>
            <w:pPr>
              <w:ind w:right="-29"/>
              <w:jc w:val="center"/>
              <w:rPr>
                <w:noProof/>
                <w:sz w:val="18"/>
              </w:rPr>
            </w:pPr>
            <w:r>
              <w:rPr>
                <w:noProof/>
                <w:sz w:val="18"/>
              </w:rPr>
              <w:t>År</w:t>
            </w:r>
            <w:r>
              <w:rPr>
                <w:noProof/>
                <w:sz w:val="22"/>
              </w:rPr>
              <w:br/>
            </w:r>
            <w:r>
              <w:rPr>
                <w:b/>
                <w:noProof/>
                <w:sz w:val="18"/>
              </w:rPr>
              <w:t>n + 1</w:t>
            </w:r>
          </w:p>
        </w:tc>
        <w:tc>
          <w:tcPr>
            <w:tcW w:w="1440" w:type="dxa"/>
            <w:gridSpan w:val="2"/>
            <w:vAlign w:val="center"/>
          </w:tcPr>
          <w:p>
            <w:pPr>
              <w:ind w:right="-29"/>
              <w:jc w:val="center"/>
              <w:rPr>
                <w:noProof/>
                <w:sz w:val="18"/>
              </w:rPr>
            </w:pPr>
            <w:r>
              <w:rPr>
                <w:noProof/>
                <w:sz w:val="18"/>
              </w:rPr>
              <w:t>År</w:t>
            </w:r>
            <w:r>
              <w:rPr>
                <w:noProof/>
                <w:sz w:val="22"/>
              </w:rPr>
              <w:br/>
            </w:r>
            <w:r>
              <w:rPr>
                <w:b/>
                <w:noProof/>
                <w:sz w:val="18"/>
              </w:rPr>
              <w:t>n + +2</w:t>
            </w:r>
          </w:p>
        </w:tc>
        <w:tc>
          <w:tcPr>
            <w:tcW w:w="1620" w:type="dxa"/>
            <w:gridSpan w:val="3"/>
            <w:vAlign w:val="center"/>
          </w:tcPr>
          <w:p>
            <w:pPr>
              <w:ind w:right="-29"/>
              <w:jc w:val="center"/>
              <w:rPr>
                <w:noProof/>
                <w:sz w:val="18"/>
              </w:rPr>
            </w:pPr>
            <w:r>
              <w:rPr>
                <w:noProof/>
                <w:sz w:val="18"/>
              </w:rPr>
              <w:t>År</w:t>
            </w:r>
            <w:r>
              <w:rPr>
                <w:noProof/>
                <w:sz w:val="22"/>
              </w:rPr>
              <w:br/>
            </w:r>
            <w:r>
              <w:rPr>
                <w:b/>
                <w:noProof/>
                <w:sz w:val="18"/>
              </w:rPr>
              <w:t>n + +3</w:t>
            </w:r>
          </w:p>
        </w:tc>
        <w:tc>
          <w:tcPr>
            <w:tcW w:w="3600" w:type="dxa"/>
            <w:gridSpan w:val="6"/>
            <w:vAlign w:val="center"/>
          </w:tcPr>
          <w:p>
            <w:pPr>
              <w:jc w:val="center"/>
              <w:rPr>
                <w:b/>
                <w:noProof/>
                <w:sz w:val="18"/>
              </w:rPr>
            </w:pPr>
            <w:r>
              <w:rPr>
                <w:noProof/>
                <w:sz w:val="18"/>
              </w:rPr>
              <w:t>Der indsættes flere år, hvis virkningerne varer længere (jf. punkt 1.6)</w:t>
            </w:r>
          </w:p>
        </w:tc>
        <w:tc>
          <w:tcPr>
            <w:tcW w:w="1620" w:type="dxa"/>
            <w:gridSpan w:val="2"/>
            <w:tcBorders>
              <w:left w:val="nil"/>
              <w:bottom w:val="nil"/>
            </w:tcBorders>
            <w:vAlign w:val="center"/>
          </w:tcPr>
          <w:p>
            <w:pPr>
              <w:ind w:right="-29"/>
              <w:jc w:val="center"/>
              <w:rPr>
                <w:noProof/>
                <w:sz w:val="18"/>
              </w:rPr>
            </w:pPr>
            <w:r>
              <w:rPr>
                <w:b/>
                <w:noProof/>
                <w:sz w:val="18"/>
              </w:rPr>
              <w:t>I ALT</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RESULTATER</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Type</w:t>
            </w:r>
            <w:r>
              <w:rPr>
                <w:rStyle w:val="FootnoteReference"/>
                <w:noProof/>
                <w:sz w:val="18"/>
              </w:rPr>
              <w:footnoteReference w:id="25"/>
            </w:r>
          </w:p>
        </w:tc>
        <w:tc>
          <w:tcPr>
            <w:tcW w:w="701" w:type="dxa"/>
            <w:vAlign w:val="center"/>
          </w:tcPr>
          <w:p>
            <w:pPr>
              <w:jc w:val="center"/>
              <w:rPr>
                <w:noProof/>
              </w:rPr>
            </w:pPr>
            <w:r>
              <w:rPr>
                <w:noProof/>
                <w:sz w:val="18"/>
              </w:rPr>
              <w:t>Resul</w:t>
            </w:r>
            <w:r>
              <w:rPr>
                <w:noProof/>
              </w:rPr>
              <w:softHyphen/>
            </w:r>
            <w:r>
              <w:rPr>
                <w:noProof/>
                <w:sz w:val="18"/>
              </w:rPr>
              <w:t>taternes gnsntl. om</w:t>
            </w:r>
            <w:r>
              <w:rPr>
                <w:noProof/>
              </w:rPr>
              <w:softHyphen/>
            </w:r>
            <w:r>
              <w:rPr>
                <w:noProof/>
                <w:sz w:val="18"/>
              </w:rPr>
              <w:t>kost</w:t>
            </w:r>
            <w:r>
              <w:rPr>
                <w:noProof/>
              </w:rPr>
              <w:softHyphen/>
            </w:r>
            <w:r>
              <w:rPr>
                <w:noProof/>
                <w:sz w:val="18"/>
              </w:rPr>
              <w:t>ninger</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648"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vAlign w:val="center"/>
          </w:tcPr>
          <w:p>
            <w:pPr>
              <w:jc w:val="center"/>
              <w:rPr>
                <w:noProof/>
                <w:sz w:val="18"/>
              </w:rPr>
            </w:pPr>
            <w:r>
              <w:rPr>
                <w:noProof/>
                <w:sz w:val="18"/>
              </w:rPr>
              <w:t>Antal resul</w:t>
            </w:r>
            <w:r>
              <w:rPr>
                <w:noProof/>
              </w:rPr>
              <w:softHyphen/>
            </w:r>
            <w:r>
              <w:rPr>
                <w:noProof/>
                <w:sz w:val="18"/>
              </w:rPr>
              <w:t>tater i alt</w:t>
            </w:r>
          </w:p>
        </w:tc>
        <w:tc>
          <w:tcPr>
            <w:tcW w:w="900" w:type="dxa"/>
            <w:tcBorders>
              <w:left w:val="dashSmallGap" w:sz="4" w:space="0" w:color="auto"/>
            </w:tcBorders>
            <w:shd w:val="pct10" w:color="auto" w:fill="auto"/>
            <w:vAlign w:val="center"/>
          </w:tcPr>
          <w:p>
            <w:pPr>
              <w:jc w:val="center"/>
              <w:rPr>
                <w:noProof/>
              </w:rPr>
            </w:pPr>
            <w:r>
              <w:rPr>
                <w:noProof/>
                <w:sz w:val="18"/>
              </w:rPr>
              <w:t>Om</w:t>
            </w:r>
            <w:r>
              <w:rPr>
                <w:noProof/>
              </w:rPr>
              <w:softHyphen/>
            </w:r>
            <w:r>
              <w:rPr>
                <w:noProof/>
                <w:sz w:val="18"/>
              </w:rPr>
              <w:t>kost</w:t>
            </w:r>
            <w:r>
              <w:rPr>
                <w:noProof/>
              </w:rPr>
              <w:softHyphen/>
            </w:r>
            <w:r>
              <w:rPr>
                <w:noProof/>
                <w:sz w:val="18"/>
              </w:rPr>
              <w:t>ninger i alt</w:t>
            </w:r>
          </w:p>
        </w:tc>
      </w:tr>
      <w:tr>
        <w:trPr>
          <w:jc w:val="center"/>
        </w:trPr>
        <w:tc>
          <w:tcPr>
            <w:tcW w:w="2844" w:type="dxa"/>
            <w:gridSpan w:val="3"/>
            <w:vAlign w:val="center"/>
          </w:tcPr>
          <w:p>
            <w:pPr>
              <w:spacing w:before="60" w:after="60"/>
              <w:ind w:right="-29"/>
              <w:jc w:val="center"/>
              <w:rPr>
                <w:noProof/>
                <w:sz w:val="18"/>
              </w:rPr>
            </w:pPr>
            <w:r>
              <w:rPr>
                <w:noProof/>
                <w:sz w:val="18"/>
              </w:rPr>
              <w:t>SPECIFIKT MÅL NR. 1</w:t>
            </w:r>
            <w:r>
              <w:rPr>
                <w:rStyle w:val="FootnoteReference"/>
                <w:noProof/>
                <w:sz w:val="18"/>
              </w:rPr>
              <w:footnoteReference w:id="26"/>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Resultat</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Resultat</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Resultat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lang w:val="nn-NO"/>
              </w:rPr>
            </w:pPr>
            <w:r>
              <w:rPr>
                <w:noProof/>
                <w:sz w:val="18"/>
                <w:lang w:val="nn-NO"/>
              </w:rPr>
              <w:t>Subtotal for specifikt mål nr. 1</w:t>
            </w:r>
          </w:p>
        </w:tc>
        <w:tc>
          <w:tcPr>
            <w:tcW w:w="504"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54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900" w:type="dxa"/>
            <w:tcBorders>
              <w:bottom w:val="single" w:sz="12" w:space="0" w:color="auto"/>
            </w:tcBorders>
          </w:tcPr>
          <w:p>
            <w:pPr>
              <w:ind w:right="-29"/>
              <w:jc w:val="center"/>
              <w:rPr>
                <w:noProof/>
                <w:sz w:val="18"/>
                <w:lang w:val="nn-NO"/>
              </w:rPr>
            </w:pPr>
          </w:p>
        </w:tc>
        <w:tc>
          <w:tcPr>
            <w:tcW w:w="720" w:type="dxa"/>
            <w:gridSpan w:val="2"/>
            <w:tcBorders>
              <w:bottom w:val="single" w:sz="12" w:space="0" w:color="auto"/>
            </w:tcBorders>
          </w:tcPr>
          <w:p>
            <w:pPr>
              <w:ind w:right="-29"/>
              <w:jc w:val="center"/>
              <w:rPr>
                <w:noProof/>
                <w:sz w:val="18"/>
                <w:lang w:val="nn-NO"/>
              </w:rPr>
            </w:pPr>
          </w:p>
        </w:tc>
        <w:tc>
          <w:tcPr>
            <w:tcW w:w="540" w:type="dxa"/>
            <w:tcBorders>
              <w:bottom w:val="single" w:sz="12" w:space="0" w:color="auto"/>
            </w:tcBorders>
          </w:tcPr>
          <w:p>
            <w:pPr>
              <w:ind w:right="-29"/>
              <w:jc w:val="center"/>
              <w:rPr>
                <w:noProof/>
                <w:sz w:val="18"/>
                <w:lang w:val="nn-NO"/>
              </w:rPr>
            </w:pPr>
          </w:p>
        </w:tc>
        <w:tc>
          <w:tcPr>
            <w:tcW w:w="648" w:type="dxa"/>
            <w:tcBorders>
              <w:bottom w:val="single" w:sz="12" w:space="0" w:color="auto"/>
            </w:tcBorders>
          </w:tcPr>
          <w:p>
            <w:pPr>
              <w:ind w:right="-29"/>
              <w:jc w:val="center"/>
              <w:rPr>
                <w:noProof/>
                <w:sz w:val="18"/>
                <w:lang w:val="nn-NO"/>
              </w:rPr>
            </w:pPr>
          </w:p>
        </w:tc>
        <w:tc>
          <w:tcPr>
            <w:tcW w:w="432"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54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900" w:type="dxa"/>
            <w:tcBorders>
              <w:bottom w:val="single" w:sz="12" w:space="0" w:color="auto"/>
            </w:tcBorders>
          </w:tcPr>
          <w:p>
            <w:pPr>
              <w:ind w:right="-29"/>
              <w:jc w:val="center"/>
              <w:rPr>
                <w:noProof/>
                <w:sz w:val="18"/>
                <w:lang w:val="nn-NO"/>
              </w:rPr>
            </w:pPr>
          </w:p>
        </w:tc>
      </w:tr>
      <w:tr>
        <w:trPr>
          <w:jc w:val="center"/>
        </w:trPr>
        <w:tc>
          <w:tcPr>
            <w:tcW w:w="2844" w:type="dxa"/>
            <w:gridSpan w:val="3"/>
            <w:vAlign w:val="center"/>
          </w:tcPr>
          <w:p>
            <w:pPr>
              <w:spacing w:before="60" w:after="60"/>
              <w:ind w:right="-29"/>
              <w:jc w:val="center"/>
              <w:rPr>
                <w:noProof/>
                <w:sz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Resultat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lang w:val="nn-NO"/>
              </w:rPr>
            </w:pPr>
            <w:r>
              <w:rPr>
                <w:noProof/>
                <w:sz w:val="18"/>
                <w:lang w:val="nn-NO"/>
              </w:rPr>
              <w:t>Subtotal for specifikt mål nr. 2</w:t>
            </w:r>
          </w:p>
        </w:tc>
        <w:tc>
          <w:tcPr>
            <w:tcW w:w="504"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54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951" w:type="dxa"/>
            <w:gridSpan w:val="2"/>
            <w:tcBorders>
              <w:bottom w:val="single" w:sz="12" w:space="0" w:color="auto"/>
            </w:tcBorders>
          </w:tcPr>
          <w:p>
            <w:pPr>
              <w:ind w:right="-29"/>
              <w:jc w:val="center"/>
              <w:rPr>
                <w:noProof/>
                <w:sz w:val="18"/>
                <w:lang w:val="nn-NO"/>
              </w:rPr>
            </w:pPr>
          </w:p>
        </w:tc>
        <w:tc>
          <w:tcPr>
            <w:tcW w:w="669" w:type="dxa"/>
            <w:tcBorders>
              <w:bottom w:val="single" w:sz="12" w:space="0" w:color="auto"/>
            </w:tcBorders>
          </w:tcPr>
          <w:p>
            <w:pPr>
              <w:ind w:right="-29"/>
              <w:jc w:val="center"/>
              <w:rPr>
                <w:noProof/>
                <w:sz w:val="18"/>
                <w:lang w:val="nn-NO"/>
              </w:rPr>
            </w:pPr>
          </w:p>
        </w:tc>
        <w:tc>
          <w:tcPr>
            <w:tcW w:w="540" w:type="dxa"/>
            <w:tcBorders>
              <w:bottom w:val="single" w:sz="12" w:space="0" w:color="auto"/>
            </w:tcBorders>
          </w:tcPr>
          <w:p>
            <w:pPr>
              <w:ind w:right="-29"/>
              <w:jc w:val="center"/>
              <w:rPr>
                <w:noProof/>
                <w:sz w:val="18"/>
                <w:lang w:val="nn-NO"/>
              </w:rPr>
            </w:pPr>
          </w:p>
        </w:tc>
        <w:tc>
          <w:tcPr>
            <w:tcW w:w="648" w:type="dxa"/>
            <w:tcBorders>
              <w:bottom w:val="single" w:sz="12" w:space="0" w:color="auto"/>
            </w:tcBorders>
          </w:tcPr>
          <w:p>
            <w:pPr>
              <w:ind w:right="-29"/>
              <w:jc w:val="center"/>
              <w:rPr>
                <w:noProof/>
                <w:sz w:val="18"/>
                <w:lang w:val="nn-NO"/>
              </w:rPr>
            </w:pPr>
          </w:p>
        </w:tc>
        <w:tc>
          <w:tcPr>
            <w:tcW w:w="432"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54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720" w:type="dxa"/>
            <w:tcBorders>
              <w:bottom w:val="single" w:sz="12" w:space="0" w:color="auto"/>
            </w:tcBorders>
          </w:tcPr>
          <w:p>
            <w:pPr>
              <w:ind w:right="-29"/>
              <w:jc w:val="center"/>
              <w:rPr>
                <w:noProof/>
                <w:sz w:val="18"/>
                <w:lang w:val="nn-NO"/>
              </w:rPr>
            </w:pPr>
          </w:p>
        </w:tc>
        <w:tc>
          <w:tcPr>
            <w:tcW w:w="900" w:type="dxa"/>
            <w:tcBorders>
              <w:bottom w:val="single" w:sz="12" w:space="0" w:color="auto"/>
            </w:tcBorders>
          </w:tcPr>
          <w:p>
            <w:pPr>
              <w:ind w:right="-29"/>
              <w:jc w:val="center"/>
              <w:rPr>
                <w:noProof/>
                <w:sz w:val="18"/>
                <w:lang w:val="nn-NO"/>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OMKOSTNINGER I ALT</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noProof/>
        </w:rPr>
      </w:pPr>
      <w:r>
        <w:t>3.2.3.</w:t>
      </w:r>
      <w:r>
        <w:tab/>
      </w:r>
      <w:r>
        <w:rPr>
          <w:noProof/>
        </w:rPr>
        <w:t xml:space="preserve">Anslåede virkninger for [organets] menneskelige ressourcer </w:t>
      </w:r>
    </w:p>
    <w:p>
      <w:pPr>
        <w:pStyle w:val="Text1"/>
        <w:rPr>
          <w:noProof/>
        </w:rPr>
      </w:pPr>
      <w:r>
        <w:rPr>
          <w:noProof/>
        </w:rPr>
        <w:t xml:space="preserve">De nedenfor angivne ressourcer er de samme som dem, der er angivet i afsnit 3.2.1 ovenfor. De angives igen her for at gøre det klart, at alle de pågældende ressourcer tilkommer myndigheden. </w:t>
      </w:r>
    </w:p>
    <w:p>
      <w:pPr>
        <w:pStyle w:val="ManualHeading4"/>
        <w:rPr>
          <w:bCs/>
          <w:noProof/>
          <w:szCs w:val="24"/>
        </w:rPr>
      </w:pPr>
      <w:r>
        <w:t>3.2.3.1.</w:t>
      </w:r>
      <w:r>
        <w:tab/>
      </w:r>
      <w:r>
        <w:rPr>
          <w:noProof/>
        </w:rPr>
        <w:t xml:space="preserve">Resumé </w:t>
      </w:r>
    </w:p>
    <w:p>
      <w:pPr>
        <w:pStyle w:val="ListDash1"/>
        <w:rPr>
          <w:noProof/>
        </w:rPr>
      </w:pPr>
      <w:r>
        <w:rPr>
          <w:noProof/>
        </w:rPr>
        <w:sym w:font="Wingdings" w:char="F0A8"/>
      </w:r>
      <w:r>
        <w:rPr>
          <w:noProof/>
        </w:rPr>
        <w:tab/>
        <w:t xml:space="preserve">Forslaget/initiativet medfører ikke anvendelse af administrationsbevillinger </w:t>
      </w:r>
    </w:p>
    <w:p>
      <w:pPr>
        <w:pStyle w:val="ListDash1"/>
        <w:rPr>
          <w:noProof/>
        </w:rPr>
      </w:pPr>
      <w:r>
        <w:rPr>
          <w:noProof/>
        </w:rPr>
        <w:t>X</w:t>
      </w:r>
      <w:r>
        <w:rPr>
          <w:noProof/>
        </w:rPr>
        <w:tab/>
        <w:t>Forslaget/initiativet medfører anvendelse af administrationsbevillinger som anført herunder:</w:t>
      </w:r>
    </w:p>
    <w:p>
      <w:pPr>
        <w:rPr>
          <w:noProof/>
          <w:sz w:val="20"/>
          <w:lang w:val="it-IT"/>
        </w:rPr>
      </w:pPr>
      <w:r>
        <w:rPr>
          <w:noProof/>
          <w:sz w:val="20"/>
          <w:lang w:val="it-IT"/>
        </w:rPr>
        <w:t>i mio. EUR (tre decimaler)</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lang w:val="it-IT"/>
              </w:rPr>
            </w:pPr>
          </w:p>
        </w:tc>
        <w:tc>
          <w:tcPr>
            <w:tcW w:w="1080" w:type="dxa"/>
            <w:vAlign w:val="center"/>
          </w:tcPr>
          <w:p>
            <w:pPr>
              <w:spacing w:before="60" w:after="60"/>
              <w:jc w:val="center"/>
              <w:rPr>
                <w:noProof/>
                <w:sz w:val="20"/>
              </w:rPr>
            </w:pPr>
            <w:r>
              <w:rPr>
                <w:noProof/>
                <w:sz w:val="20"/>
              </w:rPr>
              <w:t>År</w:t>
            </w:r>
            <w:r>
              <w:rPr>
                <w:noProof/>
                <w:sz w:val="22"/>
              </w:rPr>
              <w:br/>
            </w:r>
            <w:r>
              <w:rPr>
                <w:b/>
                <w:noProof/>
                <w:sz w:val="20"/>
              </w:rPr>
              <w:t>n</w:t>
            </w:r>
            <w:r>
              <w:rPr>
                <w:rStyle w:val="FootnoteReference"/>
                <w:b/>
                <w:noProof/>
                <w:sz w:val="20"/>
              </w:rPr>
              <w:footnoteReference w:id="27"/>
            </w:r>
          </w:p>
        </w:tc>
        <w:tc>
          <w:tcPr>
            <w:tcW w:w="1080" w:type="dxa"/>
            <w:vAlign w:val="center"/>
          </w:tcPr>
          <w:p>
            <w:pPr>
              <w:spacing w:before="60" w:after="60"/>
              <w:jc w:val="center"/>
              <w:rPr>
                <w:noProof/>
                <w:sz w:val="20"/>
              </w:rPr>
            </w:pPr>
            <w:r>
              <w:rPr>
                <w:noProof/>
                <w:sz w:val="20"/>
              </w:rPr>
              <w:t>År</w:t>
            </w:r>
            <w:r>
              <w:rPr>
                <w:noProof/>
                <w:sz w:val="22"/>
              </w:rPr>
              <w:br/>
            </w:r>
            <w:r>
              <w:rPr>
                <w:b/>
                <w:noProof/>
                <w:sz w:val="20"/>
              </w:rPr>
              <w:t>n + 1</w:t>
            </w:r>
          </w:p>
        </w:tc>
        <w:tc>
          <w:tcPr>
            <w:tcW w:w="1080" w:type="dxa"/>
            <w:vAlign w:val="center"/>
          </w:tcPr>
          <w:p>
            <w:pPr>
              <w:spacing w:before="60" w:after="60"/>
              <w:jc w:val="center"/>
              <w:rPr>
                <w:noProof/>
                <w:sz w:val="20"/>
              </w:rPr>
            </w:pPr>
            <w:r>
              <w:rPr>
                <w:noProof/>
                <w:sz w:val="20"/>
              </w:rPr>
              <w:t>År</w:t>
            </w:r>
            <w:r>
              <w:rPr>
                <w:noProof/>
                <w:sz w:val="22"/>
              </w:rPr>
              <w:br/>
            </w:r>
            <w:r>
              <w:rPr>
                <w:b/>
                <w:noProof/>
                <w:sz w:val="20"/>
              </w:rPr>
              <w:t>n + +2</w:t>
            </w:r>
          </w:p>
        </w:tc>
        <w:tc>
          <w:tcPr>
            <w:tcW w:w="1080" w:type="dxa"/>
            <w:vAlign w:val="center"/>
          </w:tcPr>
          <w:p>
            <w:pPr>
              <w:spacing w:before="60" w:after="60"/>
              <w:jc w:val="center"/>
              <w:rPr>
                <w:noProof/>
                <w:sz w:val="20"/>
              </w:rPr>
            </w:pPr>
            <w:r>
              <w:rPr>
                <w:noProof/>
                <w:sz w:val="20"/>
              </w:rPr>
              <w:t>År</w:t>
            </w:r>
            <w:r>
              <w:rPr>
                <w:noProof/>
                <w:sz w:val="22"/>
              </w:rPr>
              <w:br/>
            </w:r>
            <w:r>
              <w:rPr>
                <w:b/>
                <w:noProof/>
                <w:sz w:val="20"/>
              </w:rPr>
              <w:t>n + +3</w:t>
            </w:r>
          </w:p>
        </w:tc>
        <w:tc>
          <w:tcPr>
            <w:tcW w:w="3240" w:type="dxa"/>
            <w:vAlign w:val="center"/>
          </w:tcPr>
          <w:p>
            <w:pPr>
              <w:jc w:val="center"/>
              <w:rPr>
                <w:b/>
                <w:noProof/>
                <w:sz w:val="20"/>
              </w:rPr>
            </w:pPr>
            <w:r>
              <w:rPr>
                <w:noProof/>
                <w:sz w:val="20"/>
              </w:rPr>
              <w:t>Der indsættes flere år, hvis virkningerne varer længere (jf. punkt 1.6)</w:t>
            </w:r>
          </w:p>
        </w:tc>
        <w:tc>
          <w:tcPr>
            <w:tcW w:w="1080" w:type="dxa"/>
            <w:vAlign w:val="center"/>
          </w:tcPr>
          <w:p>
            <w:pPr>
              <w:spacing w:before="60" w:after="60"/>
              <w:jc w:val="center"/>
              <w:rPr>
                <w:b/>
                <w:noProof/>
                <w:sz w:val="20"/>
              </w:rPr>
            </w:pPr>
            <w:r>
              <w:rPr>
                <w:b/>
                <w:noProof/>
                <w:sz w:val="20"/>
              </w:rPr>
              <w:t>I ALT</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Tjenestemænd/kontraktansatte (AD)</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Tjenestemænd/kontraktansatte (AST)</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c>
          <w:tcPr>
            <w:tcW w:w="1080" w:type="dxa"/>
            <w:vAlign w:val="center"/>
          </w:tcPr>
          <w:p>
            <w:pPr>
              <w:spacing w:before="60" w:after="60"/>
              <w:jc w:val="right"/>
              <w:rPr>
                <w:b/>
                <w:noProof/>
                <w:sz w:val="20"/>
              </w:rPr>
            </w:pPr>
            <w:r>
              <w:rPr>
                <w:noProof/>
                <w:sz w:val="20"/>
              </w:rPr>
              <w:t>0,715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Kontraktansatte,</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Udstationerede nationale eksperter</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1,43</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10,01</w:t>
            </w:r>
          </w:p>
        </w:tc>
      </w:tr>
    </w:tbl>
    <w:p>
      <w:pPr>
        <w:rPr>
          <w:noProof/>
          <w:u w:val="single"/>
        </w:rPr>
      </w:pPr>
    </w:p>
    <w:p>
      <w:pPr>
        <w:rPr>
          <w:noProof/>
          <w:sz w:val="20"/>
        </w:rPr>
      </w:pPr>
      <w:r>
        <w:rPr>
          <w:noProof/>
          <w:sz w:val="20"/>
        </w:rPr>
        <w:t>Personalebehov (FTÆ):</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År</w:t>
            </w:r>
            <w:r>
              <w:rPr>
                <w:noProof/>
                <w:sz w:val="22"/>
              </w:rPr>
              <w:br/>
            </w:r>
            <w:r>
              <w:rPr>
                <w:b/>
                <w:noProof/>
                <w:sz w:val="20"/>
              </w:rPr>
              <w:t>n</w:t>
            </w:r>
            <w:r>
              <w:rPr>
                <w:rStyle w:val="FootnoteReference"/>
                <w:b/>
                <w:noProof/>
                <w:sz w:val="20"/>
              </w:rPr>
              <w:footnoteReference w:id="28"/>
            </w:r>
          </w:p>
        </w:tc>
        <w:tc>
          <w:tcPr>
            <w:tcW w:w="1080" w:type="dxa"/>
            <w:vAlign w:val="center"/>
          </w:tcPr>
          <w:p>
            <w:pPr>
              <w:spacing w:before="60" w:after="60"/>
              <w:jc w:val="center"/>
              <w:rPr>
                <w:noProof/>
                <w:sz w:val="20"/>
              </w:rPr>
            </w:pPr>
            <w:r>
              <w:rPr>
                <w:noProof/>
                <w:sz w:val="20"/>
              </w:rPr>
              <w:t>År</w:t>
            </w:r>
            <w:r>
              <w:rPr>
                <w:noProof/>
                <w:sz w:val="22"/>
              </w:rPr>
              <w:br/>
            </w:r>
            <w:r>
              <w:rPr>
                <w:b/>
                <w:noProof/>
                <w:sz w:val="20"/>
              </w:rPr>
              <w:t>n + 1</w:t>
            </w:r>
          </w:p>
        </w:tc>
        <w:tc>
          <w:tcPr>
            <w:tcW w:w="1080" w:type="dxa"/>
            <w:vAlign w:val="center"/>
          </w:tcPr>
          <w:p>
            <w:pPr>
              <w:spacing w:before="60" w:after="60"/>
              <w:jc w:val="center"/>
              <w:rPr>
                <w:noProof/>
                <w:sz w:val="20"/>
              </w:rPr>
            </w:pPr>
            <w:r>
              <w:rPr>
                <w:noProof/>
                <w:sz w:val="20"/>
              </w:rPr>
              <w:t>År</w:t>
            </w:r>
            <w:r>
              <w:rPr>
                <w:noProof/>
                <w:sz w:val="22"/>
              </w:rPr>
              <w:br/>
            </w:r>
            <w:r>
              <w:rPr>
                <w:b/>
                <w:noProof/>
                <w:sz w:val="20"/>
              </w:rPr>
              <w:t>n + +2</w:t>
            </w:r>
          </w:p>
        </w:tc>
        <w:tc>
          <w:tcPr>
            <w:tcW w:w="1080" w:type="dxa"/>
            <w:vAlign w:val="center"/>
          </w:tcPr>
          <w:p>
            <w:pPr>
              <w:spacing w:before="60" w:after="60"/>
              <w:jc w:val="center"/>
              <w:rPr>
                <w:noProof/>
                <w:sz w:val="20"/>
              </w:rPr>
            </w:pPr>
            <w:r>
              <w:rPr>
                <w:noProof/>
                <w:sz w:val="20"/>
              </w:rPr>
              <w:t>År</w:t>
            </w:r>
            <w:r>
              <w:rPr>
                <w:noProof/>
                <w:sz w:val="22"/>
              </w:rPr>
              <w:br/>
            </w:r>
            <w:r>
              <w:rPr>
                <w:b/>
                <w:noProof/>
                <w:sz w:val="20"/>
              </w:rPr>
              <w:t>n + +3</w:t>
            </w:r>
          </w:p>
        </w:tc>
        <w:tc>
          <w:tcPr>
            <w:tcW w:w="3240" w:type="dxa"/>
            <w:gridSpan w:val="3"/>
            <w:vAlign w:val="center"/>
          </w:tcPr>
          <w:p>
            <w:pPr>
              <w:jc w:val="center"/>
              <w:rPr>
                <w:b/>
                <w:noProof/>
                <w:sz w:val="20"/>
              </w:rPr>
            </w:pPr>
            <w:r>
              <w:rPr>
                <w:noProof/>
                <w:sz w:val="20"/>
              </w:rPr>
              <w:t>Der indsættes flere år, hvis virkningerne varer længere (jf. punkt 1.6)</w:t>
            </w:r>
          </w:p>
        </w:tc>
        <w:tc>
          <w:tcPr>
            <w:tcW w:w="1080" w:type="dxa"/>
            <w:vAlign w:val="center"/>
          </w:tcPr>
          <w:p>
            <w:pPr>
              <w:spacing w:before="60" w:after="60"/>
              <w:jc w:val="center"/>
              <w:rPr>
                <w:b/>
                <w:noProof/>
                <w:sz w:val="20"/>
              </w:rPr>
            </w:pPr>
            <w:r>
              <w:rPr>
                <w:b/>
                <w:noProof/>
                <w:sz w:val="20"/>
              </w:rPr>
              <w:t>I ALT</w:t>
            </w:r>
          </w:p>
        </w:tc>
      </w:tr>
      <w:tr>
        <w:trPr>
          <w:trHeight w:val="585"/>
        </w:trPr>
        <w:tc>
          <w:tcPr>
            <w:tcW w:w="1980" w:type="dxa"/>
            <w:shd w:val="clear" w:color="auto" w:fill="D9D9D9" w:themeFill="background1" w:themeFillShade="D9"/>
            <w:vAlign w:val="center"/>
          </w:tcPr>
          <w:p>
            <w:pPr>
              <w:spacing w:before="60" w:after="60"/>
              <w:jc w:val="center"/>
              <w:rPr>
                <w:noProof/>
              </w:rPr>
            </w:pPr>
            <w:r>
              <w:rPr>
                <w:noProof/>
                <w:sz w:val="18"/>
              </w:rPr>
              <w:t>Tjenestemænd/kontraktansatte (AD)</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b/>
                <w:noProof/>
                <w:sz w:val="20"/>
              </w:rPr>
            </w:pPr>
            <w:r>
              <w:rPr>
                <w:b/>
                <w:noProof/>
                <w:sz w:val="20"/>
              </w:rPr>
              <w:t>5</w:t>
            </w:r>
          </w:p>
        </w:tc>
        <w:tc>
          <w:tcPr>
            <w:tcW w:w="1080" w:type="dxa"/>
            <w:vAlign w:val="center"/>
          </w:tcPr>
          <w:p>
            <w:pPr>
              <w:spacing w:before="60" w:after="60"/>
              <w:jc w:val="right"/>
              <w:rPr>
                <w:b/>
                <w:noProof/>
                <w:sz w:val="20"/>
              </w:rPr>
            </w:pPr>
            <w:r>
              <w:rPr>
                <w:b/>
                <w:noProof/>
                <w:sz w:val="20"/>
              </w:rPr>
              <w:t>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Tjenestemænd/kontraktansatte (AST)</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noProof/>
                <w:sz w:val="20"/>
              </w:rPr>
            </w:pPr>
            <w:r>
              <w:rPr>
                <w:noProof/>
                <w:sz w:val="20"/>
              </w:rPr>
              <w:t>5</w:t>
            </w:r>
          </w:p>
        </w:tc>
        <w:tc>
          <w:tcPr>
            <w:tcW w:w="1080" w:type="dxa"/>
            <w:vAlign w:val="center"/>
          </w:tcPr>
          <w:p>
            <w:pPr>
              <w:spacing w:before="60" w:after="60"/>
              <w:jc w:val="right"/>
              <w:rPr>
                <w:b/>
                <w:noProof/>
                <w:sz w:val="20"/>
              </w:rPr>
            </w:pPr>
            <w:r>
              <w:rPr>
                <w:b/>
                <w:noProof/>
                <w:sz w:val="20"/>
              </w:rPr>
              <w:t>5</w:t>
            </w:r>
          </w:p>
        </w:tc>
        <w:tc>
          <w:tcPr>
            <w:tcW w:w="1080" w:type="dxa"/>
            <w:vAlign w:val="center"/>
          </w:tcPr>
          <w:p>
            <w:pPr>
              <w:spacing w:before="60" w:after="60"/>
              <w:jc w:val="right"/>
              <w:rPr>
                <w:b/>
                <w:noProof/>
                <w:sz w:val="20"/>
              </w:rPr>
            </w:pPr>
            <w:r>
              <w:rPr>
                <w:b/>
                <w:noProof/>
                <w:sz w:val="20"/>
              </w:rPr>
              <w:t>5</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Kontraktansatte,</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Udstationerede nationale eksperter</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70</w:t>
            </w:r>
          </w:p>
        </w:tc>
      </w:tr>
    </w:tbl>
    <w:p>
      <w:pPr>
        <w:pStyle w:val="Text1"/>
        <w:rPr>
          <w:b/>
          <w:noProof/>
          <w:sz w:val="22"/>
        </w:rPr>
      </w:pPr>
      <w:r>
        <w:rPr>
          <w:b/>
          <w:noProof/>
          <w:sz w:val="22"/>
        </w:rPr>
        <w:t>Personalebehovet vil blive dækket ved hjælp af det personale, som institutionen allerede har afsat til aktionens forvaltning, og/eller ved interne rokader i institutionen, eventuelt suppleret med yderligere bevillinger, som tildeles den ansvarlige institution i forbindelse med den årlige budgetprocedure under hensyntagen til de budgetmæssige begrænsninger.</w:t>
      </w:r>
    </w:p>
    <w:p>
      <w:pPr>
        <w:pStyle w:val="ManualHeading3"/>
        <w:rPr>
          <w:bCs/>
          <w:noProof/>
          <w:szCs w:val="24"/>
        </w:rPr>
      </w:pPr>
      <w:r>
        <w:t>3.2.4.</w:t>
      </w:r>
      <w:r>
        <w:tab/>
      </w:r>
      <w:r>
        <w:rPr>
          <w:noProof/>
        </w:rPr>
        <w:t xml:space="preserve">Forenelighed med indeværende flerårige finansielle ramme </w:t>
      </w:r>
    </w:p>
    <w:p>
      <w:pPr>
        <w:pStyle w:val="ListDash1"/>
        <w:rPr>
          <w:noProof/>
        </w:rPr>
      </w:pPr>
      <w:r>
        <w:rPr>
          <w:noProof/>
        </w:rPr>
        <w:t>X</w:t>
      </w:r>
      <w:r>
        <w:rPr>
          <w:noProof/>
        </w:rPr>
        <w:tab/>
        <w:t>Forslaget/initiativet er foreneligt med indeværende flerårige finansielle ramme</w:t>
      </w:r>
    </w:p>
    <w:p>
      <w:pPr>
        <w:pStyle w:val="ListDash1"/>
        <w:rPr>
          <w:noProof/>
        </w:rPr>
      </w:pPr>
      <w:r>
        <w:rPr>
          <w:noProof/>
        </w:rPr>
        <w:sym w:font="Wingdings" w:char="F0A8"/>
      </w:r>
      <w:r>
        <w:rPr>
          <w:noProof/>
        </w:rPr>
        <w:tab/>
        <w:t>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rPr>
          <w:noProof/>
        </w:rPr>
      </w:pPr>
      <w:r>
        <w:rPr>
          <w:noProof/>
        </w:rPr>
        <w:sym w:font="Wingdings" w:char="F0A8"/>
      </w:r>
      <w:r>
        <w:rPr>
          <w:noProof/>
        </w:rPr>
        <w:tab/>
        <w:t>Forslaget/initiativet kræver, at fleksibilitetsinstrumentet anvendes, eller at den flerårige finansielle ramme revideres</w:t>
      </w:r>
      <w:r>
        <w:rPr>
          <w:rStyle w:val="FootnoteReference"/>
          <w:noProof/>
        </w:rPr>
        <w:footnoteReference w:id="29"/>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ManualHeading3"/>
        <w:rPr>
          <w:bCs/>
          <w:noProof/>
          <w:szCs w:val="24"/>
        </w:rPr>
      </w:pPr>
      <w:r>
        <w:t>3.2.5.</w:t>
      </w:r>
      <w:r>
        <w:tab/>
      </w:r>
      <w:r>
        <w:rPr>
          <w:noProof/>
        </w:rPr>
        <w:t xml:space="preserve">Tredjemands bidrag til finansieringen </w:t>
      </w:r>
    </w:p>
    <w:p>
      <w:pPr>
        <w:pStyle w:val="ListDash1"/>
        <w:rPr>
          <w:noProof/>
        </w:rPr>
      </w:pPr>
      <w:r>
        <w:rPr>
          <w:noProof/>
        </w:rPr>
        <w:t xml:space="preserve">Forslaget/initiativet indeholder ikke bestemmelser om samfinansiering med tredjemand. </w:t>
      </w:r>
    </w:p>
    <w:p>
      <w:pPr>
        <w:pStyle w:val="ManualHeading2"/>
        <w:rPr>
          <w:bCs/>
          <w:noProof/>
          <w:szCs w:val="24"/>
        </w:rPr>
      </w:pPr>
      <w:r>
        <w:rPr>
          <w:noProof/>
        </w:rPr>
        <w:br w:type="page"/>
      </w:r>
      <w:r>
        <w:t>3.3.</w:t>
      </w:r>
      <w:r>
        <w:tab/>
      </w:r>
      <w:r>
        <w:rPr>
          <w:noProof/>
        </w:rPr>
        <w:t xml:space="preserve">Anslåede virkninger for indtægterne </w:t>
      </w:r>
    </w:p>
    <w:p>
      <w:pPr>
        <w:pStyle w:val="ListDash1"/>
        <w:rPr>
          <w:noProof/>
        </w:rPr>
      </w:pPr>
      <w:r>
        <w:rPr>
          <w:noProof/>
        </w:rPr>
        <w:t>X</w:t>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tabs>
          <w:tab w:val="clear" w:pos="2126"/>
        </w:tabs>
        <w:rPr>
          <w:noProof/>
        </w:rPr>
      </w:pPr>
      <w:r>
        <w:rPr>
          <w:noProof/>
        </w:rPr>
        <w:sym w:font="Wingdings" w:char="F0A8"/>
      </w:r>
      <w:r>
        <w:rPr>
          <w:noProof/>
        </w:rPr>
        <w:tab/>
        <w:t xml:space="preserve">for egne indtægter </w:t>
      </w:r>
    </w:p>
    <w:p>
      <w:pPr>
        <w:pStyle w:val="ListNumberLevel3"/>
        <w:tabs>
          <w:tab w:val="clear" w:pos="2126"/>
        </w:tabs>
        <w:rPr>
          <w:noProof/>
        </w:rPr>
      </w:pPr>
      <w:r>
        <w:rPr>
          <w:noProof/>
        </w:rPr>
        <w:sym w:font="Wingdings" w:char="F0A8"/>
      </w:r>
      <w:r>
        <w:rPr>
          <w:noProof/>
        </w:rPr>
        <w:tab/>
        <w:t xml:space="preserve">for andre indtægter </w:t>
      </w:r>
    </w:p>
    <w:p>
      <w:pPr>
        <w:pStyle w:val="ListNumberLevel3"/>
        <w:tabs>
          <w:tab w:val="clear" w:pos="2126"/>
        </w:tabs>
        <w:rPr>
          <w:noProof/>
        </w:rPr>
      </w:pPr>
      <w:r>
        <w:rPr>
          <w:noProof/>
        </w:rPr>
        <w:sym w:font="Wingdings" w:char="F0A8"/>
      </w:r>
      <w:r>
        <w:rPr>
          <w:noProof/>
        </w:rPr>
        <w:tab/>
        <w:t xml:space="preserve">Angiv, om indtægterne er formålsbestemte </w:t>
      </w:r>
    </w:p>
    <w:p>
      <w:pPr>
        <w:jc w:val="right"/>
        <w:rPr>
          <w:i/>
          <w:noProof/>
          <w:lang w:val="it-IT"/>
        </w:rPr>
      </w:pPr>
      <w:r>
        <w:rPr>
          <w:noProof/>
          <w:lang w:val="it-IT"/>
        </w:rPr>
        <w:t>i mio. EUR (tre decimaler)</w:t>
      </w:r>
    </w:p>
    <w:tbl>
      <w:tblPr>
        <w:tblW w:w="10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276"/>
        <w:gridCol w:w="1080"/>
        <w:gridCol w:w="900"/>
        <w:gridCol w:w="900"/>
        <w:gridCol w:w="1080"/>
        <w:gridCol w:w="1080"/>
        <w:gridCol w:w="1080"/>
        <w:gridCol w:w="1080"/>
      </w:tblGrid>
      <w:tr>
        <w:trPr>
          <w:trHeight w:val="388"/>
        </w:trPr>
        <w:tc>
          <w:tcPr>
            <w:tcW w:w="1719"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30"/>
            </w:r>
          </w:p>
        </w:tc>
      </w:tr>
      <w:tr>
        <w:trPr>
          <w:trHeight w:val="388"/>
        </w:trPr>
        <w:tc>
          <w:tcPr>
            <w:tcW w:w="1719"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 + 1</w:t>
            </w:r>
          </w:p>
        </w:tc>
        <w:tc>
          <w:tcPr>
            <w:tcW w:w="900" w:type="dxa"/>
            <w:vAlign w:val="center"/>
          </w:tcPr>
          <w:p>
            <w:pPr>
              <w:jc w:val="center"/>
              <w:rPr>
                <w:noProof/>
                <w:sz w:val="18"/>
              </w:rPr>
            </w:pPr>
            <w:r>
              <w:rPr>
                <w:noProof/>
                <w:sz w:val="18"/>
              </w:rPr>
              <w:t>År</w:t>
            </w:r>
            <w:r>
              <w:rPr>
                <w:noProof/>
                <w:sz w:val="22"/>
              </w:rPr>
              <w:br/>
            </w:r>
            <w:r>
              <w:rPr>
                <w:b/>
                <w:noProof/>
                <w:sz w:val="18"/>
              </w:rPr>
              <w:t>n + +2</w:t>
            </w:r>
          </w:p>
        </w:tc>
        <w:tc>
          <w:tcPr>
            <w:tcW w:w="1080" w:type="dxa"/>
            <w:vAlign w:val="center"/>
          </w:tcPr>
          <w:p>
            <w:pPr>
              <w:jc w:val="center"/>
              <w:rPr>
                <w:noProof/>
                <w:sz w:val="18"/>
              </w:rPr>
            </w:pPr>
            <w:r>
              <w:rPr>
                <w:noProof/>
                <w:sz w:val="18"/>
              </w:rPr>
              <w:t>År</w:t>
            </w:r>
            <w:r>
              <w:rPr>
                <w:noProof/>
                <w:sz w:val="22"/>
              </w:rPr>
              <w:br/>
            </w:r>
            <w:r>
              <w:rPr>
                <w:b/>
                <w:noProof/>
                <w:sz w:val="18"/>
              </w:rPr>
              <w:t>n + +3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1719"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r>
        <w:rPr>
          <w:noProof/>
        </w:rPr>
        <w:t>[…]</w:t>
      </w:r>
      <w:bookmarkEnd w:id="0"/>
      <w:bookmarkEnd w:id="1"/>
    </w:p>
    <w:sectPr>
      <w:headerReference w:type="default" r:id="rId26"/>
      <w:footerReference w:type="default" r:id="rId27"/>
      <w:headerReference w:type="first" r:id="rId28"/>
      <w:footerReference w:type="first" r:id="rId29"/>
      <w:pgSz w:w="11907" w:h="16839" w:code="9"/>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DA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Kommissionens henstilling (EU) 2018/234 af 14. februar 2018 om en mere synlig europæisk dimension og en mere effektiv gennemførelse af valget til Europa-Parlamentet i 2019 (EUT L 45 af 17.2.2018, s.40).</w:t>
      </w:r>
    </w:p>
  </w:footnote>
  <w:footnote w:id="3">
    <w:p>
      <w:pPr>
        <w:pStyle w:val="FootnoteText"/>
      </w:pPr>
      <w:r>
        <w:rPr>
          <w:rStyle w:val="FootnoteReference"/>
        </w:rPr>
        <w:footnoteRef/>
      </w:r>
      <w:r>
        <w:tab/>
        <w:t xml:space="preserve">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 </w:t>
      </w:r>
    </w:p>
  </w:footnote>
  <w:footnote w:id="4">
    <w:p>
      <w:pPr>
        <w:pStyle w:val="FootnoteText"/>
      </w:pPr>
      <w:r>
        <w:rPr>
          <w:rStyle w:val="FootnoteReference"/>
        </w:rPr>
        <w:footnoteRef/>
      </w:r>
      <w:r>
        <w:tab/>
        <w:t>EUT L 317 af 4.11.2014, s. 1.</w:t>
      </w:r>
    </w:p>
  </w:footnote>
  <w:footnote w:id="5">
    <w:p>
      <w:pPr>
        <w:pStyle w:val="FootnoteText"/>
      </w:pPr>
      <w:r>
        <w:rPr>
          <w:rStyle w:val="FootnoteReference"/>
        </w:rPr>
        <w:footnoteRef/>
      </w:r>
      <w:r>
        <w:tab/>
        <w:t xml:space="preserve">COM(2018) 638. </w:t>
      </w:r>
    </w:p>
  </w:footnote>
  <w:footnote w:id="6">
    <w:p>
      <w:pPr>
        <w:pStyle w:val="FootnoteText"/>
      </w:pPr>
      <w:r>
        <w:rPr>
          <w:rStyle w:val="FootnoteReference"/>
        </w:rPr>
        <w:footnoteRef/>
      </w:r>
      <w:r>
        <w:tab/>
        <w:t>C(2018) 5949.</w:t>
      </w:r>
    </w:p>
  </w:footnote>
  <w:footnote w:id="7">
    <w:p>
      <w:pPr>
        <w:pStyle w:val="FootnoteText"/>
      </w:pPr>
      <w:r>
        <w:rPr>
          <w:rStyle w:val="FootnoteReference"/>
        </w:rPr>
        <w:footnoteRef/>
      </w:r>
      <w:r>
        <w:tab/>
        <w:t>COM(2018) 637.</w:t>
      </w:r>
    </w:p>
  </w:footnote>
  <w:footnote w:id="8">
    <w:p>
      <w:pPr>
        <w:pStyle w:val="FootnoteText"/>
      </w:pPr>
      <w:r>
        <w:rPr>
          <w:rStyle w:val="FootnoteReference"/>
        </w:rPr>
        <w:footnoteRef/>
      </w:r>
      <w:r>
        <w:tab/>
        <w:t xml:space="preserve">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 </w:t>
      </w:r>
    </w:p>
  </w:footnote>
  <w:footnote w:id="9">
    <w:p>
      <w:pPr>
        <w:pStyle w:val="FootnoteText"/>
      </w:pPr>
      <w:r>
        <w:rPr>
          <w:rStyle w:val="FootnoteReference"/>
        </w:rPr>
        <w:footnoteRef/>
      </w:r>
      <w:r>
        <w:tab/>
        <w:t>Kommissionens henstilling (EU) 2018/234 af 14. februar 2018 om en mere synlig europæisk dimension og en mere effektiv gennemførelse af valget til Europa-Parlamentet i 2019 (EUT L 45 af 17.2.2018, s.40).</w:t>
      </w:r>
    </w:p>
  </w:footnote>
  <w:footnote w:id="10">
    <w:p>
      <w:pPr>
        <w:pStyle w:val="FootnoteText"/>
      </w:pPr>
      <w:r>
        <w:rPr>
          <w:rStyle w:val="FootnoteReference"/>
        </w:rPr>
        <w:footnoteRef/>
      </w:r>
      <w:r>
        <w:tab/>
        <w:t xml:space="preserve">COM(2018) 236 final. </w:t>
      </w:r>
    </w:p>
  </w:footnote>
  <w:footnote w:id="11">
    <w:p>
      <w:pPr>
        <w:pStyle w:val="FootnoteText"/>
      </w:pPr>
      <w:r>
        <w:rPr>
          <w:rStyle w:val="FootnoteReference"/>
        </w:rPr>
        <w:footnoteRef/>
      </w:r>
      <w:r>
        <w:tab/>
        <w:t>COM(2017) 10 final.</w:t>
      </w:r>
    </w:p>
  </w:footnote>
  <w:footnote w:id="12">
    <w:p>
      <w:pPr>
        <w:pStyle w:val="FootnoteText"/>
      </w:pPr>
      <w:r>
        <w:rPr>
          <w:rStyle w:val="FootnoteReference"/>
        </w:rPr>
        <w:footnoteRef/>
      </w:r>
      <w:r>
        <w:tab/>
        <w:t>Europa-Parlamentets og Rådets direktiv 2002/58/EF af 12. juli 2002 om behandling af personoplysninger og beskyttelse af privatlivets fred i den elektroniske kommunikationssektor (direktivet om databeskyttelse inden for elektronisk kommunikation) (EFT L 201 af 31.7.2002, s. 37)</w:t>
      </w:r>
      <w:r>
        <w:rPr>
          <w:rStyle w:val="Strong"/>
          <w:b w:val="0"/>
        </w:rPr>
        <w:t>.</w:t>
      </w:r>
    </w:p>
  </w:footnote>
  <w:footnote w:id="13">
    <w:p>
      <w:pPr>
        <w:pStyle w:val="FootnoteText"/>
        <w:jc w:val="left"/>
      </w:pPr>
      <w:r>
        <w:rPr>
          <w:rStyle w:val="FootnoteReference"/>
        </w:rPr>
        <w:footnoteRef/>
      </w:r>
      <w:r>
        <w:tab/>
      </w:r>
      <w:hyperlink r:id="rId1">
        <w:r>
          <w:rPr>
            <w:rStyle w:val="Hyperlink"/>
          </w:rPr>
          <w:t>https://europa.eu/european-union/sites/europaeu/files/docs/body/consolidated_version_of_the_treaty_establishing_the_european_atomic_energy_community_da.pdf.</w:t>
        </w:r>
      </w:hyperlink>
      <w:r>
        <w:t xml:space="preserve"> </w:t>
      </w:r>
    </w:p>
  </w:footnote>
  <w:footnote w:id="14">
    <w:p>
      <w:pPr>
        <w:pStyle w:val="FootnoteText"/>
        <w:rPr>
          <w:lang w:val="fr-FR"/>
        </w:rPr>
      </w:pPr>
      <w:r>
        <w:rPr>
          <w:rStyle w:val="FootnoteReference"/>
        </w:rPr>
        <w:footnoteRef/>
      </w:r>
      <w:r>
        <w:rPr>
          <w:lang w:val="fr-FR"/>
        </w:rPr>
        <w:tab/>
        <w:t>EUT C , , s. .</w:t>
      </w:r>
    </w:p>
  </w:footnote>
  <w:footnote w:id="15">
    <w:p>
      <w:pPr>
        <w:pStyle w:val="FootnoteText"/>
        <w:rPr>
          <w:lang w:val="fr-FR"/>
        </w:rPr>
      </w:pPr>
      <w:r>
        <w:rPr>
          <w:rStyle w:val="FootnoteReference"/>
        </w:rPr>
        <w:footnoteRef/>
      </w:r>
      <w:r>
        <w:rPr>
          <w:lang w:val="fr-FR"/>
        </w:rPr>
        <w:tab/>
        <w:t>EUT C , , s. .</w:t>
      </w:r>
    </w:p>
  </w:footnote>
  <w:footnote w:id="16">
    <w:p>
      <w:pPr>
        <w:pStyle w:val="FootnoteText"/>
      </w:pPr>
      <w:r>
        <w:rPr>
          <w:rStyle w:val="FootnoteReference"/>
        </w:rPr>
        <w:footnoteRef/>
      </w:r>
      <w:r>
        <w:tab/>
        <w:t>Europa-Parlamentets og Rådets forordning (EU, Euratom) nr. 1141/2014 af 22. oktober 2014 om statut for og finansiering af europæiske politiske partier og europæiske politiske fonde (EUT L 317 af 4.11.2014, s. 1).</w:t>
      </w:r>
    </w:p>
  </w:footnote>
  <w:footnote w:id="17">
    <w:p>
      <w:pPr>
        <w:pStyle w:val="FootnoteText"/>
      </w:pPr>
      <w:r>
        <w:rPr>
          <w:rStyle w:val="FootnoteReference"/>
        </w:rPr>
        <w:footnoteRef/>
      </w:r>
      <w:r>
        <w:tab/>
        <w:t>Rådets forordning nr. 31. (EØF), 11 (Euratom), om vedtægten for tjenestemænd og om ansættelsesvilkårene for de øvrige ansatte i Det Europæiske Økonomiske Fællesskab og Det Europæiske Atomenergifællesskab, (</w:t>
      </w:r>
      <w:r>
        <w:rPr>
          <w:color w:val="444444"/>
        </w:rPr>
        <w:t>EFT 45 14.6.1962, s. 1385).</w:t>
      </w:r>
    </w:p>
  </w:footnote>
  <w:footnote w:id="18">
    <w:p>
      <w:pPr>
        <w:pStyle w:val="FootnoteText"/>
      </w:pPr>
      <w:r>
        <w:rPr>
          <w:rStyle w:val="FootnoteReference"/>
        </w:rPr>
        <w:footnoteRef/>
      </w:r>
      <w: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19">
    <w:p>
      <w:pPr>
        <w:pStyle w:val="FootnoteText"/>
        <w:rPr>
          <w:szCs w:val="24"/>
        </w:rPr>
      </w:pPr>
      <w:r>
        <w:rPr>
          <w:rStyle w:val="FootnoteReference"/>
        </w:rPr>
        <w:footnoteRef/>
      </w:r>
      <w:r>
        <w:tab/>
        <w:t>Jf. finansforordningens artikel 58, stk. 2, litra a) hhv. b).</w:t>
      </w:r>
    </w:p>
  </w:footnote>
  <w:footnote w:id="20">
    <w:p>
      <w:pPr>
        <w:pStyle w:val="FootnoteText"/>
        <w:rPr>
          <w:szCs w:val="24"/>
        </w:rPr>
      </w:pPr>
      <w:r>
        <w:rPr>
          <w:rStyle w:val="FootnoteReference"/>
        </w:rPr>
        <w:footnoteRef/>
      </w:r>
      <w:r>
        <w:tab/>
        <w:t xml:space="preserve">Forklaringer vedrørende forvaltningsmetoder og henvisninger til finansforordningen findes på webstedet BudgWeb: </w:t>
      </w:r>
      <w:hyperlink r:id="rId2">
        <w:r>
          <w:rPr>
            <w:rStyle w:val="Hyperlink"/>
          </w:rPr>
          <w:t>https://myintracomm.ec.europa.eu/budgweb/EN/man/budgmanag/Pages/budgmanag.aspx</w:t>
        </w:r>
      </w:hyperlink>
      <w:r>
        <w:t>.</w:t>
      </w:r>
    </w:p>
  </w:footnote>
  <w:footnote w:id="21">
    <w:p>
      <w:pPr>
        <w:pStyle w:val="FootnoteText"/>
        <w:rPr>
          <w:szCs w:val="24"/>
        </w:rPr>
      </w:pPr>
      <w:r>
        <w:rPr>
          <w:rStyle w:val="FootnoteReference"/>
        </w:rPr>
        <w:footnoteRef/>
      </w:r>
      <w:r>
        <w:tab/>
        <w:t>OB = opdelte bevillinger/IOB = ikke-opdelte bevillinger.</w:t>
      </w:r>
    </w:p>
  </w:footnote>
  <w:footnote w:id="22">
    <w:p>
      <w:pPr>
        <w:pStyle w:val="FootnoteText"/>
        <w:rPr>
          <w:szCs w:val="24"/>
        </w:rPr>
      </w:pPr>
      <w:r>
        <w:rPr>
          <w:rStyle w:val="FootnoteReference"/>
        </w:rPr>
        <w:footnoteRef/>
      </w:r>
      <w:r>
        <w:tab/>
        <w:t xml:space="preserve">EFTA: Den Europæiske Frihandelssammenslutning. </w:t>
      </w:r>
    </w:p>
  </w:footnote>
  <w:footnote w:id="23">
    <w:p>
      <w:pPr>
        <w:pStyle w:val="FootnoteText"/>
        <w:rPr>
          <w:szCs w:val="24"/>
        </w:rPr>
      </w:pPr>
      <w:r>
        <w:rPr>
          <w:rStyle w:val="FootnoteReference"/>
        </w:rPr>
        <w:footnoteRef/>
      </w:r>
      <w:r>
        <w:tab/>
        <w:t>Kandidatlande og, efter omstændighederne, potentielle kandidatlande på Vestbalkan.</w:t>
      </w:r>
    </w:p>
  </w:footnote>
  <w:footnote w:id="24">
    <w:p>
      <w:pPr>
        <w:pStyle w:val="FootnoteText"/>
      </w:pPr>
      <w:r>
        <w:rPr>
          <w:rStyle w:val="FootnoteReference"/>
        </w:rPr>
        <w:footnoteRef/>
      </w:r>
      <w:r>
        <w:tab/>
        <w:t>År n er det år, hvor gennemførelsen af forslaget/initiativet begyndes. I stedet for "n" indsættes det forventede første gennemførelsesår (f.eks. 2021). Dette gælder også for de følgende år.</w:t>
      </w:r>
    </w:p>
  </w:footnote>
  <w:footnote w:id="25">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26">
    <w:p>
      <w:pPr>
        <w:pStyle w:val="FootnoteText"/>
        <w:rPr>
          <w:szCs w:val="24"/>
        </w:rPr>
      </w:pPr>
      <w:r>
        <w:rPr>
          <w:rStyle w:val="FootnoteReference"/>
        </w:rPr>
        <w:footnoteRef/>
      </w:r>
      <w:r>
        <w:tab/>
        <w:t>Som beskrevet i punkt 1.4.2. "Specifikke mål ...".</w:t>
      </w:r>
    </w:p>
  </w:footnote>
  <w:footnote w:id="27">
    <w:p>
      <w:pPr>
        <w:pStyle w:val="FootnoteText"/>
        <w:rPr>
          <w:szCs w:val="24"/>
        </w:rPr>
      </w:pPr>
      <w:r>
        <w:rPr>
          <w:rStyle w:val="FootnoteReference"/>
        </w:rPr>
        <w:footnoteRef/>
      </w:r>
      <w:r>
        <w:tab/>
        <w:t>År n er det år, hvor gennemførelsen af forslaget/initiativet begyndes.</w:t>
      </w:r>
      <w:r>
        <w:rPr>
          <w:sz w:val="18"/>
        </w:rPr>
        <w:t xml:space="preserve"> I stedet for "n" indsættes det forventede første gennemførelsesår (f.eks. 2021). Dette gælder også for de følgende år.</w:t>
      </w:r>
    </w:p>
  </w:footnote>
  <w:footnote w:id="28">
    <w:p>
      <w:pPr>
        <w:pStyle w:val="FootnoteText"/>
        <w:rPr>
          <w:szCs w:val="24"/>
        </w:rPr>
      </w:pPr>
      <w:r>
        <w:rPr>
          <w:rStyle w:val="FootnoteReference"/>
        </w:rPr>
        <w:footnoteRef/>
      </w:r>
      <w:r>
        <w:tab/>
        <w:t>År n er det år, hvor gennemførelsen af forslaget/initiativet begyndes.</w:t>
      </w:r>
      <w:r>
        <w:rPr>
          <w:sz w:val="18"/>
        </w:rPr>
        <w:t xml:space="preserve"> I stedet for "n" indsættes det forventede første gennemførelsesår (f.eks. 2021). Dette gælder også for de følgende år.</w:t>
      </w:r>
    </w:p>
  </w:footnote>
  <w:footnote w:id="29">
    <w:p>
      <w:pPr>
        <w:pStyle w:val="FootnoteText"/>
        <w:rPr>
          <w:szCs w:val="24"/>
        </w:rPr>
      </w:pPr>
      <w:r>
        <w:rPr>
          <w:rStyle w:val="FootnoteReference"/>
        </w:rPr>
        <w:footnoteRef/>
      </w:r>
      <w:r>
        <w:tab/>
        <w:t>Se artikel 11 og 17 i Rådets forordning (EU, Euratom) nr. 1311/2013 om fastlæggelse af den flerårige finansielle ramme for årene 2014-2020.</w:t>
      </w:r>
    </w:p>
  </w:footnote>
  <w:footnote w:id="30">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C829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766C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54FB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E1A4F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0408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8866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4C57BA"/>
    <w:lvl w:ilvl="0">
      <w:start w:val="1"/>
      <w:numFmt w:val="decimal"/>
      <w:pStyle w:val="ListNumber"/>
      <w:lvlText w:val="%1."/>
      <w:lvlJc w:val="left"/>
      <w:pPr>
        <w:tabs>
          <w:tab w:val="num" w:pos="360"/>
        </w:tabs>
        <w:ind w:left="360" w:hanging="360"/>
      </w:pPr>
    </w:lvl>
  </w:abstractNum>
  <w:abstractNum w:abstractNumId="7">
    <w:nsid w:val="FFFFFF89"/>
    <w:multiLevelType w:val="singleLevel"/>
    <w:tmpl w:val="2B443C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4"/>
    <w:lvlOverride w:ilvl="0">
      <w:startOverride w:val="1"/>
    </w:lvlOverride>
  </w:num>
  <w:num w:numId="11">
    <w:abstractNumId w:val="21"/>
  </w:num>
  <w:num w:numId="12">
    <w:abstractNumId w:val="23"/>
  </w:num>
  <w:num w:numId="13">
    <w:abstractNumId w:val="20"/>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22"/>
  </w:num>
  <w:num w:numId="20">
    <w:abstractNumId w:val="11"/>
  </w:num>
  <w:num w:numId="21">
    <w:abstractNumId w:val="13"/>
  </w:num>
  <w:num w:numId="22">
    <w:abstractNumId w:val="9"/>
  </w:num>
  <w:num w:numId="23">
    <w:abstractNumId w:val="21"/>
  </w:num>
  <w:num w:numId="24">
    <w:abstractNumId w:val="8"/>
  </w:num>
  <w:num w:numId="25">
    <w:abstractNumId w:val="14"/>
  </w:num>
  <w:num w:numId="26">
    <w:abstractNumId w:val="17"/>
  </w:num>
  <w:num w:numId="27">
    <w:abstractNumId w:val="18"/>
  </w:num>
  <w:num w:numId="28">
    <w:abstractNumId w:val="10"/>
  </w:num>
  <w:num w:numId="29">
    <w:abstractNumId w:val="15"/>
  </w:num>
  <w:num w:numId="30">
    <w:abstractNumId w:val="24"/>
  </w:num>
  <w:num w:numId="31">
    <w:abstractNumId w:val="19"/>
  </w:num>
  <w:num w:numId="32">
    <w:abstractNumId w:val="12"/>
  </w:num>
  <w:num w:numId="33">
    <w:abstractNumId w:val="22"/>
  </w:num>
  <w:num w:numId="34">
    <w:abstractNumId w:val="11"/>
  </w:num>
  <w:num w:numId="35">
    <w:abstractNumId w:val="13"/>
  </w:num>
  <w:num w:numId="36">
    <w:abstractNumId w:val="9"/>
  </w:num>
  <w:num w:numId="37">
    <w:abstractNumId w:val="21"/>
  </w:num>
  <w:num w:numId="38">
    <w:abstractNumId w:val="8"/>
  </w:num>
  <w:num w:numId="39">
    <w:abstractNumId w:val="14"/>
  </w:num>
  <w:num w:numId="40">
    <w:abstractNumId w:val="17"/>
  </w:num>
  <w:num w:numId="41">
    <w:abstractNumId w:val="18"/>
  </w:num>
  <w:num w:numId="42">
    <w:abstractNumId w:val="10"/>
  </w:num>
  <w:num w:numId="43">
    <w:abstractNumId w:val="15"/>
  </w:num>
  <w:num w:numId="44">
    <w:abstractNumId w:val="24"/>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EBA Michalina (SG)">
    <w15:presenceInfo w15:providerId="None" w15:userId="ZIEBA Michalin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2"/>
  <w:hideSpellingErrors/>
  <w:hideGrammaticalErrors/>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FR" w:vendorID="64" w:dllVersion="131078" w:nlCheck="1" w:checkStyle="1"/>
  <w:attachedTemplate r:id="rId1"/>
  <w:revisionView w:markup="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17 12:43: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3987D9A4-3316-4627-A1D6-7F51A8B52113"/>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xelles,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336"/>
    <w:docVar w:name="LW_REF.II.NEW.CP_YEAR" w:val="2018"/>
    <w:docVar w:name="LW_REF.INST.NEW" w:val="COM"/>
    <w:docVar w:name="LW_REF.INST.NEW_ADOPTED" w:val="final"/>
    <w:docVar w:name="LW_REF.INST.NEW_TEXT" w:val="(2018) 6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forordning (EU, Euratom) nr. 1141/2014 for så vidt angår en kontrolprocedure vedrørende overtrædelse af reglerne om beskyttelse af personoplysninger i forbindelse med valg til Europa-Parlamentet_x000b__x000b_&lt;FMT:Italic&gt;Et bidrag fra Europa-Kommissionen til ledernes møde i&lt;/FMT&gt; &lt;FMT:Italic&gt;Salzburg den 19. - 20. september 2018&lt;/FMT&gt;_x000b_"/>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a-DK"/>
    </w:rPr>
  </w:style>
  <w:style w:type="character" w:styleId="Emphasis">
    <w:name w:val="Emphasis"/>
    <w:uiPriority w:val="20"/>
    <w:qFormat/>
    <w:rPr>
      <w:i/>
      <w:iCs/>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paragraph" w:customStyle="1" w:styleId="norm">
    <w:name w:val="norm"/>
    <w:basedOn w:val="Normal"/>
    <w:pPr>
      <w:spacing w:after="0"/>
    </w:pPr>
    <w:rPr>
      <w:rFonts w:eastAsia="Times New Roman"/>
      <w:szCs w:val="24"/>
    </w:rPr>
  </w:style>
  <w:style w:type="paragraph" w:customStyle="1" w:styleId="ListBullet1">
    <w:name w:val="List Bullet 1"/>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ichefinancirestandardtitre">
    <w:name w:val="Fiche financière (standard) titre"/>
    <w:basedOn w:val="Normal"/>
    <w:next w:val="Normal"/>
    <w:pPr>
      <w:jc w:val="center"/>
    </w:pPr>
    <w:rPr>
      <w:b/>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da-DK"/>
    </w:rPr>
  </w:style>
  <w:style w:type="character" w:customStyle="1" w:styleId="FooterCoverPageChar">
    <w:name w:val="Footer Cover Page Char"/>
    <w:basedOn w:val="TOCHeadingChar"/>
    <w:link w:val="FooterCoverPage"/>
    <w:rPr>
      <w:rFonts w:ascii="Times New Roman" w:hAnsi="Times New Roman" w:cs="Times New Roman"/>
      <w:b w:val="0"/>
      <w:sz w:val="24"/>
      <w:lang w:val="da-DK"/>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da-DK" w:eastAsia="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da-DK"/>
    </w:rPr>
  </w:style>
  <w:style w:type="character" w:styleId="Emphasis">
    <w:name w:val="Emphasis"/>
    <w:uiPriority w:val="20"/>
    <w:qFormat/>
    <w:rPr>
      <w:i/>
      <w:iCs/>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paragraph" w:customStyle="1" w:styleId="norm">
    <w:name w:val="norm"/>
    <w:basedOn w:val="Normal"/>
    <w:pPr>
      <w:spacing w:after="0"/>
    </w:pPr>
    <w:rPr>
      <w:rFonts w:eastAsia="Times New Roman"/>
      <w:szCs w:val="24"/>
    </w:rPr>
  </w:style>
  <w:style w:type="paragraph" w:customStyle="1" w:styleId="ListBullet1">
    <w:name w:val="List Bullet 1"/>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Fichefinancirestandardtitre">
    <w:name w:val="Fiche financière (standard) titre"/>
    <w:basedOn w:val="Normal"/>
    <w:next w:val="Normal"/>
    <w:pPr>
      <w:jc w:val="center"/>
    </w:pPr>
    <w:rPr>
      <w:b/>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da-DK"/>
    </w:rPr>
  </w:style>
  <w:style w:type="character" w:customStyle="1" w:styleId="FooterCoverPageChar">
    <w:name w:val="Footer Cover Page Char"/>
    <w:basedOn w:val="TOCHeadingChar"/>
    <w:link w:val="FooterCoverPage"/>
    <w:rPr>
      <w:rFonts w:ascii="Times New Roman" w:hAnsi="Times New Roman" w:cs="Times New Roman"/>
      <w:b w:val="0"/>
      <w:sz w:val="24"/>
      <w:lang w:val="da-DK"/>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da-DK" w:eastAsia="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4139">
      <w:bodyDiv w:val="1"/>
      <w:marLeft w:val="0"/>
      <w:marRight w:val="0"/>
      <w:marTop w:val="0"/>
      <w:marBottom w:val="0"/>
      <w:divBdr>
        <w:top w:val="none" w:sz="0" w:space="0" w:color="auto"/>
        <w:left w:val="none" w:sz="0" w:space="0" w:color="auto"/>
        <w:bottom w:val="none" w:sz="0" w:space="0" w:color="auto"/>
        <w:right w:val="none" w:sz="0" w:space="0" w:color="auto"/>
      </w:divBdr>
      <w:divsChild>
        <w:div w:id="170604281">
          <w:marLeft w:val="0"/>
          <w:marRight w:val="0"/>
          <w:marTop w:val="0"/>
          <w:marBottom w:val="0"/>
          <w:divBdr>
            <w:top w:val="none" w:sz="0" w:space="0" w:color="auto"/>
            <w:left w:val="none" w:sz="0" w:space="0" w:color="auto"/>
            <w:bottom w:val="none" w:sz="0" w:space="0" w:color="auto"/>
            <w:right w:val="none" w:sz="0" w:space="0" w:color="auto"/>
          </w:divBdr>
          <w:divsChild>
            <w:div w:id="880746428">
              <w:marLeft w:val="0"/>
              <w:marRight w:val="0"/>
              <w:marTop w:val="0"/>
              <w:marBottom w:val="0"/>
              <w:divBdr>
                <w:top w:val="none" w:sz="0" w:space="0" w:color="auto"/>
                <w:left w:val="none" w:sz="0" w:space="0" w:color="auto"/>
                <w:bottom w:val="none" w:sz="0" w:space="0" w:color="auto"/>
                <w:right w:val="none" w:sz="0" w:space="0" w:color="auto"/>
              </w:divBdr>
              <w:divsChild>
                <w:div w:id="1358971456">
                  <w:marLeft w:val="0"/>
                  <w:marRight w:val="0"/>
                  <w:marTop w:val="0"/>
                  <w:marBottom w:val="0"/>
                  <w:divBdr>
                    <w:top w:val="none" w:sz="0" w:space="0" w:color="auto"/>
                    <w:left w:val="none" w:sz="0" w:space="0" w:color="auto"/>
                    <w:bottom w:val="none" w:sz="0" w:space="0" w:color="auto"/>
                    <w:right w:val="none" w:sz="0" w:space="0" w:color="auto"/>
                  </w:divBdr>
                  <w:divsChild>
                    <w:div w:id="2000648853">
                      <w:marLeft w:val="1"/>
                      <w:marRight w:val="1"/>
                      <w:marTop w:val="0"/>
                      <w:marBottom w:val="0"/>
                      <w:divBdr>
                        <w:top w:val="none" w:sz="0" w:space="0" w:color="auto"/>
                        <w:left w:val="none" w:sz="0" w:space="0" w:color="auto"/>
                        <w:bottom w:val="none" w:sz="0" w:space="0" w:color="auto"/>
                        <w:right w:val="none" w:sz="0" w:space="0" w:color="auto"/>
                      </w:divBdr>
                      <w:divsChild>
                        <w:div w:id="586841760">
                          <w:marLeft w:val="0"/>
                          <w:marRight w:val="0"/>
                          <w:marTop w:val="0"/>
                          <w:marBottom w:val="0"/>
                          <w:divBdr>
                            <w:top w:val="none" w:sz="0" w:space="0" w:color="auto"/>
                            <w:left w:val="none" w:sz="0" w:space="0" w:color="auto"/>
                            <w:bottom w:val="none" w:sz="0" w:space="0" w:color="auto"/>
                            <w:right w:val="none" w:sz="0" w:space="0" w:color="auto"/>
                          </w:divBdr>
                          <w:divsChild>
                            <w:div w:id="1905294853">
                              <w:marLeft w:val="0"/>
                              <w:marRight w:val="0"/>
                              <w:marTop w:val="0"/>
                              <w:marBottom w:val="360"/>
                              <w:divBdr>
                                <w:top w:val="none" w:sz="0" w:space="0" w:color="auto"/>
                                <w:left w:val="none" w:sz="0" w:space="0" w:color="auto"/>
                                <w:bottom w:val="none" w:sz="0" w:space="0" w:color="auto"/>
                                <w:right w:val="none" w:sz="0" w:space="0" w:color="auto"/>
                              </w:divBdr>
                              <w:divsChild>
                                <w:div w:id="378015364">
                                  <w:marLeft w:val="0"/>
                                  <w:marRight w:val="0"/>
                                  <w:marTop w:val="0"/>
                                  <w:marBottom w:val="0"/>
                                  <w:divBdr>
                                    <w:top w:val="none" w:sz="0" w:space="0" w:color="auto"/>
                                    <w:left w:val="none" w:sz="0" w:space="0" w:color="auto"/>
                                    <w:bottom w:val="none" w:sz="0" w:space="0" w:color="auto"/>
                                    <w:right w:val="none" w:sz="0" w:space="0" w:color="auto"/>
                                  </w:divBdr>
                                  <w:divsChild>
                                    <w:div w:id="305359737">
                                      <w:marLeft w:val="0"/>
                                      <w:marRight w:val="0"/>
                                      <w:marTop w:val="0"/>
                                      <w:marBottom w:val="0"/>
                                      <w:divBdr>
                                        <w:top w:val="none" w:sz="0" w:space="0" w:color="auto"/>
                                        <w:left w:val="none" w:sz="0" w:space="0" w:color="auto"/>
                                        <w:bottom w:val="none" w:sz="0" w:space="0" w:color="auto"/>
                                        <w:right w:val="none" w:sz="0" w:space="0" w:color="auto"/>
                                      </w:divBdr>
                                      <w:divsChild>
                                        <w:div w:id="863641041">
                                          <w:marLeft w:val="0"/>
                                          <w:marRight w:val="0"/>
                                          <w:marTop w:val="0"/>
                                          <w:marBottom w:val="0"/>
                                          <w:divBdr>
                                            <w:top w:val="none" w:sz="0" w:space="0" w:color="auto"/>
                                            <w:left w:val="none" w:sz="0" w:space="0" w:color="auto"/>
                                            <w:bottom w:val="none" w:sz="0" w:space="0" w:color="auto"/>
                                            <w:right w:val="none" w:sz="0" w:space="0" w:color="auto"/>
                                          </w:divBdr>
                                        </w:div>
                                        <w:div w:id="18242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5222">
      <w:bodyDiv w:val="1"/>
      <w:marLeft w:val="0"/>
      <w:marRight w:val="0"/>
      <w:marTop w:val="0"/>
      <w:marBottom w:val="0"/>
      <w:divBdr>
        <w:top w:val="none" w:sz="0" w:space="0" w:color="auto"/>
        <w:left w:val="none" w:sz="0" w:space="0" w:color="auto"/>
        <w:bottom w:val="none" w:sz="0" w:space="0" w:color="auto"/>
        <w:right w:val="none" w:sz="0" w:space="0" w:color="auto"/>
      </w:divBdr>
      <w:divsChild>
        <w:div w:id="765617296">
          <w:marLeft w:val="0"/>
          <w:marRight w:val="0"/>
          <w:marTop w:val="0"/>
          <w:marBottom w:val="0"/>
          <w:divBdr>
            <w:top w:val="none" w:sz="0" w:space="0" w:color="auto"/>
            <w:left w:val="none" w:sz="0" w:space="0" w:color="auto"/>
            <w:bottom w:val="none" w:sz="0" w:space="0" w:color="auto"/>
            <w:right w:val="none" w:sz="0" w:space="0" w:color="auto"/>
          </w:divBdr>
          <w:divsChild>
            <w:div w:id="657807361">
              <w:marLeft w:val="0"/>
              <w:marRight w:val="0"/>
              <w:marTop w:val="0"/>
              <w:marBottom w:val="0"/>
              <w:divBdr>
                <w:top w:val="none" w:sz="0" w:space="0" w:color="auto"/>
                <w:left w:val="none" w:sz="0" w:space="0" w:color="auto"/>
                <w:bottom w:val="none" w:sz="0" w:space="0" w:color="auto"/>
                <w:right w:val="none" w:sz="0" w:space="0" w:color="auto"/>
              </w:divBdr>
              <w:divsChild>
                <w:div w:id="594285200">
                  <w:marLeft w:val="0"/>
                  <w:marRight w:val="0"/>
                  <w:marTop w:val="0"/>
                  <w:marBottom w:val="0"/>
                  <w:divBdr>
                    <w:top w:val="none" w:sz="0" w:space="0" w:color="auto"/>
                    <w:left w:val="none" w:sz="0" w:space="0" w:color="auto"/>
                    <w:bottom w:val="none" w:sz="0" w:space="0" w:color="auto"/>
                    <w:right w:val="none" w:sz="0" w:space="0" w:color="auto"/>
                  </w:divBdr>
                  <w:divsChild>
                    <w:div w:id="682826771">
                      <w:marLeft w:val="1"/>
                      <w:marRight w:val="1"/>
                      <w:marTop w:val="0"/>
                      <w:marBottom w:val="0"/>
                      <w:divBdr>
                        <w:top w:val="none" w:sz="0" w:space="0" w:color="auto"/>
                        <w:left w:val="none" w:sz="0" w:space="0" w:color="auto"/>
                        <w:bottom w:val="none" w:sz="0" w:space="0" w:color="auto"/>
                        <w:right w:val="none" w:sz="0" w:space="0" w:color="auto"/>
                      </w:divBdr>
                      <w:divsChild>
                        <w:div w:id="1368024662">
                          <w:marLeft w:val="0"/>
                          <w:marRight w:val="0"/>
                          <w:marTop w:val="0"/>
                          <w:marBottom w:val="0"/>
                          <w:divBdr>
                            <w:top w:val="none" w:sz="0" w:space="0" w:color="auto"/>
                            <w:left w:val="none" w:sz="0" w:space="0" w:color="auto"/>
                            <w:bottom w:val="none" w:sz="0" w:space="0" w:color="auto"/>
                            <w:right w:val="none" w:sz="0" w:space="0" w:color="auto"/>
                          </w:divBdr>
                          <w:divsChild>
                            <w:div w:id="1047022686">
                              <w:marLeft w:val="0"/>
                              <w:marRight w:val="0"/>
                              <w:marTop w:val="0"/>
                              <w:marBottom w:val="360"/>
                              <w:divBdr>
                                <w:top w:val="none" w:sz="0" w:space="0" w:color="auto"/>
                                <w:left w:val="none" w:sz="0" w:space="0" w:color="auto"/>
                                <w:bottom w:val="none" w:sz="0" w:space="0" w:color="auto"/>
                                <w:right w:val="none" w:sz="0" w:space="0" w:color="auto"/>
                              </w:divBdr>
                              <w:divsChild>
                                <w:div w:id="212928918">
                                  <w:marLeft w:val="0"/>
                                  <w:marRight w:val="0"/>
                                  <w:marTop w:val="0"/>
                                  <w:marBottom w:val="0"/>
                                  <w:divBdr>
                                    <w:top w:val="none" w:sz="0" w:space="0" w:color="auto"/>
                                    <w:left w:val="none" w:sz="0" w:space="0" w:color="auto"/>
                                    <w:bottom w:val="none" w:sz="0" w:space="0" w:color="auto"/>
                                    <w:right w:val="none" w:sz="0" w:space="0" w:color="auto"/>
                                  </w:divBdr>
                                  <w:divsChild>
                                    <w:div w:id="614216841">
                                      <w:marLeft w:val="0"/>
                                      <w:marRight w:val="0"/>
                                      <w:marTop w:val="0"/>
                                      <w:marBottom w:val="0"/>
                                      <w:divBdr>
                                        <w:top w:val="none" w:sz="0" w:space="0" w:color="auto"/>
                                        <w:left w:val="none" w:sz="0" w:space="0" w:color="auto"/>
                                        <w:bottom w:val="none" w:sz="0" w:space="0" w:color="auto"/>
                                        <w:right w:val="none" w:sz="0" w:space="0" w:color="auto"/>
                                      </w:divBdr>
                                      <w:divsChild>
                                        <w:div w:id="812984310">
                                          <w:marLeft w:val="0"/>
                                          <w:marRight w:val="0"/>
                                          <w:marTop w:val="0"/>
                                          <w:marBottom w:val="0"/>
                                          <w:divBdr>
                                            <w:top w:val="none" w:sz="0" w:space="0" w:color="auto"/>
                                            <w:left w:val="none" w:sz="0" w:space="0" w:color="auto"/>
                                            <w:bottom w:val="none" w:sz="0" w:space="0" w:color="auto"/>
                                            <w:right w:val="none" w:sz="0" w:space="0" w:color="auto"/>
                                          </w:divBdr>
                                          <w:divsChild>
                                            <w:div w:id="1263221035">
                                              <w:marLeft w:val="0"/>
                                              <w:marRight w:val="0"/>
                                              <w:marTop w:val="0"/>
                                              <w:marBottom w:val="0"/>
                                              <w:divBdr>
                                                <w:top w:val="none" w:sz="0" w:space="0" w:color="auto"/>
                                                <w:left w:val="none" w:sz="0" w:space="0" w:color="auto"/>
                                                <w:bottom w:val="none" w:sz="0" w:space="0" w:color="auto"/>
                                                <w:right w:val="none" w:sz="0" w:space="0" w:color="auto"/>
                                              </w:divBdr>
                                              <w:divsChild>
                                                <w:div w:id="1024135031">
                                                  <w:marLeft w:val="0"/>
                                                  <w:marRight w:val="0"/>
                                                  <w:marTop w:val="0"/>
                                                  <w:marBottom w:val="0"/>
                                                  <w:divBdr>
                                                    <w:top w:val="none" w:sz="0" w:space="0" w:color="auto"/>
                                                    <w:left w:val="none" w:sz="0" w:space="0" w:color="auto"/>
                                                    <w:bottom w:val="none" w:sz="0" w:space="0" w:color="auto"/>
                                                    <w:right w:val="none" w:sz="0" w:space="0" w:color="auto"/>
                                                  </w:divBdr>
                                                  <w:divsChild>
                                                    <w:div w:id="2922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0721">
      <w:bodyDiv w:val="1"/>
      <w:marLeft w:val="0"/>
      <w:marRight w:val="0"/>
      <w:marTop w:val="0"/>
      <w:marBottom w:val="0"/>
      <w:divBdr>
        <w:top w:val="none" w:sz="0" w:space="0" w:color="auto"/>
        <w:left w:val="none" w:sz="0" w:space="0" w:color="auto"/>
        <w:bottom w:val="none" w:sz="0" w:space="0" w:color="auto"/>
        <w:right w:val="none" w:sz="0" w:space="0" w:color="auto"/>
      </w:divBdr>
    </w:div>
    <w:div w:id="239752497">
      <w:bodyDiv w:val="1"/>
      <w:marLeft w:val="0"/>
      <w:marRight w:val="0"/>
      <w:marTop w:val="0"/>
      <w:marBottom w:val="0"/>
      <w:divBdr>
        <w:top w:val="none" w:sz="0" w:space="0" w:color="auto"/>
        <w:left w:val="none" w:sz="0" w:space="0" w:color="auto"/>
        <w:bottom w:val="none" w:sz="0" w:space="0" w:color="auto"/>
        <w:right w:val="none" w:sz="0" w:space="0" w:color="auto"/>
      </w:divBdr>
    </w:div>
    <w:div w:id="457334782">
      <w:bodyDiv w:val="1"/>
      <w:marLeft w:val="0"/>
      <w:marRight w:val="0"/>
      <w:marTop w:val="0"/>
      <w:marBottom w:val="0"/>
      <w:divBdr>
        <w:top w:val="none" w:sz="0" w:space="0" w:color="auto"/>
        <w:left w:val="none" w:sz="0" w:space="0" w:color="auto"/>
        <w:bottom w:val="none" w:sz="0" w:space="0" w:color="auto"/>
        <w:right w:val="none" w:sz="0" w:space="0" w:color="auto"/>
      </w:divBdr>
    </w:div>
    <w:div w:id="906039964">
      <w:bodyDiv w:val="1"/>
      <w:marLeft w:val="0"/>
      <w:marRight w:val="0"/>
      <w:marTop w:val="0"/>
      <w:marBottom w:val="0"/>
      <w:divBdr>
        <w:top w:val="none" w:sz="0" w:space="0" w:color="auto"/>
        <w:left w:val="none" w:sz="0" w:space="0" w:color="auto"/>
        <w:bottom w:val="none" w:sz="0" w:space="0" w:color="auto"/>
        <w:right w:val="none" w:sz="0" w:space="0" w:color="auto"/>
      </w:divBdr>
      <w:divsChild>
        <w:div w:id="1181893515">
          <w:marLeft w:val="0"/>
          <w:marRight w:val="0"/>
          <w:marTop w:val="0"/>
          <w:marBottom w:val="0"/>
          <w:divBdr>
            <w:top w:val="none" w:sz="0" w:space="0" w:color="auto"/>
            <w:left w:val="none" w:sz="0" w:space="0" w:color="auto"/>
            <w:bottom w:val="none" w:sz="0" w:space="0" w:color="auto"/>
            <w:right w:val="none" w:sz="0" w:space="0" w:color="auto"/>
          </w:divBdr>
          <w:divsChild>
            <w:div w:id="1857423059">
              <w:marLeft w:val="0"/>
              <w:marRight w:val="0"/>
              <w:marTop w:val="0"/>
              <w:marBottom w:val="0"/>
              <w:divBdr>
                <w:top w:val="none" w:sz="0" w:space="0" w:color="auto"/>
                <w:left w:val="none" w:sz="0" w:space="0" w:color="auto"/>
                <w:bottom w:val="none" w:sz="0" w:space="0" w:color="auto"/>
                <w:right w:val="none" w:sz="0" w:space="0" w:color="auto"/>
              </w:divBdr>
              <w:divsChild>
                <w:div w:id="1602570094">
                  <w:marLeft w:val="0"/>
                  <w:marRight w:val="0"/>
                  <w:marTop w:val="0"/>
                  <w:marBottom w:val="0"/>
                  <w:divBdr>
                    <w:top w:val="none" w:sz="0" w:space="0" w:color="auto"/>
                    <w:left w:val="none" w:sz="0" w:space="0" w:color="auto"/>
                    <w:bottom w:val="none" w:sz="0" w:space="0" w:color="auto"/>
                    <w:right w:val="none" w:sz="0" w:space="0" w:color="auto"/>
                  </w:divBdr>
                  <w:divsChild>
                    <w:div w:id="348797094">
                      <w:marLeft w:val="1"/>
                      <w:marRight w:val="1"/>
                      <w:marTop w:val="0"/>
                      <w:marBottom w:val="0"/>
                      <w:divBdr>
                        <w:top w:val="none" w:sz="0" w:space="0" w:color="auto"/>
                        <w:left w:val="none" w:sz="0" w:space="0" w:color="auto"/>
                        <w:bottom w:val="none" w:sz="0" w:space="0" w:color="auto"/>
                        <w:right w:val="none" w:sz="0" w:space="0" w:color="auto"/>
                      </w:divBdr>
                      <w:divsChild>
                        <w:div w:id="1615474655">
                          <w:marLeft w:val="0"/>
                          <w:marRight w:val="0"/>
                          <w:marTop w:val="0"/>
                          <w:marBottom w:val="0"/>
                          <w:divBdr>
                            <w:top w:val="none" w:sz="0" w:space="0" w:color="auto"/>
                            <w:left w:val="none" w:sz="0" w:space="0" w:color="auto"/>
                            <w:bottom w:val="none" w:sz="0" w:space="0" w:color="auto"/>
                            <w:right w:val="none" w:sz="0" w:space="0" w:color="auto"/>
                          </w:divBdr>
                          <w:divsChild>
                            <w:div w:id="6178583">
                              <w:marLeft w:val="0"/>
                              <w:marRight w:val="0"/>
                              <w:marTop w:val="0"/>
                              <w:marBottom w:val="360"/>
                              <w:divBdr>
                                <w:top w:val="none" w:sz="0" w:space="0" w:color="auto"/>
                                <w:left w:val="none" w:sz="0" w:space="0" w:color="auto"/>
                                <w:bottom w:val="none" w:sz="0" w:space="0" w:color="auto"/>
                                <w:right w:val="none" w:sz="0" w:space="0" w:color="auto"/>
                              </w:divBdr>
                              <w:divsChild>
                                <w:div w:id="917447419">
                                  <w:marLeft w:val="0"/>
                                  <w:marRight w:val="0"/>
                                  <w:marTop w:val="0"/>
                                  <w:marBottom w:val="0"/>
                                  <w:divBdr>
                                    <w:top w:val="none" w:sz="0" w:space="0" w:color="auto"/>
                                    <w:left w:val="none" w:sz="0" w:space="0" w:color="auto"/>
                                    <w:bottom w:val="none" w:sz="0" w:space="0" w:color="auto"/>
                                    <w:right w:val="none" w:sz="0" w:space="0" w:color="auto"/>
                                  </w:divBdr>
                                  <w:divsChild>
                                    <w:div w:id="1466895262">
                                      <w:marLeft w:val="0"/>
                                      <w:marRight w:val="0"/>
                                      <w:marTop w:val="0"/>
                                      <w:marBottom w:val="0"/>
                                      <w:divBdr>
                                        <w:top w:val="none" w:sz="0" w:space="0" w:color="auto"/>
                                        <w:left w:val="none" w:sz="0" w:space="0" w:color="auto"/>
                                        <w:bottom w:val="none" w:sz="0" w:space="0" w:color="auto"/>
                                        <w:right w:val="none" w:sz="0" w:space="0" w:color="auto"/>
                                      </w:divBdr>
                                      <w:divsChild>
                                        <w:div w:id="978657614">
                                          <w:marLeft w:val="0"/>
                                          <w:marRight w:val="0"/>
                                          <w:marTop w:val="0"/>
                                          <w:marBottom w:val="0"/>
                                          <w:divBdr>
                                            <w:top w:val="none" w:sz="0" w:space="0" w:color="auto"/>
                                            <w:left w:val="none" w:sz="0" w:space="0" w:color="auto"/>
                                            <w:bottom w:val="none" w:sz="0" w:space="0" w:color="auto"/>
                                            <w:right w:val="none" w:sz="0" w:space="0" w:color="auto"/>
                                          </w:divBdr>
                                        </w:div>
                                        <w:div w:id="10626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66034">
      <w:bodyDiv w:val="1"/>
      <w:marLeft w:val="0"/>
      <w:marRight w:val="0"/>
      <w:marTop w:val="0"/>
      <w:marBottom w:val="0"/>
      <w:divBdr>
        <w:top w:val="none" w:sz="0" w:space="0" w:color="auto"/>
        <w:left w:val="none" w:sz="0" w:space="0" w:color="auto"/>
        <w:bottom w:val="none" w:sz="0" w:space="0" w:color="auto"/>
        <w:right w:val="none" w:sz="0" w:space="0" w:color="auto"/>
      </w:divBdr>
      <w:divsChild>
        <w:div w:id="484471053">
          <w:marLeft w:val="0"/>
          <w:marRight w:val="0"/>
          <w:marTop w:val="0"/>
          <w:marBottom w:val="0"/>
          <w:divBdr>
            <w:top w:val="none" w:sz="0" w:space="0" w:color="auto"/>
            <w:left w:val="none" w:sz="0" w:space="0" w:color="auto"/>
            <w:bottom w:val="none" w:sz="0" w:space="0" w:color="auto"/>
            <w:right w:val="none" w:sz="0" w:space="0" w:color="auto"/>
          </w:divBdr>
          <w:divsChild>
            <w:div w:id="139350986">
              <w:marLeft w:val="0"/>
              <w:marRight w:val="0"/>
              <w:marTop w:val="0"/>
              <w:marBottom w:val="0"/>
              <w:divBdr>
                <w:top w:val="none" w:sz="0" w:space="0" w:color="auto"/>
                <w:left w:val="none" w:sz="0" w:space="0" w:color="auto"/>
                <w:bottom w:val="none" w:sz="0" w:space="0" w:color="auto"/>
                <w:right w:val="none" w:sz="0" w:space="0" w:color="auto"/>
              </w:divBdr>
              <w:divsChild>
                <w:div w:id="1945186091">
                  <w:marLeft w:val="0"/>
                  <w:marRight w:val="0"/>
                  <w:marTop w:val="0"/>
                  <w:marBottom w:val="0"/>
                  <w:divBdr>
                    <w:top w:val="none" w:sz="0" w:space="0" w:color="auto"/>
                    <w:left w:val="none" w:sz="0" w:space="0" w:color="auto"/>
                    <w:bottom w:val="none" w:sz="0" w:space="0" w:color="auto"/>
                    <w:right w:val="none" w:sz="0" w:space="0" w:color="auto"/>
                  </w:divBdr>
                  <w:divsChild>
                    <w:div w:id="1010913008">
                      <w:marLeft w:val="1"/>
                      <w:marRight w:val="1"/>
                      <w:marTop w:val="0"/>
                      <w:marBottom w:val="0"/>
                      <w:divBdr>
                        <w:top w:val="none" w:sz="0" w:space="0" w:color="auto"/>
                        <w:left w:val="none" w:sz="0" w:space="0" w:color="auto"/>
                        <w:bottom w:val="none" w:sz="0" w:space="0" w:color="auto"/>
                        <w:right w:val="none" w:sz="0" w:space="0" w:color="auto"/>
                      </w:divBdr>
                      <w:divsChild>
                        <w:div w:id="1205555010">
                          <w:marLeft w:val="0"/>
                          <w:marRight w:val="0"/>
                          <w:marTop w:val="0"/>
                          <w:marBottom w:val="0"/>
                          <w:divBdr>
                            <w:top w:val="none" w:sz="0" w:space="0" w:color="auto"/>
                            <w:left w:val="none" w:sz="0" w:space="0" w:color="auto"/>
                            <w:bottom w:val="none" w:sz="0" w:space="0" w:color="auto"/>
                            <w:right w:val="none" w:sz="0" w:space="0" w:color="auto"/>
                          </w:divBdr>
                          <w:divsChild>
                            <w:div w:id="1966347664">
                              <w:marLeft w:val="0"/>
                              <w:marRight w:val="0"/>
                              <w:marTop w:val="0"/>
                              <w:marBottom w:val="360"/>
                              <w:divBdr>
                                <w:top w:val="none" w:sz="0" w:space="0" w:color="auto"/>
                                <w:left w:val="none" w:sz="0" w:space="0" w:color="auto"/>
                                <w:bottom w:val="none" w:sz="0" w:space="0" w:color="auto"/>
                                <w:right w:val="none" w:sz="0" w:space="0" w:color="auto"/>
                              </w:divBdr>
                              <w:divsChild>
                                <w:div w:id="286199355">
                                  <w:marLeft w:val="0"/>
                                  <w:marRight w:val="0"/>
                                  <w:marTop w:val="0"/>
                                  <w:marBottom w:val="0"/>
                                  <w:divBdr>
                                    <w:top w:val="none" w:sz="0" w:space="0" w:color="auto"/>
                                    <w:left w:val="none" w:sz="0" w:space="0" w:color="auto"/>
                                    <w:bottom w:val="none" w:sz="0" w:space="0" w:color="auto"/>
                                    <w:right w:val="none" w:sz="0" w:space="0" w:color="auto"/>
                                  </w:divBdr>
                                  <w:divsChild>
                                    <w:div w:id="1758676634">
                                      <w:marLeft w:val="0"/>
                                      <w:marRight w:val="0"/>
                                      <w:marTop w:val="0"/>
                                      <w:marBottom w:val="0"/>
                                      <w:divBdr>
                                        <w:top w:val="none" w:sz="0" w:space="0" w:color="auto"/>
                                        <w:left w:val="none" w:sz="0" w:space="0" w:color="auto"/>
                                        <w:bottom w:val="none" w:sz="0" w:space="0" w:color="auto"/>
                                        <w:right w:val="none" w:sz="0" w:space="0" w:color="auto"/>
                                      </w:divBdr>
                                      <w:divsChild>
                                        <w:div w:id="1539002036">
                                          <w:marLeft w:val="0"/>
                                          <w:marRight w:val="0"/>
                                          <w:marTop w:val="0"/>
                                          <w:marBottom w:val="0"/>
                                          <w:divBdr>
                                            <w:top w:val="none" w:sz="0" w:space="0" w:color="auto"/>
                                            <w:left w:val="none" w:sz="0" w:space="0" w:color="auto"/>
                                            <w:bottom w:val="none" w:sz="0" w:space="0" w:color="auto"/>
                                            <w:right w:val="none" w:sz="0" w:space="0" w:color="auto"/>
                                          </w:divBdr>
                                        </w:div>
                                        <w:div w:id="17059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543413">
      <w:bodyDiv w:val="1"/>
      <w:marLeft w:val="0"/>
      <w:marRight w:val="0"/>
      <w:marTop w:val="0"/>
      <w:marBottom w:val="0"/>
      <w:divBdr>
        <w:top w:val="none" w:sz="0" w:space="0" w:color="auto"/>
        <w:left w:val="none" w:sz="0" w:space="0" w:color="auto"/>
        <w:bottom w:val="none" w:sz="0" w:space="0" w:color="auto"/>
        <w:right w:val="none" w:sz="0" w:space="0" w:color="auto"/>
      </w:divBdr>
    </w:div>
    <w:div w:id="1112551098">
      <w:bodyDiv w:val="1"/>
      <w:marLeft w:val="0"/>
      <w:marRight w:val="0"/>
      <w:marTop w:val="0"/>
      <w:marBottom w:val="0"/>
      <w:divBdr>
        <w:top w:val="none" w:sz="0" w:space="0" w:color="auto"/>
        <w:left w:val="none" w:sz="0" w:space="0" w:color="auto"/>
        <w:bottom w:val="none" w:sz="0" w:space="0" w:color="auto"/>
        <w:right w:val="none" w:sz="0" w:space="0" w:color="auto"/>
      </w:divBdr>
      <w:divsChild>
        <w:div w:id="575214962">
          <w:marLeft w:val="0"/>
          <w:marRight w:val="0"/>
          <w:marTop w:val="0"/>
          <w:marBottom w:val="0"/>
          <w:divBdr>
            <w:top w:val="none" w:sz="0" w:space="0" w:color="auto"/>
            <w:left w:val="none" w:sz="0" w:space="0" w:color="auto"/>
            <w:bottom w:val="none" w:sz="0" w:space="0" w:color="auto"/>
            <w:right w:val="none" w:sz="0" w:space="0" w:color="auto"/>
          </w:divBdr>
          <w:divsChild>
            <w:div w:id="717508174">
              <w:marLeft w:val="0"/>
              <w:marRight w:val="0"/>
              <w:marTop w:val="0"/>
              <w:marBottom w:val="0"/>
              <w:divBdr>
                <w:top w:val="none" w:sz="0" w:space="0" w:color="auto"/>
                <w:left w:val="none" w:sz="0" w:space="0" w:color="auto"/>
                <w:bottom w:val="none" w:sz="0" w:space="0" w:color="auto"/>
                <w:right w:val="none" w:sz="0" w:space="0" w:color="auto"/>
              </w:divBdr>
              <w:divsChild>
                <w:div w:id="457340103">
                  <w:marLeft w:val="0"/>
                  <w:marRight w:val="0"/>
                  <w:marTop w:val="0"/>
                  <w:marBottom w:val="0"/>
                  <w:divBdr>
                    <w:top w:val="none" w:sz="0" w:space="0" w:color="auto"/>
                    <w:left w:val="none" w:sz="0" w:space="0" w:color="auto"/>
                    <w:bottom w:val="none" w:sz="0" w:space="0" w:color="auto"/>
                    <w:right w:val="none" w:sz="0" w:space="0" w:color="auto"/>
                  </w:divBdr>
                  <w:divsChild>
                    <w:div w:id="1453287772">
                      <w:marLeft w:val="1"/>
                      <w:marRight w:val="1"/>
                      <w:marTop w:val="0"/>
                      <w:marBottom w:val="0"/>
                      <w:divBdr>
                        <w:top w:val="none" w:sz="0" w:space="0" w:color="auto"/>
                        <w:left w:val="none" w:sz="0" w:space="0" w:color="auto"/>
                        <w:bottom w:val="none" w:sz="0" w:space="0" w:color="auto"/>
                        <w:right w:val="none" w:sz="0" w:space="0" w:color="auto"/>
                      </w:divBdr>
                      <w:divsChild>
                        <w:div w:id="314264814">
                          <w:marLeft w:val="0"/>
                          <w:marRight w:val="0"/>
                          <w:marTop w:val="0"/>
                          <w:marBottom w:val="0"/>
                          <w:divBdr>
                            <w:top w:val="none" w:sz="0" w:space="0" w:color="auto"/>
                            <w:left w:val="none" w:sz="0" w:space="0" w:color="auto"/>
                            <w:bottom w:val="none" w:sz="0" w:space="0" w:color="auto"/>
                            <w:right w:val="none" w:sz="0" w:space="0" w:color="auto"/>
                          </w:divBdr>
                          <w:divsChild>
                            <w:div w:id="1615215167">
                              <w:marLeft w:val="0"/>
                              <w:marRight w:val="0"/>
                              <w:marTop w:val="0"/>
                              <w:marBottom w:val="360"/>
                              <w:divBdr>
                                <w:top w:val="none" w:sz="0" w:space="0" w:color="auto"/>
                                <w:left w:val="none" w:sz="0" w:space="0" w:color="auto"/>
                                <w:bottom w:val="none" w:sz="0" w:space="0" w:color="auto"/>
                                <w:right w:val="none" w:sz="0" w:space="0" w:color="auto"/>
                              </w:divBdr>
                              <w:divsChild>
                                <w:div w:id="524952688">
                                  <w:marLeft w:val="0"/>
                                  <w:marRight w:val="0"/>
                                  <w:marTop w:val="0"/>
                                  <w:marBottom w:val="0"/>
                                  <w:divBdr>
                                    <w:top w:val="none" w:sz="0" w:space="0" w:color="auto"/>
                                    <w:left w:val="none" w:sz="0" w:space="0" w:color="auto"/>
                                    <w:bottom w:val="none" w:sz="0" w:space="0" w:color="auto"/>
                                    <w:right w:val="none" w:sz="0" w:space="0" w:color="auto"/>
                                  </w:divBdr>
                                  <w:divsChild>
                                    <w:div w:id="1752000515">
                                      <w:marLeft w:val="0"/>
                                      <w:marRight w:val="0"/>
                                      <w:marTop w:val="0"/>
                                      <w:marBottom w:val="0"/>
                                      <w:divBdr>
                                        <w:top w:val="none" w:sz="0" w:space="0" w:color="auto"/>
                                        <w:left w:val="none" w:sz="0" w:space="0" w:color="auto"/>
                                        <w:bottom w:val="none" w:sz="0" w:space="0" w:color="auto"/>
                                        <w:right w:val="none" w:sz="0" w:space="0" w:color="auto"/>
                                      </w:divBdr>
                                      <w:divsChild>
                                        <w:div w:id="1181121915">
                                          <w:marLeft w:val="0"/>
                                          <w:marRight w:val="0"/>
                                          <w:marTop w:val="0"/>
                                          <w:marBottom w:val="0"/>
                                          <w:divBdr>
                                            <w:top w:val="none" w:sz="0" w:space="0" w:color="auto"/>
                                            <w:left w:val="none" w:sz="0" w:space="0" w:color="auto"/>
                                            <w:bottom w:val="none" w:sz="0" w:space="0" w:color="auto"/>
                                            <w:right w:val="none" w:sz="0" w:space="0" w:color="auto"/>
                                          </w:divBdr>
                                        </w:div>
                                        <w:div w:id="19747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445695">
      <w:bodyDiv w:val="1"/>
      <w:marLeft w:val="0"/>
      <w:marRight w:val="0"/>
      <w:marTop w:val="0"/>
      <w:marBottom w:val="0"/>
      <w:divBdr>
        <w:top w:val="none" w:sz="0" w:space="0" w:color="auto"/>
        <w:left w:val="none" w:sz="0" w:space="0" w:color="auto"/>
        <w:bottom w:val="none" w:sz="0" w:space="0" w:color="auto"/>
        <w:right w:val="none" w:sz="0" w:space="0" w:color="auto"/>
      </w:divBdr>
    </w:div>
    <w:div w:id="1662350892">
      <w:bodyDiv w:val="1"/>
      <w:marLeft w:val="0"/>
      <w:marRight w:val="0"/>
      <w:marTop w:val="0"/>
      <w:marBottom w:val="0"/>
      <w:divBdr>
        <w:top w:val="none" w:sz="0" w:space="0" w:color="auto"/>
        <w:left w:val="none" w:sz="0" w:space="0" w:color="auto"/>
        <w:bottom w:val="none" w:sz="0" w:space="0" w:color="auto"/>
        <w:right w:val="none" w:sz="0" w:space="0" w:color="auto"/>
      </w:divBdr>
    </w:div>
    <w:div w:id="1689672597">
      <w:bodyDiv w:val="1"/>
      <w:marLeft w:val="0"/>
      <w:marRight w:val="0"/>
      <w:marTop w:val="0"/>
      <w:marBottom w:val="0"/>
      <w:divBdr>
        <w:top w:val="none" w:sz="0" w:space="0" w:color="auto"/>
        <w:left w:val="none" w:sz="0" w:space="0" w:color="auto"/>
        <w:bottom w:val="none" w:sz="0" w:space="0" w:color="auto"/>
        <w:right w:val="none" w:sz="0" w:space="0" w:color="auto"/>
      </w:divBdr>
    </w:div>
    <w:div w:id="1742021330">
      <w:bodyDiv w:val="1"/>
      <w:marLeft w:val="0"/>
      <w:marRight w:val="0"/>
      <w:marTop w:val="0"/>
      <w:marBottom w:val="0"/>
      <w:divBdr>
        <w:top w:val="none" w:sz="0" w:space="0" w:color="auto"/>
        <w:left w:val="none" w:sz="0" w:space="0" w:color="auto"/>
        <w:bottom w:val="none" w:sz="0" w:space="0" w:color="auto"/>
        <w:right w:val="none" w:sz="0" w:space="0" w:color="auto"/>
      </w:divBdr>
    </w:div>
    <w:div w:id="1856655732">
      <w:bodyDiv w:val="1"/>
      <w:marLeft w:val="0"/>
      <w:marRight w:val="0"/>
      <w:marTop w:val="0"/>
      <w:marBottom w:val="0"/>
      <w:divBdr>
        <w:top w:val="none" w:sz="0" w:space="0" w:color="auto"/>
        <w:left w:val="none" w:sz="0" w:space="0" w:color="auto"/>
        <w:bottom w:val="none" w:sz="0" w:space="0" w:color="auto"/>
        <w:right w:val="none" w:sz="0" w:space="0" w:color="auto"/>
      </w:divBdr>
    </w:div>
    <w:div w:id="21105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uropa.eu/european-union/sites/europaeu/files/docs/body/consolidated_version_of_the_treaty_establishing_the_european_atomic_energy_community_d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0183AB-2B0D-4624-85B7-ADD40745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6190</Words>
  <Characters>39125</Characters>
  <Application>Microsoft Office Word</Application>
  <DocSecurity>0</DocSecurity>
  <Lines>1117</Lines>
  <Paragraphs>503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2018-09-04T11:22:00Z</cp:lastPrinted>
  <dcterms:created xsi:type="dcterms:W3CDTF">2018-09-14T12:50:00Z</dcterms:created>
  <dcterms:modified xsi:type="dcterms:W3CDTF">2018-09-17T10:43:00Z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