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E43E5BFA-D5A6-4FE5-9A19-959D2303ACD3" style="width:450.75pt;height:420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u l-għanijiet tal-proposta</w:t>
      </w:r>
    </w:p>
    <w:p>
      <w:pPr>
        <w:rPr>
          <w:rFonts w:eastAsia="Calibri"/>
          <w:noProof/>
        </w:rPr>
      </w:pPr>
      <w:r>
        <w:rPr>
          <w:noProof/>
        </w:rPr>
        <w:t>Id-demokrazija hija waħda mill-valuri fundamentali li fuqha hija msejsa l-Unjoni Ewropa. Sabiex jiġi żgurat il-funzjonament ta’ demokrazija rappreżentattiva fil-livell Ewropew, it-Trattati jistabbilixxu li ċ-ċittadini tal-Unjoni Ewropea huma rrappreżentati b’mod dirett fil-Parlament Ewropew.</w:t>
      </w:r>
    </w:p>
    <w:p>
      <w:pPr>
        <w:rPr>
          <w:rFonts w:eastAsia="Calibri"/>
          <w:noProof/>
        </w:rPr>
      </w:pPr>
      <w:r>
        <w:rPr>
          <w:noProof/>
        </w:rPr>
        <w:t>Il-partiti politiċi jaqdu rwol essenzjali f’demokrazija rappreżentattiva, joħolqu rabta diretta bejn iċ-ċittadini u s-sistema politika u b’hekk isaħħu l-leġittimità tas-sistema. Skont l-Artikolu 10 tat-Trattat dwar l-Unjoni Ewropea, “il-partiti politiċi fil-livell Ewropew jikkontribwixxu għall-formazzjoni tal-għarfien politiku Ewropew u għall-espressjoni tar-rieda taċ-ċittadini tal-Unjoni”. L-Artikolu 12(2) tal-Karta tad-Drittijiet Fundamentali tal-Unjoni Ewropea jesprimi l-istess prinċipju.</w:t>
      </w:r>
    </w:p>
    <w:p>
      <w:pPr>
        <w:rPr>
          <w:noProof/>
          <w:szCs w:val="24"/>
        </w:rPr>
      </w:pPr>
      <w:r>
        <w:rPr>
          <w:noProof/>
        </w:rPr>
        <w:t>Fi Frar tal-2018, il-Kummissjoni ħarġet Rakkomandazzjoni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rigward it-tisħiħ tan-natura Ewropea u t-tmexxija effiċjenti tal-elezzjonijiet tal-2019 tal-Parlament Ewropew, indirizzata lill-Istati Membri u lill-partiti politiċi nazzjonali Ewropej. Din kienet tinkludi sejħiet lill-partiti politiċi Ewropej u lill-partiti nazzjonali sabiex isaħħu t-trasparenza dwar l-affiljazzjoni u r-rabtiet rispettivi tagħhom u appellat lil dawn il-partiti politiċi sabiex jagħtu sehemhom biex tiżdied is-sensibilizzazzjoni taċ-ċittadini dwar il-kwistjonijiet li jinsabu fil-qalba tal-livell tal-Unjoni u dwar kif biħsiebhom jindirizzawhom matul il-leġiżlatura li jmiss.</w:t>
      </w:r>
    </w:p>
    <w:p>
      <w:pPr>
        <w:rPr>
          <w:rFonts w:eastAsia="Calibri"/>
          <w:noProof/>
        </w:rPr>
      </w:pPr>
      <w:r>
        <w:rPr>
          <w:noProof/>
        </w:rPr>
        <w:t>Fl-UE, il-protezzjoni tad-</w:t>
      </w:r>
      <w:r>
        <w:rPr>
          <w:i/>
          <w:noProof/>
        </w:rPr>
        <w:t>data</w:t>
      </w:r>
      <w:r>
        <w:rPr>
          <w:noProof/>
        </w:rPr>
        <w:t xml:space="preserve"> hija dritt fundamentali u r-Regolament Ġenerali dwar il-Protezzjoni tad-</w:t>
      </w:r>
      <w:r>
        <w:rPr>
          <w:i/>
          <w:noProof/>
        </w:rPr>
        <w:t>Data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jistipula regoli b’saħħithom għall-ħarsien ta’ dan id-dritt fundamentali. B’mod partikolari, id-</w:t>
      </w:r>
      <w:r>
        <w:rPr>
          <w:i/>
          <w:noProof/>
        </w:rPr>
        <w:t>data</w:t>
      </w:r>
      <w:r>
        <w:rPr>
          <w:noProof/>
        </w:rPr>
        <w:t xml:space="preserve"> personali trid tiġi pproċessata skont il-liġi u b’mod ġust. </w:t>
      </w:r>
    </w:p>
    <w:p>
      <w:pPr>
        <w:rPr>
          <w:rFonts w:eastAsia="Calibri"/>
          <w:noProof/>
        </w:rPr>
      </w:pPr>
      <w:r>
        <w:rPr>
          <w:noProof/>
        </w:rPr>
        <w:t xml:space="preserve">Il-komunikazzjoni online għandha l-potenzjal li tippermetti interazzjoni eqreb u diretta bejn l-atturi politiċi u ċ-ċittadini Ewropej. Fl-istess waqt, din iġġib magħha riskju ta’ pproċessar illegali ta' </w:t>
      </w:r>
      <w:r>
        <w:rPr>
          <w:i/>
          <w:noProof/>
        </w:rPr>
        <w:t>data</w:t>
      </w:r>
      <w:r>
        <w:rPr>
          <w:noProof/>
        </w:rPr>
        <w:t xml:space="preserve"> personali ta’ ċittadini fil-kuntest elettorali. Għadd ta’ avvenimenti riċenti joħorġu fid-dieher li l-abbużi tar-regoli tad-</w:t>
      </w:r>
      <w:r>
        <w:rPr>
          <w:i/>
          <w:noProof/>
        </w:rPr>
        <w:t>data</w:t>
      </w:r>
      <w:r>
        <w:rPr>
          <w:noProof/>
        </w:rPr>
        <w:t xml:space="preserve"> personali jistgħu jaffettwaw id-dibattitu demokratiku u l-elezzjonijiet ħielsa, fosthom l-elezzjonijiet tal-Parlament Ewropew.</w:t>
      </w:r>
    </w:p>
    <w:p>
      <w:pPr>
        <w:rPr>
          <w:noProof/>
          <w:u w:color="000000"/>
          <w:bdr w:val="nil"/>
        </w:rPr>
      </w:pPr>
      <w:r>
        <w:rPr>
          <w:noProof/>
        </w:rPr>
        <w:t>Fl-2018, il-każ tal-Facebook/Cambridge Analytica dwar l-allegat ipproċessar illegali ta’ data personali ta’ utenti li ġiet akkwistata mingħand Facebook mill-kumpanija Cambridge Analytica qajmet tħassib serju dwar l-impatt tal-ksur tal-protezzjoni tad-data fuq il-proċessi elettorali. Bħalissa għaddejjin investigazzjonijiet fir-rigward ta’ dan il-każ partikolari, fost l-oħrajn mill-Information Commissioner’s Office tar-Renju Unit, l-awtorità superviżorja għall-protezzjoni tad-</w:t>
      </w:r>
      <w:r>
        <w:rPr>
          <w:i/>
          <w:noProof/>
        </w:rPr>
        <w:t>data</w:t>
      </w:r>
      <w:r>
        <w:rPr>
          <w:noProof/>
        </w:rPr>
        <w:t xml:space="preserve"> li qiegħda tmexxi l-investigazzjoni Ewropea f’kooperazzjoni ma’ awtoritajiet superviżorji Ewropej oħrajn li huma responsabbli mill-protezzjoni tad-</w:t>
      </w:r>
      <w:r>
        <w:rPr>
          <w:i/>
          <w:noProof/>
        </w:rPr>
        <w:t>data</w:t>
      </w:r>
      <w:r>
        <w:rPr>
          <w:noProof/>
        </w:rPr>
        <w:t>. Il-Kummissjoni tinsab f’kuntatt mill-qrib mal-awtoritajiet superviżorji għall-protezzjoni tad-</w:t>
      </w:r>
      <w:r>
        <w:rPr>
          <w:i/>
          <w:noProof/>
        </w:rPr>
        <w:t>data</w:t>
      </w:r>
      <w:r>
        <w:rPr>
          <w:noProof/>
        </w:rPr>
        <w:t xml:space="preserve"> u qiegħda ssegwi dan il-proċess mill-qrib. Il-Federal Trade Commission tal-Istati Uniti fetħet investigazzjoni dwar dan il-każ. Il-każ u l-impatt tiegħu fuq id-</w:t>
      </w:r>
      <w:r>
        <w:rPr>
          <w:i/>
          <w:noProof/>
        </w:rPr>
        <w:t>data</w:t>
      </w:r>
      <w:r>
        <w:rPr>
          <w:noProof/>
        </w:rPr>
        <w:t xml:space="preserve"> personali ta’ individwi fl-Unjoni ġew trattati f’sensiela ta’ seduti ta’ smigħ fil-Parlament Ewropew. </w:t>
      </w:r>
    </w:p>
    <w:p>
      <w:pPr>
        <w:rPr>
          <w:noProof/>
          <w:szCs w:val="24"/>
        </w:rPr>
      </w:pPr>
      <w:r>
        <w:rPr>
          <w:noProof/>
        </w:rPr>
        <w:t>Ir-Regolament Nru 1141/2014 tal-Parlament Ewropew u tal-Kunsill tat-22 ta' Ottubru 2014 dwar l-istatut u l-finanzjament tal-partiti politiċi Ewropej u l-fondazzjonijiet politiċi Ewropej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ġie introdott biex jiżdiedu l-viżibbiltà, ir-rikonoxximent, l-effettività, it-trasparenza u r-responsabbiltà tal-partiti politiċi Ewropej u l-fondazzjonijiet politiċi affiljati magħhom. Fil-kuntest ta’ dan ir-Regolament, il-partiti u l-fondazzjonijiet politiċi Ewropej li jissodisfaw għadd ta’ kundizzjonijiet ingħataw l-opportunità li jsiru entitajiet ġuridiċi Ewropej billi jirreġistraw fil-livell Ewropew u għaldaqstant jiksbu aċċess għal appoġġ finanzjarju Ewropew. Dawn il-kundizzjonijiet jinkludu r-rispett, kemm fil-programm kif ukoll fl-attivitajiet tagħhom, tal-valuri li l-UE hija msejsa fuqhom – u li huma mnaqqxa fl-Artikolu 2 tat-Trattat dwar l-Unjoni Ewropea: ir-rispett għad-dinjità tal-bniedem, il-libertà, id-demokrazija, l-ugwaljanza, l-istat tad-dritt u r-rispett għad-drittijiet tal-bniedem fosthom id-drittijiet ta’ persuni li huma parti minn minoranzi. Inħolqot Awtorità indipendenti għall-partiti u l-fondazzjonijiet politiċi Ewropej (“l-Awtorità”) bil-għan li tirreġistra, timmoniterja u, jekk meħtieġ, timponi sanzjonijiet fuq partiti u fondazzjonijiet politiċi Ewropej, inkluż biex tikkunsidra każijiet fejn tali entitajiet allegatament jonqsu milli jirrispettaw il-valuri fundamentali Ewropej. </w:t>
      </w:r>
    </w:p>
    <w:p>
      <w:pPr>
        <w:rPr>
          <w:rFonts w:eastAsia="Calibri"/>
          <w:noProof/>
        </w:rPr>
      </w:pPr>
      <w:r>
        <w:rPr>
          <w:noProof/>
        </w:rPr>
        <w:t>Madankollu, ir-regoli eżistenti mhumiex biżżejjed biex l-abbużi tar-regoli tal-protezzjoni tad-</w:t>
      </w:r>
      <w:r>
        <w:rPr>
          <w:i/>
          <w:noProof/>
        </w:rPr>
        <w:t>data</w:t>
      </w:r>
      <w:r>
        <w:rPr>
          <w:noProof/>
        </w:rPr>
        <w:t>, li jistgħu jaffettwaw id-dibattitu demokratiku u l-elezzjonijiet ħielsa, jiġu skoraġġiti b’mod effettiv.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Sabiex jiġi żgurat li l-elezzjonijiet għall-Parlament Ewropew isiru f’konformità ma’ regoli demokratiċi b’saħħithom u b’rispett sħiħ għall-valuri Ewropej tad-demokrazija, l-istat tad-dritt u r-rispett tad-drittijiet fundamentali, il-Kummissjoni qiegħda tipproponi emenda mmirata tar-Regolament Nru 1141/2014. Hija għandha l-għan li tippermetti sanzjonijiet finanzjarji fuq il-partiti jew fondazzjonijiet politiċi Ewropej li jiksru r-regoli tal-protezzjoni tad-</w:t>
      </w:r>
      <w:r>
        <w:rPr>
          <w:i/>
          <w:noProof/>
        </w:rPr>
        <w:t>data</w:t>
      </w:r>
      <w:r>
        <w:rPr>
          <w:noProof/>
        </w:rPr>
        <w:t xml:space="preserve"> biex jinfluwenzaw b’mod intenzjonat, jew jippruvaw jinfluwenzaw, ir-riżultat tal-elezzjonijiet għall-Parlament Ewropew.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Din il-proposta ser tippermetti lill-Awtorità wkoll li topera mingħajr xkiel u b’mod effettiv billi jiġi żgurat li tiġi allokata l-persunal tagħha u li d-Direttur tagħha jkun l-awtorità tal-ħatra. Dan għandu jippermetti lill-Awtorità twettaq il-kompiti tagħha, fosthom il-kompiti l-ġodda li huma previsti f’din il-proposta, u li tagħmel dan b’mod indipendenti. B’mod parallel, sabiex jitwieġbu s-sejħiet tal-Awtorità għal żieda fl-għadd tal-persunal u fil-kuntest tar-rwol ewlieni tal-Awtorità fil-perjodu li jippreċedi immedjatament l-elezzjonijiet tal-Parlament Ewropew, il-Kummissjoni tinsab lesta li toffri d-disponibbiltà immedjata tas-sitt persuni f’persunal addizzjonali li ntalbu mill-Awtorità, fuq bażi ta’ distakkament, li jintemm ladarba l-arranġamenti għal persunal permanenti jkunu fis-seħħ.</w:t>
      </w:r>
    </w:p>
    <w:p>
      <w:pPr>
        <w:rPr>
          <w:rFonts w:eastAsia="Calibri"/>
          <w:noProof/>
        </w:rPr>
      </w:pPr>
      <w:r>
        <w:rPr>
          <w:noProof/>
        </w:rPr>
        <w:t>Il-proċedura għall-elezzjonijiet tal-Parlament Ewropew hija rregolata minn dispożizzjonijiet nazzjonali f’kull wieħed mill-Istati Membri. Il-partiti politiċi jaqdu rwol essenzjali f’demokrazija rappreżentattiva, joħolqu rabta diretta bejn iċ-ċittadini u s-sistema politika. Il-partiti nazzjonali u reġjonali jressqu l-kandidati u jorganizzaw il-kampanji elettorali tagħhom. L-awtoritajiet nazzjonali huma responsabbli mill-monitoraġġ tal-elezzjonijiet fil-livell nazzjonali. Il-partiti politiċi Ewropej jorganizzaw kampanji kumplimentari fil-livell Ewropew, fosthom dawk għall-kandidat prinċipali għar-rwol ta’ President tal-Kummissjoni Ewropea.</w:t>
      </w:r>
    </w:p>
    <w:p>
      <w:pPr>
        <w:rPr>
          <w:rFonts w:eastAsia="Calibri"/>
          <w:noProof/>
        </w:rPr>
      </w:pPr>
      <w:r>
        <w:rPr>
          <w:noProof/>
        </w:rPr>
        <w:t>Ir-Regolament emendat, flimkien mal-Gwida tal-Kummissjoni dwar l-applikazzjoni tal-liġi dwar il-protezzjoni tad-</w:t>
      </w:r>
      <w:r>
        <w:rPr>
          <w:i/>
          <w:noProof/>
        </w:rPr>
        <w:t>data</w:t>
      </w:r>
      <w:r>
        <w:rPr>
          <w:noProof/>
        </w:rPr>
        <w:t xml:space="preserve"> tal-Unjoni fil-kuntest elettorali</w:t>
      </w:r>
      <w:r>
        <w:rPr>
          <w:rStyle w:val="FootnoteReference"/>
          <w:noProof/>
        </w:rPr>
        <w:footnoteReference w:id="5"/>
      </w:r>
      <w:r>
        <w:rPr>
          <w:noProof/>
        </w:rPr>
        <w:t>, ir-Rakkomandazzjoni tal-Kummissjoni dwar in-netwerks dwar il-kooperazzjoni għall-elezzjonijiet, it-trasparenza online u l-protezzjoni kontra inċidenti ċibernetiċi għall-elezzjonijiet u l-ġlieda kontra kampanji ta’ diżinformazzjoni tal-Parlament Ewropew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l-Komunikazzjoni tal-Kummissjoni dwar l-Iżgurar ta’ elezzjonijiet Ewropej li jkunu ħielsa u ġusti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adottati fl-istess jum, jifformaw parti minn pakkett dwar is-sigurtà. Dan huwa kontribut mill-Kummissjoni Ewropea għal-Laqgħa tal-Mexxejja li se ssir fid-19 u l-20 ta’ Settembru tal-2018 f’Salzburg.</w:t>
      </w:r>
    </w:p>
    <w:p>
      <w:pPr>
        <w:rPr>
          <w:rFonts w:eastAsia="Calibri"/>
          <w:noProof/>
        </w:rPr>
      </w:pPr>
      <w:r>
        <w:rPr>
          <w:noProof/>
        </w:rPr>
        <w:t>Ir-Rakkomandazzjoni tinkoraġġixxi lill-awtoritajiet superviżorji tal-protezzjoni tad-</w:t>
      </w:r>
      <w:r>
        <w:rPr>
          <w:i/>
          <w:noProof/>
        </w:rPr>
        <w:t>data</w:t>
      </w:r>
      <w:r>
        <w:rPr>
          <w:noProof/>
        </w:rPr>
        <w:t xml:space="preserve"> biex, f’konformità mal-liġi tal-Unjoni u l-liġi nazzjonali applikabbli, jinfurmaw minnufih u b’mod proattiv lill-Awtorità għall-partiti politiċi Ewropej u lill-fondazzjonijiet politiċi Ewropej dwar id-deċiżjonijiet tagħhom meta jikkonkludu li partit politiku Ewropew, fondazzjoni politika Ewropea jew persuna fiżika jew ġuridika oħra jkunu kisru regoli applikabbli dwar il-protezzjoni tad-</w:t>
      </w:r>
      <w:r>
        <w:rPr>
          <w:i/>
          <w:noProof/>
        </w:rPr>
        <w:t>data</w:t>
      </w:r>
      <w:r>
        <w:rPr>
          <w:noProof/>
        </w:rPr>
        <w:t xml:space="preserve"> personali. Din l-informazzjoni jenħtieġ li tingħata fejn dik id-deċiżjoni tirriżulta, jew inkella fejn ikun hemm raġuni plawżibbli li wieħed jemmen, li l-ksur ikun marbut ma’ attivitajiet politiċi ta’ partit politiku Ewropew jew fondazzjoni politika Ewropea fl-isfond tal-elezzjonijiet tal-Parlament Ewropew. Ir-Rakkomandazzjoni tħeġġeġ ukoll lill-Istati Membri biex japplikaw sanzjonijiet xierqa fuq il-partiti u l-fondazzjonijiet politiċi fil-livell nazzjonali u reġjonali f’każijiet ta’ ksur ta’ regoli tal-protezzjoni ta' </w:t>
      </w:r>
      <w:r>
        <w:rPr>
          <w:i/>
          <w:noProof/>
        </w:rPr>
        <w:t>data</w:t>
      </w:r>
      <w:r>
        <w:rPr>
          <w:noProof/>
        </w:rPr>
        <w:t xml:space="preserve"> personali biex jinfluwenzaw, jew jippruvaw jinfluwenzaw, l-elezzjonijiet tal-Parlament Ewropew.  </w:t>
      </w:r>
    </w:p>
    <w:p>
      <w:pPr>
        <w:rPr>
          <w:noProof/>
          <w:u w:color="000000"/>
          <w:bdr w:val="nil"/>
        </w:rPr>
      </w:pPr>
      <w:r>
        <w:rPr>
          <w:noProof/>
        </w:rPr>
        <w:t xml:space="preserve">It-tibdil immirat għar-Regolament Nru 1141/2014 jenħtieġ li jidħol fis-seħħ qabel l-elezzjonijiet tal-Parlament Ewropew tal-2019.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Konsistenza ma' politiki oħra tal-Unjoni </w:t>
      </w:r>
    </w:p>
    <w:p>
      <w:pPr>
        <w:rPr>
          <w:noProof/>
        </w:rPr>
      </w:pPr>
      <w:r>
        <w:rPr>
          <w:noProof/>
        </w:rPr>
        <w:t>Ir-Regolament Ġenerali dwar il-Protezzjoni tad-</w:t>
      </w:r>
      <w:r>
        <w:rPr>
          <w:i/>
          <w:noProof/>
        </w:rPr>
        <w:t>Data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beda japplika għall-Istati Membri kollha tal-UE mill-25 ta’ Mejju tal-2018. Dan jistabbilixxi standards għoljin ta’ protezzjoni tad-</w:t>
      </w:r>
      <w:r>
        <w:rPr>
          <w:i/>
          <w:noProof/>
        </w:rPr>
        <w:t>data</w:t>
      </w:r>
      <w:r>
        <w:rPr>
          <w:noProof/>
        </w:rPr>
        <w:t xml:space="preserve"> adattati tajjeb għall-ekonomija diġitali u jwasslu biex l-organizzazzjonijiet li jipproċessaw id-</w:t>
      </w:r>
      <w:r>
        <w:rPr>
          <w:i/>
          <w:noProof/>
        </w:rPr>
        <w:t>data</w:t>
      </w:r>
      <w:r>
        <w:rPr>
          <w:noProof/>
        </w:rPr>
        <w:t xml:space="preserve"> - fosthom il-partiti politiċi Ewropej u l-fondazzjonijiet politiċi Ewropej - ikunu aktar responsabbli dwar kif jittrattaw </w:t>
      </w:r>
      <w:r>
        <w:rPr>
          <w:i/>
          <w:noProof/>
        </w:rPr>
        <w:t>data</w:t>
      </w:r>
      <w:r>
        <w:rPr>
          <w:noProof/>
        </w:rPr>
        <w:t xml:space="preserve"> personali. </w:t>
      </w:r>
    </w:p>
    <w:p>
      <w:pPr>
        <w:rPr>
          <w:noProof/>
        </w:rPr>
      </w:pPr>
      <w:r>
        <w:rPr>
          <w:noProof/>
        </w:rPr>
        <w:t>Fir-Rakkomandazzjoni tagħha tal-14 ta’ Frar 2018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rigward it-tisħiħ tan-natura Ewropea u t-tmexxija effiċjenti tal-elezzjonijiet tal-2019 tal-Parlament Ewropew, il-Kummissjoni appellat lill-awtoritajiet nazzjonali kompetenti sabiex jidentifikaw l-aħjar prattiki għall-identifikazzjoni, il-mitigazzjoni u l-ġestjoni tar-riskji marbutin ma’ attakki ċibernetiċi u diżinformazzjoni fuq il-proċess elettorali. F'April tal-2018 il-Kummissjoni organizzat laqgħa mal-kummissjonijiet elettorali tal-Istati Membri sabiex isiru diskussjoni, skambju tal-aħjar prattiki u sensibilizzazzjoni fost l-awtoritajiet nazzjonali dwar kwistjonijiet ta’ sigurtà, kampanji ta’ diżinformazzjoni u l-infurzar tar-regoli elettorali online.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highlight w:val="green"/>
        </w:rPr>
      </w:pPr>
      <w:r>
        <w:rPr>
          <w:noProof/>
        </w:rPr>
        <w:t>F'April tal-2018 il-Kummissjoni ppubblikat Komunikazzjoni dwar “L-indirizzar tad-diżinformazzjoni online”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li tiddefinixxi r-rwoli u r-responsabbiltajiet tal-partijiet ikkonċernati rilevanti u fasslet sensiela ta’ azzjonijiet, fosthom it-tisħiħ tal-komunikazzjonijiet strateġiċi tal-Kummissjoni fi tweġiba għad-diżinformazzjoni. </w:t>
      </w:r>
    </w:p>
    <w:p>
      <w:pPr>
        <w:rPr>
          <w:noProof/>
          <w:szCs w:val="24"/>
        </w:rPr>
      </w:pPr>
      <w:r>
        <w:rPr>
          <w:noProof/>
        </w:rPr>
        <w:t>Din il-proposta hija konsistenti mal-proposta tal-Kummissjoni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għal Regolament dwar ir-rispett għall-ħajja privata u l-protezzjoni tad-</w:t>
      </w:r>
      <w:r>
        <w:rPr>
          <w:i/>
          <w:noProof/>
        </w:rPr>
        <w:t>data</w:t>
      </w:r>
      <w:r>
        <w:rPr>
          <w:noProof/>
        </w:rPr>
        <w:t xml:space="preserve"> personali f’komunikazzjonijiet elettroniċi (ir-Regolament dwar il-Privatezza elettronika) li teżamina mill-ġdid id-Direttiva dwar il-privatezza elettronika eżistenti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li se ssaħħaħ u twessa’ l-kamp ta’ applikazzjoni lil hinn mill-operaturi tat-telekomunikazzjonijiet tradizzjonali sabiex tinkludi s-servizzi tal-komunikazzjoni elettronika bbażati fuq l-internet u li jenħtieġ li tiġi adottata mill-koleġiżlaturi minnufih.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Il-proposta tissejjes fuq l-Artikolu 224 tat-Trattat dwar il-Funzjonament tal-Unjoni Ewropea, li jistipula li “</w:t>
      </w:r>
      <w:r>
        <w:rPr>
          <w:i/>
          <w:noProof/>
        </w:rPr>
        <w:t>l-Parlament Ewropew u l-Kunsill, li jaġixxu skont il-proċedura leġiżlattiva ordinarja, għandhom jistabbilixxu, permezz ta’ Regolament, ir-regoli li jiggwidaw il-partiti politiċi fil-livell Ewropew imsemmija fl-Artikolu 10(4) tat-Trattat dwar l-Unjoni Ewropea u partikolarment ir-regoli li jirrigwardaw il-finanzjament tagħhom</w:t>
      </w:r>
      <w:r>
        <w:rPr>
          <w:noProof/>
        </w:rPr>
        <w:t>” kif ukoll fuq l-Artikolu 106a tat-Trattat li jistabbilixxi l-Komunità Ewropea dwar l-Enerġija Atomika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Billi r-Regolament eżistenti jipprevedi sistema fil-livell tal-UE, inkluż personalità ġuridika Ewropea għall-partijiet u l-fondazzjonijiet u finanzjament mill-baġit tal-UE, kwalunkwe nuqqas f’din is-sistema jista’ jiġi rrimedjat biss permezz ta’ leġiżlazzjoni tal-UE. Għaldaqstant azzjoni minn kull Stat Membru għal rasu mhijiex għażla rilevanti.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Għal din ir-raġuni t-tibdil immirat li qiegħed jiġi propost huwa konformi bis-sħiħ mal-prinċipju tas-sussidjarjetà. L-uniku livell fejn jistgħu jiġu stipulati regoli rigward l-istatut u l-finanzjament tal-partiti politiċi Ewropej u tal-fondazzjonijiet politiċi Ewropej huwa dak tal-UE. Il-Kummissjoni qagħdet attenta li l-miżuri ta’ riforma possibbli li ressqet ikunu jirriflettu l-prinċipji mnaqqxa fil-Protokoll Nru 2 tat-Trattati.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Kif inhu spjegat fit-Taqsima 5, il-miżuri mmirati li qed jiġu proposti ma jmorrux lil hinn minn dak li huwa neċessarju sabiex jinkiseb l-objettiv fit-tul li d-demokrazija Ewropea u l-leġittimità tal-Istituzzjonijiet tal-UE jiġu żviluppati u msaħħa. 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Il-proposta tirrispetta l-prinċipju tal-proporzjonalità. Is-sanzjonijiet proposti huma mfassla fuq is-sistema deċiża fir-Regolament 1141/2014 li jistabbilixxi sanzjonijiet proporzonali. Il-miżuri proposti jiżguraw li ma sseħħ l-ebda penalizzazzjoni doppja għall-istess imġiba: il-ksur tar-regoli dwar il-protezzjoni tad-</w:t>
      </w:r>
      <w:r>
        <w:rPr>
          <w:i/>
          <w:noProof/>
        </w:rPr>
        <w:t>data</w:t>
      </w:r>
      <w:r>
        <w:rPr>
          <w:noProof/>
        </w:rPr>
        <w:t xml:space="preserve"> se jiġi penalizzat mill-awtoritajiet superviżorji tal-protezzjoni tad-</w:t>
      </w:r>
      <w:r>
        <w:rPr>
          <w:i/>
          <w:noProof/>
        </w:rPr>
        <w:t>data</w:t>
      </w:r>
      <w:r>
        <w:rPr>
          <w:noProof/>
        </w:rPr>
        <w:t xml:space="preserve"> kompetenti stabbiliti mir-Regolament Ġenerali dwar il-Protezzjoni tad-</w:t>
      </w:r>
      <w:r>
        <w:rPr>
          <w:i/>
          <w:noProof/>
        </w:rPr>
        <w:t>Data</w:t>
      </w:r>
      <w:r>
        <w:rPr>
          <w:noProof/>
        </w:rPr>
        <w:t>. L-imġiba sanzjonata permezz ta’ din il-proposta tirrigwarda kull vantaġġ li jista’ jittieħed mill-ksur tar-regoli tal-protezzjoni tad-</w:t>
      </w:r>
      <w:r>
        <w:rPr>
          <w:i/>
          <w:noProof/>
        </w:rPr>
        <w:t>data</w:t>
      </w:r>
      <w:r>
        <w:rPr>
          <w:noProof/>
        </w:rPr>
        <w:t xml:space="preserve"> biex jiġu influwenzati b’mod intenzjonat, jew biex jippruvaw jiġu influwenzati, l-elezzjonijiet tal-Parlament Ewropew. L-Awtorità mhijiex ser timponi sanzjonijiet dwar il-ksur innifsu tar-regoli tal-protezzjoni tad-</w:t>
      </w:r>
      <w:r>
        <w:rPr>
          <w:i/>
          <w:noProof/>
        </w:rPr>
        <w:t>data</w:t>
      </w:r>
      <w:r>
        <w:rPr>
          <w:noProof/>
        </w:rPr>
        <w:t xml:space="preserve"> 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Regolament eżistenti jista’ jiġi emendat biss permezz ta’ Regolament.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</w:rPr>
        <w:t xml:space="preserve">Biex ħejjiet din il-proposta l-Kummissjoni tat widen għas-sejħiet li saru matul id-dibattiti u s-seduti ta’ smigħ fil-Parlament Ewropew dwar il-każ Facebook/Cambridge Analytica, li </w:t>
      </w:r>
      <w:r>
        <w:rPr>
          <w:noProof/>
          <w:color w:val="000000"/>
          <w:u w:color="000000"/>
          <w:bdr w:val="nil"/>
        </w:rPr>
        <w:t xml:space="preserve">jikkonċerna allegazzjonijiet dwar l-użu ta’ </w:t>
      </w:r>
      <w:r>
        <w:rPr>
          <w:i/>
          <w:noProof/>
          <w:color w:val="000000"/>
          <w:u w:color="000000"/>
          <w:bdr w:val="nil"/>
        </w:rPr>
        <w:t>data</w:t>
      </w:r>
      <w:r>
        <w:rPr>
          <w:noProof/>
          <w:color w:val="000000"/>
          <w:u w:color="000000"/>
          <w:bdr w:val="nil"/>
        </w:rPr>
        <w:t xml:space="preserve"> ta’ utenti tal-Facebook minn Cambridge Analytica u l-impatt tiegħu fuq il-protezzjoni tad-</w:t>
      </w:r>
      <w:r>
        <w:rPr>
          <w:i/>
          <w:noProof/>
          <w:color w:val="000000"/>
          <w:u w:color="000000"/>
          <w:bdr w:val="nil"/>
        </w:rPr>
        <w:t>data</w:t>
      </w:r>
      <w:r>
        <w:rPr>
          <w:noProof/>
          <w:color w:val="000000"/>
          <w:u w:color="000000"/>
          <w:bdr w:val="nil"/>
        </w:rPr>
        <w:t xml:space="preserve"> personali tal-individwi fl-Unjoni (is-seduti ta’ smigħ tal-4 ta’ Ġunju 2018, il-25 ta’ Ġunju 2018 u t-2 ta’ Lulju 2018).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Dibattiti u seduti ta’ smigħ bħal dawn ħarġu fid-dieher l-użu ta’ tekniki qarrieqa u manipulattivi biex jiġu identifikati l-interessi ta’ grupp ta’ individwi (micro targeting) bil-għan li jiġu influwenzati r-riżultati tal-elezzjonijiet, u huma konnessi mill-qrib mal-kwistjoni tat-trasferiment u l-ipproċessar illegali ta’ </w:t>
      </w:r>
      <w:r>
        <w:rPr>
          <w:i/>
          <w:noProof/>
        </w:rPr>
        <w:t>data</w:t>
      </w:r>
      <w:r>
        <w:rPr>
          <w:noProof/>
        </w:rPr>
        <w:t xml:space="preserve"> personali. Ir-regoli tal-UE diġà jiżguraw il-protezzjoni effettiva tad-</w:t>
      </w:r>
      <w:r>
        <w:rPr>
          <w:i/>
          <w:noProof/>
        </w:rPr>
        <w:t>data</w:t>
      </w:r>
      <w:r>
        <w:rPr>
          <w:noProof/>
        </w:rPr>
        <w:t xml:space="preserve"> personali.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mhijiex qed titressaq flimkien ma’ valutazzjoni tal-impatt speċifika. Dan għaliex mhijiex mistennija li jkollha impatti ekonomiċi, soċjali u ambjentali sinifikanti aktar wiesa’. It-tibdil propost jibni fuq is-sistemi eżistenti ta’ verifika u sanzjonijiet stabbiliti mir-Regolament Nru 1141/2014.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L-Artikolu 2 tat-Trattat dwar l-Unjoni Ewropea (TUE) jistipula li “</w:t>
      </w:r>
      <w:r>
        <w:rPr>
          <w:i/>
          <w:noProof/>
        </w:rPr>
        <w:t>L-Unjoni hija bbażata fuq il-valuri tar-rispett għad-dinjità tal-bniedem, il-libertà, id-demokrazija, l-ugwaljanza, l-istat tad-dritt u r-rispett għad-drittijiet tal-bniedem, inklużi d-drittijiet ta’ persuni li jagħmlu parti minn minoranzi. Dawn il-valuri huma komuni għall-Istati Membri f’soċjetà fejn jipprevalu l-pluraliżmu, in-nondiskriminazzjoni, it-tolleranza, il-ġustizzja, is-solidarjetà u l-ugwaljanza bejn in-nisa u l-irġiel.</w:t>
      </w:r>
      <w:r>
        <w:rPr>
          <w:noProof/>
        </w:rPr>
        <w:t>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i/>
          <w:noProof/>
          <w:szCs w:val="24"/>
        </w:rPr>
      </w:pPr>
      <w:r>
        <w:rPr>
          <w:noProof/>
        </w:rPr>
        <w:t>L-Artikolu 10(1) u (2) tat-TUE jistipulaw li “</w:t>
      </w:r>
      <w:r>
        <w:rPr>
          <w:i/>
          <w:noProof/>
        </w:rPr>
        <w:t>Il-funzjonament tal-Unjoni għandu jkun ibbażat fuq id-demokrazija rappreżentattiva” u li “ċ-ċittadini huma rappreżentati direttament fil-Parlament Ewropew</w:t>
      </w:r>
      <w:r>
        <w:rPr>
          <w:noProof/>
        </w:rPr>
        <w:t>”. Is-subparagrafu 4 tal-istess dispożizzjoni jistipula: “</w:t>
      </w:r>
      <w:r>
        <w:rPr>
          <w:i/>
          <w:noProof/>
        </w:rPr>
        <w:t>il-partiti politiċi fil-livell Ewropew jikkontribwixxu għall-formazzjoni tal-għarfien politiku Ewropew u għall-espressjoni tar-rieda taċ-ċittadini tal-Unjoni</w:t>
      </w:r>
      <w:r>
        <w:rPr>
          <w:noProof/>
        </w:rPr>
        <w:t>”. L-Artikoli 11 u 12 tal-Karta tad-Drittijiet Fundamentali tal-UE jnaqqxu d-dritt għal-libertà tal-espressjoni u tal-assoċjazzjoni. Artikolu 7 tal-Karta tad-Drittijiet Fundamentali tal-Unjoni Ewropea jispeċifika li “</w:t>
      </w:r>
      <w:r>
        <w:rPr>
          <w:i/>
          <w:noProof/>
        </w:rPr>
        <w:t>Kull persuna għandha d-dritt għar-rispett għall-ħajja privata u għall-ħajja tal-familja, ta’ darha u tal-komunikazzjonijiet tagħha</w:t>
      </w:r>
      <w:r>
        <w:rPr>
          <w:noProof/>
        </w:rPr>
        <w:t>”. L-Artikolu 8 tal-Karta tad-Drittijiet Fundamentali tal-Unjoni Ewropea jistipula li “</w:t>
      </w:r>
      <w:r>
        <w:rPr>
          <w:i/>
          <w:noProof/>
        </w:rPr>
        <w:t>(1)</w:t>
      </w:r>
      <w:r>
        <w:rPr>
          <w:noProof/>
        </w:rPr>
        <w:t xml:space="preserve"> </w:t>
      </w:r>
      <w:r>
        <w:rPr>
          <w:i/>
          <w:noProof/>
        </w:rPr>
        <w:t>Kull persuna għandha d-dritt għall-protezzjoni ta' data personali li tirrigwardaha. (2) Din id-data għandha tiġi trattata b’mod ġust tħal finijiet determinati u abbażi tal-kunsens tal-persuna kkonċernata jew fuq bażi oħra leġittima stabbilita mil-liġi. Kull persuna għandha d-dritt ta’ aċċess għad-data miġbura li għandha x’taqsam magħha u d-dritt li tikseb ir-rettifika tagħha. (3) L-osservanza ta’ dawn ir-regoli għandha titqiegħed taħt il-kontroll ta’ awtorità indipendenti.”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L-emendi li huma fil-mira ta’ din il-proposta għandhom l-għan li jiksbu l-objettivi ta’ dawn id-dispożizzjonijiet, u huma konformi u jagħtu effett lid-drittijiet fundamentali garantiti mill-Artikoli 7, 8 u 12 tal-Karta.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spacing w:before="0" w:after="0"/>
        <w:rPr>
          <w:noProof/>
        </w:rPr>
      </w:pPr>
      <w:r>
        <w:rPr>
          <w:noProof/>
        </w:rPr>
        <w:t>Sabiex din il-proposta tkun effettiva, billi żżid mal-kompiti tal-Awtorità, jeħtieġ li jkun hemm arranġament għal aktar persunal permanenti għall-Awtorità. L-implikazzjonjiet għall-baġit jinsabu elenkati fid-dettall fid-Dikjarazzjoni Finanzjarja Leġiżlattiva ma’ din il-proposta. Jenħtieġ li jingħata aktar persunal permanenti permezz tar-riallokazzjoni ta’ riżorsi eżistenti, u dan ser jirrekjedi l-modifikazzjoni tal-pjan ta' stabbiliment tal-Istituzzjonijiet li jikkontribwixxu. Għaldaqstant, dawn l-emendi jridu jiġu inklużi fl-Ittra Emendatorja għall-Abbozz tal-Baġit tal-2019. Meta jitqies id-daqs tal-Awtorità, mhuwiex neċessarju li jsir pjan ta' stabbiliment separat, iżda għandha tiddaħħal nota f'qiegħ il-paġna f’Taqsima I - Parlament Ewropew, li tagħti dettalji dwar id-daqs u n-natura tal-persunal.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spacing w:before="0" w:after="0"/>
        <w:rPr>
          <w:bCs/>
          <w:noProof/>
          <w:szCs w:val="24"/>
        </w:rPr>
      </w:pPr>
      <w:r>
        <w:rPr>
          <w:noProof/>
        </w:rPr>
        <w:t>Sabiex ikunu jistgħu jiġu imposti sanzjonijiet finanzjarji fuq il-partiti u l-fondazzjonijiet politiċi Ewropej li jiksru r-regoli tal-protezzjoni tad-</w:t>
      </w:r>
      <w:r>
        <w:rPr>
          <w:i/>
          <w:noProof/>
        </w:rPr>
        <w:t>data</w:t>
      </w:r>
      <w:r>
        <w:rPr>
          <w:noProof/>
        </w:rPr>
        <w:t xml:space="preserve"> biex jinfluwenzaw b’mod intenzjonat, jew jippruvaw jinfluwenzaw, ir-riżultati tal-elezzjonijiet tal-Parlament Ewropew, il-Kummissjoni qiegħda tipproponi li jsir it-tibdil immirat li ġej fuq ir-Regolament:</w:t>
      </w:r>
    </w:p>
    <w:p>
      <w:pPr>
        <w:spacing w:before="0" w:after="0"/>
        <w:rPr>
          <w:bCs/>
          <w:noProof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 xml:space="preserve">Qiegħed jiġi propost li tinħoloq proċedura ta’ verifika relatata mal-ksur tar-regoli tal-protezzjoni ta’ </w:t>
      </w:r>
      <w:r>
        <w:rPr>
          <w:i/>
          <w:noProof/>
        </w:rPr>
        <w:t>data</w:t>
      </w:r>
      <w:r>
        <w:rPr>
          <w:noProof/>
        </w:rPr>
        <w:t xml:space="preserve"> personali li tkun tirrekjedi lill-Awtorità li titlob opinjoni ta’ kumitat ta’ persuni eminenti u indipendenti, ftit taż-żmien wara li tkun ittieħdet deċiżjoni minn awtorità superviżorja kompetenti dwar il-protezzjoni tad-</w:t>
      </w:r>
      <w:r>
        <w:rPr>
          <w:i/>
          <w:noProof/>
        </w:rPr>
        <w:t>data</w:t>
      </w:r>
      <w:r>
        <w:rPr>
          <w:noProof/>
        </w:rPr>
        <w:t xml:space="preserve">. L-opinjoni tal-kumitat – li tkun trid tingħata fi żmien qasir f’konformità ma’ skadenza stabbilita mill-Awtorità – tivvaluta jekk dan il-ksur ikunx intuża b’mod intenzjonat biex jinfluwenza, jew jipprova jinfluwenza, r-riżultat tal-elezzjonijiet tal-Parlament Ewropew. L-attivazzjoni ta’ din il-proċedura ġdida ma tostakolax l-attivazzjoni tal-proċedura ta’ verifika tal-konformità mal-kundizzjonijiet tar-reġistrazzjoni u mar-rekwiżiti stipulati fl-Artikolu 10 tar-Regolament f’dawk il-każijiet ta’ ksur ċar u serju mill-partiti jew fondazzjonijiet politiċi Ewropej b’rabta mal-valuri li fuqhom tissejjes l-Unjoni. Il-proċedura ġdida tiġi introdotta billi jiddaħħal Artikolu 10a ġdid.   </w:t>
      </w:r>
    </w:p>
    <w:p>
      <w:pPr>
        <w:rPr>
          <w:noProof/>
        </w:rPr>
      </w:pPr>
      <w:r>
        <w:rPr>
          <w:noProof/>
        </w:rPr>
        <w:t>Sabiex jiġi żgurat li l-proċedura tkun tista’ tiġi attivitata fi kwalunkwe mument, fosthom qrib id-</w:t>
      </w:r>
      <w:r>
        <w:rPr>
          <w:i/>
          <w:noProof/>
        </w:rPr>
        <w:t>data</w:t>
      </w:r>
      <w:r>
        <w:rPr>
          <w:noProof/>
        </w:rPr>
        <w:t xml:space="preserve"> tal-elezzjonijiet tal-Parlament Ewropew, il-proposta tispeċifika li jiġi ċċarat li l-limiti ta’ żmien tal-proċedura ta’ verifika tal-konformità mal-kundizzjonijiet tar-reġistrazzjoni u r-rekwiżiti stipulati fl-Artikolu 10 ma japplikawx għaliha, billi jiġi emendat it-tielet paragrafu tal-Artikolu 10(3).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bCs/>
          <w:noProof/>
          <w:szCs w:val="24"/>
        </w:rPr>
      </w:pPr>
      <w:r>
        <w:rPr>
          <w:noProof/>
        </w:rPr>
        <w:t xml:space="preserve">L-Artikolu 11, dwar il-kumitat ta' persuni eminenti indipendenti, ser jiġi emendat biex jirreferi b’mod ċar għall-opinjoni dwar l-influwenzar tar-riżultat tal-elezzjonijiet tal-Parlament Ewropew.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 xml:space="preserve">Bażi ġdida għas-sanzjonijiet finanzjarji se tiġi miżjuda fl-Artikolu 27 fil-każ li l-opinjoni tal-kumitat ta’ persuni eminenti indipendenti tikkonkludi li partit politiku jew fondazzjoni politika jkunu influwenzaw b’mod intenzjonat, jew ippruvaw jinfluwenzaw, ir-riżultat tal-elezzjonijiet tal-Parlament Ewropew billi jieħdu vantaġġ minn ksur tar-regoli applikabbli dwar il-protezzjoni ta' </w:t>
      </w:r>
      <w:r>
        <w:rPr>
          <w:i/>
          <w:noProof/>
        </w:rPr>
        <w:t>data</w:t>
      </w:r>
      <w:r>
        <w:rPr>
          <w:noProof/>
        </w:rPr>
        <w:t xml:space="preserve"> personali.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 xml:space="preserve">Il-bażi l-ġdida ser tiġi miżjuda mal-lista ta’ ksur li ma jippermettux lil partit politiku jew il-fondazzjoni politika Ewropej milli japplikaw għal fondi mill-baġit ġenerali tal-Unjoni Ewropea fis-sena meta jiġu imposti s-sanzjonijiet. Dan se jsir permezz ta’ emenda tal-Artikolu 18.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Ladarba l-proċedura ta’ verifika tiġi attivata permezz ta’ deċiżjoni ta’ awtorità superviżorja kompetenti dwar il-protezzjoni tad-</w:t>
      </w:r>
      <w:r>
        <w:rPr>
          <w:i/>
          <w:noProof/>
        </w:rPr>
        <w:t>data</w:t>
      </w:r>
      <w:r>
        <w:rPr>
          <w:noProof/>
        </w:rPr>
        <w:t>, qiegħed jiġi propost li tkun tista’ ssir analiżi sħiħa tas-sanzjoni jekk id-deċiżjoni tal-awtorità superviżorja kompetenti dwar il-protezzjoni tad-</w:t>
      </w:r>
      <w:r>
        <w:rPr>
          <w:i/>
          <w:noProof/>
        </w:rPr>
        <w:t>data</w:t>
      </w:r>
      <w:r>
        <w:rPr>
          <w:noProof/>
        </w:rPr>
        <w:t xml:space="preserve"> tiġi revokata jew jekk ikun jista’ jingħata rimedju kontra tali deċiżjoni, billi jiġi miżjud paragrafu ġdid fl-Artikolu 27.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Fl-aħħar nett, sabiex l-Awtorità tkun tista’ topera b’mod indipendenti u effettiv, il-Kummissjoni qiegħda tipproponi li l-Awtorità tingħata persunal permanenti u li d-Direttur tal-Awtorità jingħata s-setgħat ta’ awtorità tal-ħatra, permezz ta’ emenda tal-paragrafu 5 tal-Artikolu 6.</w:t>
      </w:r>
    </w:p>
    <w:p>
      <w:pPr>
        <w:spacing w:before="0" w:after="200" w:line="276" w:lineRule="auto"/>
        <w:jc w:val="left"/>
        <w:rPr>
          <w:bCs/>
          <w:noProof/>
          <w:szCs w:val="24"/>
        </w:rPr>
      </w:pPr>
      <w:r>
        <w:rPr>
          <w:noProof/>
        </w:rPr>
        <w:br w:type="page"/>
      </w:r>
    </w:p>
    <w:p>
      <w:pPr>
        <w:spacing w:before="0" w:after="200" w:line="276" w:lineRule="auto"/>
        <w:jc w:val="left"/>
        <w:rPr>
          <w:bCs/>
          <w:noProof/>
          <w:szCs w:val="24"/>
        </w:rPr>
      </w:pPr>
    </w:p>
    <w:p>
      <w:pPr>
        <w:pStyle w:val="Rfrenceinterinstitutionnelle"/>
        <w:rPr>
          <w:noProof/>
        </w:rPr>
      </w:pPr>
      <w:r>
        <w:rPr>
          <w:noProof/>
        </w:rPr>
        <w:t>2018/0336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jemenda r-Regolament (UE, Euratom) Nru 1141/2014 rigward proċedura ta’ verifika relatata mal-ksur ta’ regoli dwar il-protezzjoni ta' </w:t>
      </w:r>
      <w:r>
        <w:rPr>
          <w:i/>
          <w:noProof/>
        </w:rPr>
        <w:t>data</w:t>
      </w:r>
      <w:r>
        <w:rPr>
          <w:noProof/>
        </w:rPr>
        <w:t xml:space="preserve"> personali fil-kuntest tal-elezzjonijiet tal-Parlament Ewropew</w:t>
      </w:r>
      <w:r>
        <w:rPr>
          <w:noProof/>
        </w:rPr>
        <w:br/>
      </w:r>
      <w:r>
        <w:rPr>
          <w:noProof/>
        </w:rPr>
        <w:br/>
      </w:r>
      <w:r>
        <w:rPr>
          <w:i/>
          <w:noProof/>
        </w:rPr>
        <w:t>Kontribut mill-Kummissjoni Ewropea għal-Laqgħa tal-Mexxejja f’Salzburg fid-19-20 ta’ Settembru 2018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224 tiegħu,</w:t>
      </w:r>
    </w:p>
    <w:p>
      <w:pPr>
        <w:rPr>
          <w:noProof/>
        </w:rPr>
      </w:pPr>
      <w:r>
        <w:rPr>
          <w:noProof/>
        </w:rPr>
        <w:t>Wara li kkunsidraw it-Trattat li jistabbilixxi l-Komunità Ewropea tal-Enerġija Atomika, u b’mod partikolari l-Artikolu 106a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, </w:t>
      </w:r>
    </w:p>
    <w:p>
      <w:pPr>
        <w:rPr>
          <w:i/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(UE, Euratom) Nru 1141/2014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stabbilixxa status legali Ewropew għall-partiti politiċi Ewropej u l-fondazzjonijiet politiċi Ewropej u jipprevedi l-finanzjament tagħhom mill-baġit ġenerali tal-Unjoni Ewropea, huwa jistabbilixxi wkoll Awtorità għall-partiti politiċi Ewropej u l-fondazzjonijiet politiċi Ewropej (“l-Awtorità”).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Sabiex l-Awtorità titpoġġa f’pożizzjoni li twettaq il-kompiti tagħha, fosthom dak previst f’dan ir-Regolament, u li tagħmel dan b’mod indipendenti, huwa meħtieġ li tingħata persunal permanenti u li d-Direttur tal-Awtorità jingħata s-setgħat ta’ awtorità tal-ħatra.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Avvenimenti riċenti ħarġu fid-dieher ir-riskji potenzjali għall-proċessi elettorali u għad-demokrazija li jistgħu jiġu kkważati mill-użu illegali ta’ data personali. Għaldaqstant huwa meħtieġ li l-integrità tal-proċess demokratiku Ewropew jiġi protett billi jiġu previsti sanzjonijiet finanzjarji f’sitwazzjonijiet fejn il-partiti politiċi Ewropej u l-fondazzjonijiet politiċi Ewropej jieħdu vantaġġ mill-ksur tar-regoli tal-protezzjoni tad-</w:t>
      </w:r>
      <w:r>
        <w:rPr>
          <w:i/>
          <w:noProof/>
        </w:rPr>
        <w:t>data</w:t>
      </w:r>
      <w:r>
        <w:rPr>
          <w:noProof/>
        </w:rPr>
        <w:t xml:space="preserve"> bil-għan li jinfluwenzaw ir-riżultat tal-elezzjonijiet tal-Parlament Ewropew.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Biex jintlaħaq dan il-għan, jenħtieġ li tiġi stabbilita proċedura ta’ verifika li permezz tagħha l-Awtorità trid, f'ċerti ċirkostanzi, titlob lill-kumitat ta’ persuni eminenti indipendenti jivvaluta jekk partit politiku Ewropew jew fondazzjoni politika Ewropea jkunux influwenzaw b’mod intenzjonat, jew ippruvaw jinfluwenzaw, ir-riżultat tal-elezzjonijiet tal-Parlament Ewropew billi jieħdu vantaġġ minn ksur tar-regoli applikabbli dwar il-protezzjoni ta' </w:t>
      </w:r>
      <w:r>
        <w:rPr>
          <w:i/>
          <w:noProof/>
        </w:rPr>
        <w:t>data</w:t>
      </w:r>
      <w:r>
        <w:rPr>
          <w:noProof/>
        </w:rPr>
        <w:t xml:space="preserve"> personali. Fejn il-kumitat jikkonkludi li dan ikun il-każ, jenħtieġ li l-Awtorità timponi sanzjonijiet konformi mas-sistema ta’ sanzjonijiet effettiva, proporzjonali u dissważiva stabbilita mir-Regolament (UE, Euratom) Nru 1141/2014. 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Il-proċedura l-ġdida għandha teżisti flimkien ma’ proċeduri attwali li jintużaw għall-verifika tal-konformità mal-kundizzjonijiet tar-reġistrazzjoni u f’każijiet ta’ ksur ċar u serju tal-valuri li fuqhom tissejjes l-Unjoni. Madankollu, il-limiti taż-żmien għall-verifika tal-konformità mal-kundizzjonijiet tar-reġistrazzjoni u r-rekwiżiti stipulati fl-Artikolu 10 tar-Regolament (UE, Euratom) Nru 1141/2014 ma japplikawx għall-proċedura l-ġdida.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Billi l-proċedura l-ġdida tiġi attivata permezz ta’ deċiżjoni ta’ awtorità superviżorja kompetenti dwar il-protezzjoni tad-</w:t>
      </w:r>
      <w:r>
        <w:rPr>
          <w:i/>
          <w:noProof/>
        </w:rPr>
        <w:t>data</w:t>
      </w:r>
      <w:r>
        <w:rPr>
          <w:noProof/>
        </w:rPr>
        <w:t xml:space="preserve">, jenħtieġ li jkun possibbli li l-partit politiku Ewropew jew il-fondazzjoni politika Ewropea kkonċernati jitolbu li s-sanzjoni tiġi rieżaminata jekk id-deċiżjoni tal-awtorità superviżorja tiġi revokata jew jekk ikun jista’ jingħata rimedju kontra tali deċiżjoni.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Sabiex jiġi żgurat li l-elezzjonijiet għall-Parlament Ewropew tal-2019 isiru skont regoli demokratiċi b’saħħithom u b’rispett sħiħ għall-valuri Ewropej tad-demokrazija, l-istat tad-dritt u r-rispett tad-drittijiet fundamentali huwa importanti li l-proċedura ta’ verifika li qiegħda tiġi proposta tidħol fis-seħħ b’mod f’waqtu u tkun applikabbli mill-aktar fis possibbli. Sabiex jinksibu l-emendi proposti għar-Regolament (UE, Euratom) Nru 1141/2014 introdotti minn dan ir-Regolament, jenħtieġ li dan jidħol fis-seħħ fil-jum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Għaldaqstant, ir-Regolament (UE, Euratom) Nru 1141/2014 jenħtieġ li jiġi emendat skont dan,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Ir-Regolament (UE, Euratom) Nru 1141/2014 qiegħed jiġi emendat kif ġej:</w:t>
      </w:r>
    </w:p>
    <w:p>
      <w:pPr>
        <w:rPr>
          <w:noProof/>
        </w:rPr>
      </w:pPr>
    </w:p>
    <w:p>
      <w:pPr>
        <w:pStyle w:val="Point0number"/>
        <w:numPr>
          <w:ilvl w:val="0"/>
          <w:numId w:val="16"/>
        </w:numPr>
        <w:rPr>
          <w:noProof/>
        </w:rPr>
      </w:pPr>
      <w:r>
        <w:rPr>
          <w:noProof/>
        </w:rPr>
        <w:t>L-Artikolu 6(5) jinbidel b’dan li ġej:</w:t>
      </w:r>
    </w:p>
    <w:p>
      <w:pPr>
        <w:pStyle w:val="Text1"/>
        <w:rPr>
          <w:noProof/>
        </w:rPr>
      </w:pPr>
      <w:r>
        <w:rPr>
          <w:noProof/>
        </w:rPr>
        <w:t>“Id-Direttur tal-Awtorità għandu jiġi assistit minn persunal, li fir-rigward tiegħu huwa jeżerċita s-setgħat mogħtija lilu mir-Regolamenti tal-Persunal dwar l-awtorità tal-ħatra u mill-Kundizzjonijiet tal-Impjieg applikabbli għall-Aġenti l-Oħra fuq l-awtorità bis-setgħa li tikkonkludi l-kuntratti tax-xogħol (“is-setgħat tal-awtorità tal-ħatra”).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Fi kwalunkwe qasam tax-xogħol tagħha l-Awtorità tista’ tuża esperti nazzjonali sekondati jew persunal ieħor impjegat mill-Awtorità.</w:t>
      </w:r>
    </w:p>
    <w:p>
      <w:pPr>
        <w:pStyle w:val="Text1"/>
        <w:rPr>
          <w:noProof/>
        </w:rPr>
      </w:pPr>
      <w:r>
        <w:rPr>
          <w:noProof/>
        </w:rPr>
        <w:t>Ir-Regolamenti tal-Persunal għall-Uffiċjali u l-Kundizzjonijiet tal-Impjieg Applikabbli għall-Aġenti l-Oħra u r-regoli adottati bi ftehim bejn l-istituzzjonijiet tal-Unjoni għad-dħul fis-seħħ ta’ dawk ir-Regolamenti tal-Persunal għall-Uffiċjali u l-Kundizzjonijiet tal-Impjieg Applikabbli għall-Aġenti l-Oħra għandhom japplikaw għall-persunal tal-Awtorità.”</w:t>
      </w:r>
    </w:p>
    <w:p>
      <w:pPr>
        <w:pStyle w:val="Point0number"/>
        <w:rPr>
          <w:noProof/>
        </w:rPr>
      </w:pPr>
      <w:r>
        <w:rPr>
          <w:noProof/>
        </w:rPr>
        <w:t>Fl-Artikolu 10(3) tiddaħħal is-sentenza li ġejja fi tmiem it-tielet subparagrafu:</w:t>
      </w:r>
    </w:p>
    <w:p>
      <w:pPr>
        <w:pStyle w:val="Text1"/>
        <w:rPr>
          <w:noProof/>
        </w:rPr>
      </w:pPr>
      <w:r>
        <w:rPr>
          <w:noProof/>
        </w:rPr>
        <w:t>“Il-limitu ta’ żmien ma għandux japplika fir-rigward tal-proċedura stipulata fl-Artikolu 10a.”;</w:t>
      </w:r>
    </w:p>
    <w:p>
      <w:pPr>
        <w:pStyle w:val="Point0number"/>
        <w:rPr>
          <w:noProof/>
        </w:rPr>
      </w:pPr>
      <w:r>
        <w:rPr>
          <w:noProof/>
        </w:rPr>
        <w:t>jiddaħħal l-Artikolu 10a li ġej:</w:t>
      </w:r>
    </w:p>
    <w:p>
      <w:pPr>
        <w:jc w:val="center"/>
        <w:rPr>
          <w:noProof/>
        </w:rPr>
      </w:pPr>
      <w:r>
        <w:rPr>
          <w:noProof/>
        </w:rPr>
        <w:t>“Artikolu 10a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 xml:space="preserve">Proċedura ta’ verifika relatata ma’ ksur ta’ regoli dwar il-protezzjoni ta' </w:t>
      </w:r>
      <w:r>
        <w:rPr>
          <w:b/>
          <w:i/>
          <w:noProof/>
        </w:rPr>
        <w:t>data</w:t>
      </w:r>
      <w:r>
        <w:rPr>
          <w:b/>
          <w:noProof/>
        </w:rPr>
        <w:t xml:space="preserve"> personali </w:t>
      </w:r>
    </w:p>
    <w:p>
      <w:pPr>
        <w:ind w:left="720"/>
        <w:rPr>
          <w:noProof/>
        </w:rPr>
      </w:pPr>
      <w:r>
        <w:rPr>
          <w:noProof/>
        </w:rPr>
        <w:t>Jekk l-Awtorità ssir taf b’deċiżjoni ta’ awtorità superviżorja skont it-tifsira tal-punt 21 tal-Artikolu 4 tar-Regolament (UE) 2016/679 tal-Parlament u tal-Kunsill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li tikkonkludi li persuna fiżika jew ġuridika tkun kisret regoli applikabbli dwar il-protezzjoni ta' </w:t>
      </w:r>
      <w:r>
        <w:rPr>
          <w:i/>
          <w:noProof/>
        </w:rPr>
        <w:t>data</w:t>
      </w:r>
      <w:r>
        <w:rPr>
          <w:noProof/>
        </w:rPr>
        <w:t xml:space="preserve"> personali u jekk minn dik id-deċiżjoni jirriżulta, jew inkella fejn ikun hemm bażi raġonevoli biex tintlaħaq il-konklużjoni, li l-ksur ikun marbut mal-attivitajiet politiċi ta’ partit politiku Ewropew jew ta’ fondazzjoni politika Ewropea fil-kuntest tal-elezzjonijiet tal-Parlament Ewropew, l-Awtorità għandha tirreferi l-kwistjoni lill-kumitat ta’ persuni eminenti indipendenti stabbilit mill-Artikolu 11. Il-kumitat għandu jagħti opinjoni dwar jekk il-partit politiku Ewropew jew il-fondazzjoni politika Ewropea inkwistjoni jkunux influwenzaw b’mod intenzjonat, jew ippruvaw jinfluwenzaw, ir-riżultat tal-elezzjonijiet tal-Parlament Ewropew billi jieħdu vantaġġ minn dak il-ksur. L-Awtorità għandha titlob l-opinjoni mingħajr telf ta’ żmien u mhux aktar tard minn xahar (1) wara d-deċiżjoni tal-awtorità superviżorja. Il-kumitat għandu jagħti l-opinjoni tiegħu fi żmien qasir u raġonevoli li jiġi stabbilit mill-Awtorità.</w:t>
      </w:r>
    </w:p>
    <w:p>
      <w:pPr>
        <w:ind w:left="720"/>
        <w:rPr>
          <w:noProof/>
        </w:rPr>
      </w:pPr>
      <w:r>
        <w:rPr>
          <w:noProof/>
        </w:rPr>
        <w:t>Il-proċedura stipulata f'dan l-Artikolu hi bla ħsara għall-proċedura stipulata fl-Artikolu 10.”;</w:t>
      </w:r>
    </w:p>
    <w:p>
      <w:pPr>
        <w:pStyle w:val="Point0number"/>
        <w:rPr>
          <w:noProof/>
        </w:rPr>
      </w:pPr>
      <w:r>
        <w:rPr>
          <w:noProof/>
        </w:rPr>
        <w:t>fl-Artikolu 11(3), it-tieni sentenza tal-ewwel subparagrafu tinbidel b'dan li ġej:</w:t>
      </w:r>
    </w:p>
    <w:p>
      <w:pPr>
        <w:ind w:left="720"/>
        <w:rPr>
          <w:noProof/>
        </w:rPr>
      </w:pPr>
      <w:r>
        <w:rPr>
          <w:noProof/>
        </w:rPr>
        <w:t xml:space="preserve">“Meta jintalab mill-Awtorità, il-kumitat għandu jagħti opinjoni dwar jekk partit politiku Ewropew jew fondazzjoni politika Ewropea jkunux influwenzaw b’mod intenzjonat, jew ippruvaw jinfluwenzaw, ir-riżultat tal-elezzjonijiet tal-Parlament Ewropew billi jkunu ħadu vantaġġ minn ksur tar-regoli applikabbli dwar il-protezzjoni ta' </w:t>
      </w:r>
      <w:r>
        <w:rPr>
          <w:i/>
          <w:noProof/>
        </w:rPr>
        <w:t>data</w:t>
      </w:r>
      <w:r>
        <w:rPr>
          <w:noProof/>
        </w:rPr>
        <w:t xml:space="preserve"> personali. Fiż-żewġ każi l-kumitat jista’ jitlob kwalunkwe dokument u prova rilevanti mingħand l-Awtorità, il-Parlament Ewropew, il-partit politiku Ewropew jew il-fondazzjoni politika Ewropea kkonċernati, partiti politiċi jew fondazzjonijiet politiċi oħrajn jew partijiet ikkonċernati oħrajn, u tista’ titlob li tisma’ r-rappreżentanti tagħhom. Fil-każ ta’ opinjonijiet dwar jekk partit politiku Ewropew jew fondazzjoni politika Ewropea jkunux influwenzaw b’mod intenzjonat, jew ippruvaw jinfluwenzaw, ir-riżultat tal-elezzjonijiet tal-Parlament Ewropew billi jkunu ħadu vantaġġ minn ksur tar-regoli applikabbli dwar il-protezzjoni ta' </w:t>
      </w:r>
      <w:r>
        <w:rPr>
          <w:i/>
          <w:noProof/>
        </w:rPr>
        <w:t>data</w:t>
      </w:r>
      <w:r>
        <w:rPr>
          <w:noProof/>
        </w:rPr>
        <w:t xml:space="preserve"> personali, l-awtoritajiet superviżorji msemmija fl-Artikolu 10(a) għandhom jikkoperaw mal-kumitat f’konformità mal-liġi applikabbli.”</w:t>
      </w:r>
    </w:p>
    <w:p>
      <w:pPr>
        <w:pStyle w:val="Point0number"/>
        <w:rPr>
          <w:noProof/>
        </w:rPr>
      </w:pPr>
      <w:r>
        <w:rPr>
          <w:noProof/>
        </w:rPr>
        <w:t>fl-Artikolu 18(2), il-kelmiet “u fil-punt (a) (v) u (vi) tal-Artikolu 27(2)” jinbidlu bil-kelmiet “u fil-punt (a) (v), (vi) u (vii) tal-Artikolu 27(2)”;</w:t>
      </w:r>
    </w:p>
    <w:p>
      <w:pPr>
        <w:pStyle w:val="Point0number"/>
        <w:rPr>
          <w:noProof/>
        </w:rPr>
      </w:pPr>
      <w:r>
        <w:rPr>
          <w:noProof/>
        </w:rPr>
        <w:t>L-Artikolu 27 jiġi emendat kif ġej:</w:t>
      </w:r>
    </w:p>
    <w:p>
      <w:pPr>
        <w:pStyle w:val="Point0letter"/>
        <w:rPr>
          <w:noProof/>
        </w:rPr>
      </w:pPr>
      <w:r>
        <w:rPr>
          <w:noProof/>
        </w:rPr>
        <w:t>fil-punt (a) tal-paragrafu (2), jiddaħħal il-punt (vii) li ġej:</w:t>
      </w:r>
    </w:p>
    <w:p>
      <w:pPr>
        <w:ind w:left="720"/>
        <w:rPr>
          <w:noProof/>
        </w:rPr>
      </w:pPr>
      <w:r>
        <w:rPr>
          <w:noProof/>
        </w:rPr>
        <w:t xml:space="preserve">“(vii) fejn, f’konformità mal-Artikolu 10a, il-kumitat jagħti opinjoni li tikkonkludi li partit politiku Ewropew jew fondazzjoni politika Ewropea jkunu influwenzaw b’mod intenzjonat, jew ippruvaw jinfluwenzaw, ir-riżultat tal-elezzjonijiet tal-Parlament Ewropew billi jkunu ħadu vantaġġ minn ksur tar-regoli applikabbli dwar il-protezzjoni ta' </w:t>
      </w:r>
      <w:r>
        <w:rPr>
          <w:i/>
          <w:noProof/>
        </w:rPr>
        <w:t>data</w:t>
      </w:r>
      <w:r>
        <w:rPr>
          <w:noProof/>
        </w:rPr>
        <w:t xml:space="preserve"> personali.”;</w:t>
      </w:r>
    </w:p>
    <w:p>
      <w:pPr>
        <w:pStyle w:val="Point0letter"/>
        <w:rPr>
          <w:noProof/>
        </w:rPr>
      </w:pPr>
      <w:r>
        <w:rPr>
          <w:noProof/>
        </w:rPr>
        <w:t>jiddaħħal il-paragrafu 7 li ġej:</w:t>
      </w:r>
    </w:p>
    <w:p>
      <w:pPr>
        <w:ind w:left="720"/>
        <w:rPr>
          <w:noProof/>
        </w:rPr>
      </w:pPr>
      <w:r>
        <w:rPr>
          <w:noProof/>
        </w:rPr>
        <w:t>"7. Fejn deċiżjoni ta’ awtorità superviżorja msemmija fl-Artikolu 10a tkun ġiet revokata jew fejn ikun ingħata rimedju kontra tali deċiżjoni, l-Awtorità għandha twettaq rieżami ta’ kwalunkwe sanzjoni li tkun ġiet imposta skont il-punt (a)(vii) tal-paragrafu 2 fuq talba tal-partit politiku Ewropew jew il-fondazzjoni politika Ewropea kkonċernati.”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i/>
          <w:noProof/>
        </w:rPr>
      </w:pPr>
      <w:r>
        <w:rPr>
          <w:noProof/>
        </w:rPr>
        <w:t>Dan ir-Regolament għandu jidħol fis-seħħ fil-jum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għandu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 w:code="9"/>
          <w:pgMar w:top="794" w:right="907" w:bottom="851" w:left="1361" w:header="510" w:footer="454" w:gutter="0"/>
          <w:pgNumType w:start="1"/>
          <w:cols w:space="720"/>
          <w:docGrid w:linePitch="326"/>
        </w:sectPr>
      </w:pPr>
    </w:p>
    <w:p>
      <w:pPr>
        <w:pStyle w:val="Fichefinanciretitre"/>
        <w:rPr>
          <w:noProof/>
        </w:rPr>
      </w:pPr>
      <w:bookmarkStart w:id="1" w:name="_Toc514938659"/>
      <w:bookmarkStart w:id="2" w:name="_Toc524270782"/>
      <w:r>
        <w:rPr>
          <w:noProof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kkonċernat(i) fl-istruttura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Objettiv(i)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għall-proposta/għall-inizjattiva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Durata u 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ta’ monitoraġġ u rappurtar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ta' ġestjoni u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ta’ frodi u ta’ 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l-linja/i baġitarja tan-nefqa affettwata/i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Impatt stmat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Impatt stmat fuq l-approprjazzjonijiet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Impatt stmat fuq id-dħul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bCs/>
          <w:noProof/>
          <w:szCs w:val="24"/>
        </w:rPr>
      </w:pPr>
      <w:r>
        <w:t>1.</w:t>
      </w:r>
      <w:r>
        <w:tab/>
      </w:r>
      <w:r>
        <w:rPr>
          <w:noProof/>
        </w:rPr>
        <w:t>QAFAS TAL-PROPOSTA/TAL-INIZJATTIVA</w:t>
      </w:r>
      <w:bookmarkEnd w:id="1"/>
      <w:bookmarkEnd w:id="2"/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bookmarkStart w:id="3" w:name="_Toc514938660"/>
      <w:bookmarkStart w:id="4" w:name="_Toc524270783"/>
      <w:r>
        <w:t>1.1.</w:t>
      </w:r>
      <w:r>
        <w:tab/>
      </w:r>
      <w:r>
        <w:rPr>
          <w:noProof/>
        </w:rPr>
        <w:t>Titolu tal-proposta/tal-inizjattiva</w:t>
      </w:r>
      <w:bookmarkEnd w:id="3"/>
      <w:bookmarkEnd w:id="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TAL-PARLAMENT EWROPEW U TAL-KUNSILL li jemenda r-Regolament (UE, Euratom) Nru 1141/2014 fir-rigward tal-proċedura ta’ verifika relatata mal-ksur ta’ regoli dwar il-protezzjoni ta’ data personali fil-kuntest tal-elezzjonijiet tal-Parlament Ewropew</w:t>
      </w:r>
    </w:p>
    <w:p>
      <w:pPr>
        <w:pStyle w:val="ManualHeading2"/>
        <w:rPr>
          <w:bCs/>
          <w:noProof/>
          <w:szCs w:val="24"/>
        </w:rPr>
      </w:pPr>
      <w:bookmarkStart w:id="5" w:name="_Toc514938661"/>
      <w:bookmarkStart w:id="6" w:name="_Toc524270784"/>
      <w:r>
        <w:t>1.2.</w:t>
      </w:r>
      <w:r>
        <w:tab/>
      </w:r>
      <w:r>
        <w:rPr>
          <w:noProof/>
        </w:rPr>
        <w:t>Qasam/oqsma ta’ politika ikkonċernat(i)</w:t>
      </w:r>
      <w:bookmarkEnd w:id="5"/>
      <w:bookmarkEnd w:id="6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Drittijiet fundamentali</w:t>
      </w:r>
    </w:p>
    <w:p>
      <w:pPr>
        <w:pStyle w:val="ManualHeading2"/>
        <w:rPr>
          <w:bCs/>
          <w:noProof/>
          <w:szCs w:val="24"/>
        </w:rPr>
      </w:pPr>
      <w:bookmarkStart w:id="7" w:name="_Toc514938662"/>
      <w:bookmarkStart w:id="8" w:name="_Toc524270785"/>
      <w:r>
        <w:t>1.3.</w:t>
      </w:r>
      <w:r>
        <w:tab/>
      </w:r>
      <w:r>
        <w:rPr>
          <w:noProof/>
        </w:rPr>
        <w:t>Il-proposta tirrigwarda</w:t>
      </w:r>
      <w:bookmarkEnd w:id="7"/>
      <w:bookmarkEnd w:id="8"/>
      <w:r>
        <w:rPr>
          <w:noProof/>
        </w:rPr>
        <w:t xml:space="preserve"> </w:t>
      </w:r>
    </w:p>
    <w:p>
      <w:pPr>
        <w:pStyle w:val="Text1"/>
        <w:rPr>
          <w:b/>
          <w:noProof/>
        </w:rPr>
      </w:pPr>
      <w:r>
        <w:rPr>
          <w:noProof/>
        </w:rPr>
        <w:sym w:font="Wingdings" w:char="F0A8"/>
      </w:r>
      <w:r>
        <w:rPr>
          <w:b/>
          <w:noProof/>
        </w:rPr>
        <w:t xml:space="preserve">azzjoni ġdida </w:t>
      </w:r>
    </w:p>
    <w:p>
      <w:pPr>
        <w:pStyle w:val="Text1"/>
        <w:rPr>
          <w:noProof/>
          <w:sz w:val="22"/>
        </w:rPr>
      </w:pPr>
      <w:r>
        <w:rPr>
          <w:noProof/>
        </w:rPr>
        <w:sym w:font="Wingdings" w:char="F0A8"/>
      </w:r>
      <w:r>
        <w:rPr>
          <w:b/>
          <w:noProof/>
        </w:rPr>
        <w:t>azzjoni ġdida wara proġett pilota/azzjoni preparatorja</w:t>
      </w:r>
      <w:r>
        <w:rPr>
          <w:rStyle w:val="FootnoteReference"/>
          <w:b/>
          <w:noProof/>
        </w:rPr>
        <w:footnoteReference w:id="19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 xml:space="preserve">X l-estensjoni ta’ azzjoni eżistenti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noProof/>
        </w:rPr>
        <w:t>l-integrazzjoni ta’ azzjoni waħda jew aktar f’azzjoni oħra/ġdida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bookmarkStart w:id="9" w:name="_Toc514938663"/>
      <w:bookmarkStart w:id="10" w:name="_Toc524270786"/>
      <w:r>
        <w:t>1.4.</w:t>
      </w:r>
      <w:r>
        <w:tab/>
      </w:r>
      <w:r>
        <w:rPr>
          <w:noProof/>
        </w:rPr>
        <w:t>Objettiv(i)</w:t>
      </w:r>
      <w:bookmarkEnd w:id="9"/>
      <w:bookmarkEnd w:id="10"/>
    </w:p>
    <w:p>
      <w:pPr>
        <w:pStyle w:val="ManualHeading3"/>
        <w:rPr>
          <w:bCs/>
          <w:noProof/>
          <w:szCs w:val="24"/>
        </w:rPr>
      </w:pPr>
      <w:bookmarkStart w:id="11" w:name="_Toc514938664"/>
      <w:bookmarkStart w:id="12" w:name="_Toc524270787"/>
      <w:r>
        <w:t>1.4.1.</w:t>
      </w:r>
      <w:r>
        <w:tab/>
      </w:r>
      <w:r>
        <w:rPr>
          <w:noProof/>
        </w:rPr>
        <w:t>Objettiv(i) ġenerali</w:t>
      </w:r>
      <w:bookmarkEnd w:id="11"/>
      <w:bookmarkEnd w:id="12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Avvenimenti riċenti ħarġu fid-dieher ir-riskji potenzjali għall-proċessi elettorali u għad-demokrazija li jistgħu jiġu kkważati mill-użu illegali ta’ data personali. Għaldaqstant huwa meħtieġ li l-integrità tal-proċess demokratiku Ewropew jiġi protett billi jiġu previsti sanzjonijiet finanzjarji f’sitwazzjonijiet fejn il-partiti politiċi Ewropej u l-fondazzjonijiet politiċi Ewropej jieħdu vantaġġ mill-ksur tar-regoli tal-protezzjoni tad-</w:t>
      </w:r>
      <w:r>
        <w:rPr>
          <w:i/>
          <w:noProof/>
        </w:rPr>
        <w:t>data</w:t>
      </w:r>
      <w:r>
        <w:rPr>
          <w:noProof/>
        </w:rPr>
        <w:t xml:space="preserve"> bil-għan li jinfluwenzaw ir-riżultat tal-elezzjonijiet tal-Parlament Ewropew.</w:t>
      </w:r>
    </w:p>
    <w:p>
      <w:pPr>
        <w:pStyle w:val="ManualHeading3"/>
        <w:rPr>
          <w:bCs/>
          <w:noProof/>
          <w:szCs w:val="24"/>
        </w:rPr>
      </w:pPr>
      <w:bookmarkStart w:id="13" w:name="_Toc514938665"/>
      <w:bookmarkStart w:id="14" w:name="_Toc524270788"/>
      <w:r>
        <w:t>1.4.2.</w:t>
      </w:r>
      <w:r>
        <w:tab/>
      </w:r>
      <w:r>
        <w:rPr>
          <w:noProof/>
        </w:rPr>
        <w:t>Objettiv(i) speċifiċi</w:t>
      </w:r>
      <w:bookmarkEnd w:id="13"/>
      <w:bookmarkEnd w:id="14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Jenħtieġ li tiġi stabbilita proċedura ta’ verifika li permezz tagħha l-Awtorità stabbilita mill-Artikolu 6 tar-Regolament (UE, Euratom) Nru 1141/2014 (“l-Awtorità”) trid, f’ċerti ċirkostanzi, titlob lil kumitat ta’ persuni eminenti indipendenti jivvaluta jekk partit politiku Ewropew jew fondazzjoni politika Ewropea ikunux influwenzaw b’mod intenzjonat, jew ippruvaw jinfluwenzaw, ir-riżultat tal-elezzjonijiet tal-Parlament Ewropew billi jkunu ħadu vantaġġ minn ksur tar-regoli applikabbli tal-protezzjoni tad-data personali. Fejn il-kumitat jikkonkludi li dan ikun il-każ, jenħtieġ li l-Awtorità timponi sanzjonijiet f’konformità mas-sistema ta’ sanzjonijiet effettivi, proporzjonali u dissważivi stabbilita mir-Regolament (UE, Euratom) Nru 1141/2014.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</w:rPr>
        <w:t xml:space="preserve">Huwa meħtieġ li l-Awtorità jkollha biżżejjed riżorsi biex twettaq il-kompiti tagħha bis-sħiħ, kemm dawk previsti fir-Regolament (UE, Euratom) Nru 1141/2014 eżistenti kif ukoll dawk ġodda previsti bil-proposta emendatorja attwali. Dan jirrekjedi persunal stabbli u t-tisħiħ tar-riżorsi umani li huma provduti bħalissa lill-Awtorità. </w:t>
      </w:r>
    </w:p>
    <w:p>
      <w:pPr>
        <w:pStyle w:val="ManualHeading3"/>
        <w:rPr>
          <w:noProof/>
          <w:szCs w:val="24"/>
        </w:rPr>
      </w:pPr>
      <w:bookmarkStart w:id="15" w:name="_Toc524270789"/>
      <w:bookmarkStart w:id="16" w:name="_Toc514938666"/>
      <w:r>
        <w:t>1.4.3.</w:t>
      </w:r>
      <w:r>
        <w:tab/>
      </w:r>
      <w:r>
        <w:rPr>
          <w:noProof/>
        </w:rPr>
        <w:t>Riżultat(i) mistenni(ja) u impatt</w:t>
      </w:r>
      <w:bookmarkEnd w:id="15"/>
      <w:bookmarkEnd w:id="16"/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l-proposta/l-inizjattiva jenħtieġ li jkollha fuq il-benefiċjarji/il-gruppi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Il-proposta għandha l-għan li tipprevjeni lill-partiti u lill-fondazzjonijiet politiċi Ewropej milli jużaw ir-riżultati ta’ ksur tar-regoli tal-protezzjoni tad-</w:t>
      </w:r>
      <w:r>
        <w:rPr>
          <w:i/>
          <w:noProof/>
        </w:rPr>
        <w:t>data</w:t>
      </w:r>
      <w:r>
        <w:rPr>
          <w:noProof/>
        </w:rPr>
        <w:t xml:space="preserve"> bil-għan li jinfluwenzaw b’mod intenzjonat ir-riżultat tal-elezzjonijiet tal-Parlament Ewropew billi din tipprovdi sanzjonijiet finanzjarji għal kull imġiba mhux xierqa. </w:t>
      </w:r>
    </w:p>
    <w:p>
      <w:pPr>
        <w:pStyle w:val="ManualHeading3"/>
        <w:rPr>
          <w:bCs/>
          <w:noProof/>
          <w:szCs w:val="24"/>
        </w:rPr>
      </w:pPr>
      <w:bookmarkStart w:id="17" w:name="_Toc514938667"/>
      <w:bookmarkStart w:id="18" w:name="_Toc524270790"/>
      <w:r>
        <w:t>1.4.4.</w:t>
      </w:r>
      <w:r>
        <w:tab/>
      </w:r>
      <w:r>
        <w:rPr>
          <w:noProof/>
        </w:rPr>
        <w:t>Indikaturi tal-prestazzjoni</w:t>
      </w:r>
      <w:bookmarkEnd w:id="17"/>
      <w:bookmarkEnd w:id="18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tal-progress u tal-kisbiet.</w:t>
      </w:r>
    </w:p>
    <w:p>
      <w:pPr>
        <w:pStyle w:val="Tex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noProof/>
        </w:rPr>
      </w:pPr>
      <w:r>
        <w:rPr>
          <w:noProof/>
        </w:rPr>
        <w:t>Is-sanzjonijiet iridu jiġu imposti f'ħin f'waqtu fuq kwalunkwe partit politiku Ewropew jew fondazzjoni politika Ewoprea li jkunu ħadu vantaġġ minn ksur tar-regoli tad-protezzjoni tad-</w:t>
      </w:r>
      <w:r>
        <w:rPr>
          <w:i/>
          <w:noProof/>
        </w:rPr>
        <w:t>data</w:t>
      </w:r>
      <w:r>
        <w:rPr>
          <w:noProof/>
        </w:rPr>
        <w:t xml:space="preserve"> bil-għan li jinfuwenzaw b’mod intenzjonat ir-riżultat tal-elezzjonijiet tal-Parlament Ewropew.</w:t>
      </w:r>
    </w:p>
    <w:p>
      <w:pPr>
        <w:pStyle w:val="ManualHeading2"/>
        <w:rPr>
          <w:bCs/>
          <w:noProof/>
          <w:szCs w:val="24"/>
        </w:rPr>
      </w:pPr>
      <w:bookmarkStart w:id="19" w:name="_Toc514938668"/>
      <w:bookmarkStart w:id="20" w:name="_Toc524270791"/>
      <w:r>
        <w:t>1.5.</w:t>
      </w:r>
      <w:r>
        <w:tab/>
      </w:r>
      <w:r>
        <w:rPr>
          <w:noProof/>
        </w:rPr>
        <w:t>Raġunijiet għall-proposta/għall-inizjattiva</w:t>
      </w:r>
      <w:bookmarkEnd w:id="19"/>
      <w:bookmarkEnd w:id="20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21" w:name="_Toc514938669"/>
      <w:bookmarkStart w:id="22" w:name="_Toc524270792"/>
      <w:r>
        <w:t>1.5.1.</w:t>
      </w:r>
      <w:r>
        <w:tab/>
      </w:r>
      <w:r>
        <w:rPr>
          <w:noProof/>
        </w:rPr>
        <w:t>Rekwiżit(i) li għandu/għandhom jintlaħaq/jintlaħqu f’terminu ta’ żmien qasir jew twil fosthom skeda ta’ żmien għall-introduzzjoni tal-inizjattiva</w:t>
      </w:r>
      <w:bookmarkEnd w:id="21"/>
      <w:bookmarkEnd w:id="2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Is-sistema ta’ sanzjonijiet imsemmija hawn fuq jenħtieġ li tkun fis-seħħ sew qabel l-elezzjonijiet tal-Parlament Ewropew fl-2019 sabiex tiskoraġġixxi l-azzjonijiet mhux xierqa li ġew deskritti. Sabiex din tkun operattiva, u sabiex jiġi żgurat li l-Awtorità tkun mgħammra b’mod effettiv biex twettaq il-kompiti kollha tagħha, għandhom jingħataw riżorsi umani addizzjonali hekk kif dan ikun jista’ jsir, l-ewwel permezz tar-riallokazzjoni ta’ riżorsi li jwettqu dawk il-kompiti qabel it-twaqqif tal-Awtorità.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Sabiex il-ħidma tagħha tiġi ssimplifikata u ssir b’indipendenza akbar, is-segħat tal-awtorità tal-ħatra f’konformità mar-Regolament tal-Persunal tal-Uffiċjali u l-Kundizzjonijiet ta' Impjieg ta' Uffiċjali Oħra [ir-Regolament (KEE, Euratom, KEFA) Nru 259/68 tal-Kunsill tad-29 ta’ Frar 1968 li jistabbilixxi r-Regolamenti tal-Persunal tal-Uffiċjali u l-Kundizzjonijiet ta' Impjieg ta' Uffiċjali oħra tal-Komunitajiet Ewropej u li jistabbilixxi miżuri temporanji applikabbli għall-Uffiċjali tal-Kummissjoni (ĠU L 56, 4.3.1968, p. 1)] għandhom jiġu delegati lid-Direttur tal-Awtorità.  </w:t>
      </w:r>
    </w:p>
    <w:p>
      <w:pPr>
        <w:pStyle w:val="ManualHeading3"/>
        <w:rPr>
          <w:bCs/>
          <w:noProof/>
          <w:szCs w:val="24"/>
        </w:rPr>
      </w:pPr>
      <w:bookmarkStart w:id="23" w:name="_Toc514938670"/>
      <w:bookmarkStart w:id="24" w:name="_Toc524270793"/>
      <w:r>
        <w:t>1.5.2.</w:t>
      </w:r>
      <w:r>
        <w:tab/>
      </w:r>
      <w:r>
        <w:rPr>
          <w:noProof/>
        </w:rPr>
        <w:t>Valur miżjud tal-involviment tal-Unjoni (jista’ jirriżulta minn fatturi differenti, eż. gwadann mill-koordinazzjoni, ċertezza legali, aktar effettività jew kumplimentaritajiet). Għall-finijiet ta’ dan il-punt “il-valur miżjud tal-involviment tal-Unjoni” huwa l-valur li jirriżulta mill-intervent tal-Unjoni li jkun addizzjonali għall-valur li kieku jinkiseb mill-Istati Membri għal rashom.</w:t>
      </w:r>
      <w:bookmarkEnd w:id="23"/>
      <w:bookmarkEnd w:id="2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Din il-proposta tikkonċerna s-sistema għall-partiti politiċi Ewropej u l-fondazzjonijiet politiċi Ewropej stabbiliti fil-livell Ewropew. Skont Ir-Regolament (UE, Euratom) Nru 1141/2014, dawn huma korpi b’personalità ġuridika Ewropea. L-Awtorità wkoll hija korp b’personalità ġuridika skont id-dritt Ewropew. Għaldaqstant il-ħidma fuq l-objettivi deskritti aktar ’il fuq tista’ ssir biss permezz ta’ azzjoni fil-livell Ewropew.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Il-proposta se tkun laħqet il-miri tagħha jekk (a) is-sistema ta’ sanzjonijiet proposta tiskoraġġixxi l-partiti u l-fondazzjonijiet politiċi Ewropej milli jużaw b’mod mhux xieraq ir-riżultati tal-ksur tar-regoli dwar il-protezzjoni ta’ data personali jew (b) kull tali azzjoni li sseħħ tiġi sanzjonata.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Jenħtieġ li l-Awtorità tkun f’pożizzjoni li twettaq il-kompiti kollha tagħha, b’mod partikolari fit-tħejjija u wara l-perjodu elettorali Ewropew tal-2019. </w:t>
      </w:r>
    </w:p>
    <w:p>
      <w:pPr>
        <w:pStyle w:val="ManualHeading3"/>
        <w:rPr>
          <w:noProof/>
        </w:rPr>
      </w:pPr>
      <w:bookmarkStart w:id="25" w:name="_Toc514938671"/>
      <w:bookmarkStart w:id="26" w:name="_Toc524270794"/>
      <w:r>
        <w:t>1.5.3.</w:t>
      </w:r>
      <w:r>
        <w:tab/>
      </w:r>
      <w:r>
        <w:rPr>
          <w:noProof/>
        </w:rPr>
        <w:t>Tagħlimiet meħuda minn esperjenzi simili fl-imgħoddi</w:t>
      </w:r>
      <w:bookmarkEnd w:id="25"/>
      <w:bookmarkEnd w:id="26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L-ewwel rapport annwali tal-Awtorità għall-2017 jiddikjara li “L-APPF [l-Awtorità] bħalissa tinkludi żewġ impjegati full-time u d-Direttur. B’mod aktar preċiż, f'Novembru tal-2016 il-Parlament Ewropew issekonda assistent amministrattiv biex jgħin lid-Direttur fit-twaqqif tal-APPF u l-proċess ta’ reġistrazzjoni tal-partiti u l-fondazzjonijiet Ewropej. F'Ġunju tal-2017, konsulent legali ngħaqad mal-APPF biex jagħti pariri dwar kwistjonijiet proċedurali, sostantivi u finanzjarji. F’dan l-istadju, il-persunal kollu tal-APPF huwa pprovdut mill-Parlament Ewropew. L-għadd ta’ persunal ta’ bħalissa mhuwiex biżżejjed sabiex l-APPF tkun tista’ twettaq il-kompiti mogħtija lilha mir-Regolament (UE, Euratom) Nru 1141/2014. Barra minn hekk, in-nuqqas ta’ persunal jista’ wkoll jaffettwa l-indipendenza u l-kontinwità tal-operat tal-APPF.” </w:t>
      </w:r>
    </w:p>
    <w:p>
      <w:pPr>
        <w:pStyle w:val="ManualHeading3"/>
        <w:rPr>
          <w:noProof/>
        </w:rPr>
      </w:pPr>
      <w:bookmarkStart w:id="27" w:name="_Toc514938672"/>
      <w:bookmarkStart w:id="28" w:name="_Toc524270795"/>
      <w:r>
        <w:t>1.5.4.</w:t>
      </w:r>
      <w:r>
        <w:tab/>
      </w:r>
      <w:r>
        <w:rPr>
          <w:noProof/>
        </w:rPr>
        <w:t>Kumpatibbiltà mal-Qafas Finanzjarju Pluriennali u sinerġiji possibbli ma’ strumenti xierqa oħra</w:t>
      </w:r>
      <w:bookmarkEnd w:id="27"/>
      <w:bookmarkEnd w:id="28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Din il-proposta ma timplika l-ebda bidla fil-limitu massimu tan-nefqa amministrattiva tal-istituzzjonijiet tal-Unjoni prevista fil-Qafas Finanzjarju Pluriennali.  </w:t>
      </w:r>
    </w:p>
    <w:p>
      <w:pPr>
        <w:pStyle w:val="ManualHeading3"/>
        <w:rPr>
          <w:noProof/>
        </w:rPr>
      </w:pPr>
      <w:bookmarkStart w:id="29" w:name="_Toc514938673"/>
      <w:bookmarkStart w:id="30" w:name="_Toc524270796"/>
      <w:r>
        <w:t>1.5.5.</w:t>
      </w:r>
      <w:r>
        <w:tab/>
      </w:r>
      <w:r>
        <w:rPr>
          <w:noProof/>
        </w:rPr>
        <w:t>Valutazzjoni tal-opzjonijiet differenti ta’ finanzjament disponibbli, fosthom l-ambitu ta’ riallokazzjoni</w:t>
      </w:r>
      <w:bookmarkEnd w:id="29"/>
      <w:bookmarkEnd w:id="30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Iż-żieda proposta fil-persunal tal-Awtorità ser tingħata l-ewwel u qabel kollox permezz ta’ riallokazzjoni ta’ riżorsi eżistenti.</w:t>
      </w:r>
    </w:p>
    <w:p>
      <w:pPr>
        <w:pStyle w:val="Text1"/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bookmarkStart w:id="31" w:name="_Toc514938674"/>
      <w:bookmarkStart w:id="32" w:name="_Toc524270797"/>
      <w:r>
        <w:t>1.6.</w:t>
      </w:r>
      <w:r>
        <w:tab/>
      </w:r>
      <w:r>
        <w:rPr>
          <w:noProof/>
        </w:rPr>
        <w:t>Durata u impatt finanzjarju</w:t>
      </w:r>
      <w:bookmarkEnd w:id="31"/>
      <w:bookmarkEnd w:id="32"/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Proposta/inizjattiva ta’ </w:t>
      </w:r>
      <w:r>
        <w:rPr>
          <w:b/>
          <w:noProof/>
        </w:rPr>
        <w:t xml:space="preserve">durata limitata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Proposta/inizjattiva fis-seħħ minn [JJ/XX]SSSS sa [JJ/XX]SSSS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Impatt finanzjarju minn SSSS sa SSSS</w:t>
      </w:r>
    </w:p>
    <w:p>
      <w:pPr>
        <w:pStyle w:val="Text1"/>
        <w:rPr>
          <w:noProof/>
        </w:rPr>
      </w:pPr>
      <w:r>
        <w:rPr>
          <w:b/>
          <w:noProof/>
        </w:rPr>
        <w:t>X durata bla limitu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tnedija minn SSSS sa SSSS,</w:t>
      </w:r>
    </w:p>
    <w:p>
      <w:pPr>
        <w:pStyle w:val="ListDash1"/>
        <w:rPr>
          <w:noProof/>
        </w:rPr>
      </w:pPr>
      <w:r>
        <w:rPr>
          <w:noProof/>
        </w:rPr>
        <w:t>segwita minn operat sħiħ.</w:t>
      </w:r>
    </w:p>
    <w:p>
      <w:pPr>
        <w:pStyle w:val="ManualHeading2"/>
        <w:rPr>
          <w:bCs/>
          <w:noProof/>
          <w:szCs w:val="24"/>
        </w:rPr>
      </w:pPr>
      <w:bookmarkStart w:id="33" w:name="_Toc514938675"/>
      <w:bookmarkStart w:id="34" w:name="_Toc524270798"/>
      <w:r>
        <w:t>1.7.</w:t>
      </w:r>
      <w:r>
        <w:tab/>
      </w:r>
      <w:r>
        <w:rPr>
          <w:noProof/>
        </w:rPr>
        <w:t>Mod(i) ta’ ġestjoni ppjanat(i)</w:t>
      </w:r>
      <w:r>
        <w:rPr>
          <w:rStyle w:val="FootnoteReference"/>
          <w:noProof/>
        </w:rPr>
        <w:footnoteReference w:id="20"/>
      </w:r>
      <w:bookmarkEnd w:id="33"/>
      <w:bookmarkEnd w:id="34"/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X Ġestjoni diretta mill-Parlament Ewropew permezz tal-Awtorità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ta’ implimentazzjoni baġitarja jiġu fdati lil: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l-aġenziji tagħhom (irid jiġi speċifikat);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il-BEI u l-Fond Ewropew tal-Investiment;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msemmija fl-Artikoli 70 u 71;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bil-liġi pubblika;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bil-liġi privata b’missjoni ta’ servizz pubbliku safejn jingħataw garanziji finanzjarji xierqa;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ta’ Stat Membru li huma fdati bl-implimentazzjoni ta’ sħubija pubblika-privata u li jipprovdu garanziji finanzjarji xierqa;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tal-PESK f’konformità mat-Titolu V tat-TUE, u identifikati fl-att bażiku rilevanti.</w:t>
      </w:r>
    </w:p>
    <w:p>
      <w:pPr>
        <w:rPr>
          <w:noProof/>
        </w:rPr>
      </w:pPr>
      <w:r>
        <w:rPr>
          <w:noProof/>
        </w:rPr>
        <w:t>Kummenti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L-Awtorità hija ffinanzjata minn titolu baġitarju speċifiku (Titolu 5) tal-Parlament Ewropew. L-għadd u l-kompożizzjoni tal-persunal għandu jiġi identifikat fil-kummenti baġitarji tat-titolu speċifiku. Il-kompiti tal-Uffiċjal tal-Awtorizzazzjoni tal-Parlament Ewropew huma delegati lid-Direttur tal-Awtorità f’konformità mal-punt 7 tal-Artikolu 6 tar-Regolament (UE, Euratom) Nru 1141/2014.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  <w:sectPr>
          <w:pgSz w:w="11907" w:h="16839" w:code="9"/>
          <w:pgMar w:top="794" w:right="907" w:bottom="851" w:left="1361" w:header="510" w:footer="454" w:gutter="0"/>
          <w:cols w:space="720"/>
          <w:docGrid w:linePitch="326"/>
        </w:sectPr>
      </w:pPr>
    </w:p>
    <w:p>
      <w:pPr>
        <w:pStyle w:val="ManualHeading1"/>
        <w:rPr>
          <w:bCs/>
          <w:noProof/>
          <w:szCs w:val="24"/>
        </w:rPr>
      </w:pPr>
      <w:bookmarkStart w:id="35" w:name="_Toc514938676"/>
      <w:bookmarkStart w:id="36" w:name="_Toc524270799"/>
      <w:r>
        <w:t>2.</w:t>
      </w:r>
      <w:r>
        <w:tab/>
      </w:r>
      <w:r>
        <w:rPr>
          <w:noProof/>
        </w:rPr>
        <w:t>MIŻURI TA’ ĠESTJONI</w:t>
      </w:r>
      <w:bookmarkEnd w:id="35"/>
      <w:bookmarkEnd w:id="36"/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bookmarkStart w:id="37" w:name="_Toc514938677"/>
      <w:bookmarkStart w:id="38" w:name="_Toc524270800"/>
      <w:r>
        <w:t>2.1.</w:t>
      </w:r>
      <w:r>
        <w:tab/>
      </w:r>
      <w:r>
        <w:rPr>
          <w:noProof/>
        </w:rPr>
        <w:t>Regoli ta’ monitoraġġ u rappurtar</w:t>
      </w:r>
      <w:bookmarkEnd w:id="37"/>
      <w:bookmarkEnd w:id="38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L-Awtorità ser tkompli toħroġ rapport annwali tal-attività skont l-Artikolu 10 tar-Regolament (UE, Euratom) Nru 1141/2014. Il-Parlament Ewropew se jirrapporta dwar l-operazzjonijiet finanzjarji involuti bħala parti miċ-ċiklu annwali tal-kontabbiltà tal-Unjoni.</w:t>
      </w:r>
    </w:p>
    <w:p>
      <w:pPr>
        <w:pStyle w:val="ManualHeading2"/>
        <w:rPr>
          <w:bCs/>
          <w:noProof/>
          <w:szCs w:val="24"/>
        </w:rPr>
      </w:pPr>
      <w:bookmarkStart w:id="39" w:name="_Toc514938678"/>
      <w:bookmarkStart w:id="40" w:name="_Toc524270801"/>
      <w:r>
        <w:t>2.2.</w:t>
      </w:r>
      <w:r>
        <w:tab/>
      </w:r>
      <w:r>
        <w:rPr>
          <w:noProof/>
        </w:rPr>
        <w:t>Sistema/i ta' ġestjoni u kontroll</w:t>
      </w:r>
      <w:bookmarkEnd w:id="39"/>
      <w:bookmarkEnd w:id="40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41" w:name="_Toc514938679"/>
      <w:bookmarkStart w:id="42" w:name="_Toc524270802"/>
      <w:r>
        <w:t>2.2.1.</w:t>
      </w:r>
      <w:r>
        <w:tab/>
      </w:r>
      <w:r>
        <w:rPr>
          <w:noProof/>
        </w:rPr>
        <w:t>Ġustifikazzjoni tal-mod(i) ta’ ġestjoni, il-mekkaniżmu/i għall-implimentazzjoni tal-finanzjament, il-modalitajiet tal-pagament u l-istrateġija ta’ kontroll proposta</w:t>
      </w:r>
      <w:bookmarkEnd w:id="41"/>
      <w:bookmarkEnd w:id="4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Meta titqies l-għamla tal-Awtorità (korp indipendenti, li madankollu l-baġit tiegħu huwa parti mill-baġit tal-Parlament Ewropew) il-passi proposti huma l-uniċi passi loġiċi fid-dawl tar-rekwiżiti stabbiliti aktar ’il fuq. </w:t>
      </w:r>
    </w:p>
    <w:p>
      <w:pPr>
        <w:pStyle w:val="ManualHeading3"/>
        <w:rPr>
          <w:noProof/>
        </w:rPr>
      </w:pPr>
      <w:bookmarkStart w:id="43" w:name="_Toc514938680"/>
      <w:bookmarkStart w:id="44" w:name="_Toc524270803"/>
      <w:r>
        <w:t>2.2.2.</w:t>
      </w:r>
      <w:r>
        <w:tab/>
      </w:r>
      <w:r>
        <w:rPr>
          <w:noProof/>
        </w:rPr>
        <w:t>Informazzjoni dwar ir-riskji identifikati u s-sistema/i ta' kontroll intern stabbiliti biex jimmitigawhom</w:t>
      </w:r>
      <w:bookmarkEnd w:id="43"/>
      <w:bookmarkEnd w:id="4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Ir-riskji finanzjarji huma l-istess bħal dawk ta’ kwalunke nefqa amministrattiva tal-istituzzjonijiet tal-Unjoni u f’dan il-każ ikunu koperti mis-sistema ta’ kontroll intern eżistenti tal-Parlament Ewropew. </w:t>
      </w:r>
    </w:p>
    <w:p>
      <w:pPr>
        <w:pStyle w:val="ManualHeading3"/>
        <w:rPr>
          <w:noProof/>
        </w:rPr>
      </w:pPr>
      <w:bookmarkStart w:id="45" w:name="_Toc514938681"/>
      <w:bookmarkStart w:id="46" w:name="_Toc524270804"/>
      <w:r>
        <w:t>2.2.3.</w:t>
      </w:r>
      <w:r>
        <w:tab/>
      </w:r>
      <w:r>
        <w:rPr>
          <w:noProof/>
        </w:rPr>
        <w:t>Stima u l-Ġustifikazzjoni tal-kosteffettività tal-kontrolli (proporzjon tal-“kosti tal-kontroll ÷ il-valur tal-fondi ġestiti relatati”), u valutazzjoni tal-livelli mistennija ta’ riskju ta’ żball (mal-ħlas u fl-għeluq)</w:t>
      </w:r>
      <w:bookmarkEnd w:id="45"/>
      <w:bookmarkEnd w:id="46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Mhu qed tiġi proposta l-ebda sistema ta’ kontroll intern ġdida u l-piż addizzjonali ta’ dan it-tibdil għas-sistema ta’ kontroll intern tal-Parlament Ewropew mhuwiex sinifikanti. </w:t>
      </w:r>
    </w:p>
    <w:p>
      <w:pPr>
        <w:spacing w:before="0" w:after="200" w:line="276" w:lineRule="auto"/>
        <w:jc w:val="left"/>
        <w:rPr>
          <w:rFonts w:eastAsiaTheme="majorEastAsia"/>
          <w:b/>
          <w:bCs/>
          <w:noProof/>
          <w:szCs w:val="26"/>
        </w:rPr>
      </w:pPr>
      <w:bookmarkStart w:id="47" w:name="_Toc514938682"/>
      <w:r>
        <w:rPr>
          <w:noProof/>
        </w:rPr>
        <w:br w:type="page"/>
      </w:r>
    </w:p>
    <w:p>
      <w:pPr>
        <w:pStyle w:val="ManualHeading2"/>
        <w:rPr>
          <w:bCs/>
          <w:noProof/>
          <w:szCs w:val="24"/>
        </w:rPr>
      </w:pPr>
      <w:bookmarkStart w:id="48" w:name="_Toc524270805"/>
      <w:r>
        <w:t>2.3.</w:t>
      </w:r>
      <w:r>
        <w:tab/>
      </w:r>
      <w:r>
        <w:rPr>
          <w:noProof/>
        </w:rPr>
        <w:t>Miżuri għall-prevenzjoni ta’ frodi u ta’ irregolaritajiet</w:t>
      </w:r>
      <w:bookmarkEnd w:id="47"/>
      <w:bookmarkEnd w:id="48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ta’ protezzjoni eżistenti jew previsti, eż. mill-Istrateġija ta’ Kontra l-Frodi.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Id-dispożizzjonijiet eżistenti tal-Parlament Ewropew dwar in-nefqa amministrattiva tiegħu japplikaw għal dak li ġie stabbilit hawn. </w:t>
      </w:r>
    </w:p>
    <w:p>
      <w:pPr>
        <w:pStyle w:val="ManualHeading1"/>
        <w:rPr>
          <w:bCs/>
          <w:noProof/>
          <w:szCs w:val="24"/>
        </w:rPr>
      </w:pPr>
      <w:bookmarkStart w:id="49" w:name="_Toc514938683"/>
      <w:bookmarkStart w:id="50" w:name="_Toc524270806"/>
      <w:r>
        <w:t>3.</w:t>
      </w:r>
      <w:r>
        <w:tab/>
      </w:r>
      <w:r>
        <w:rPr>
          <w:noProof/>
        </w:rPr>
        <w:t>IMPATT FINANZJARJU STMAT TAL-PROPOSTA/TAL-INIZJATTIVA</w:t>
      </w:r>
      <w:bookmarkEnd w:id="49"/>
      <w:bookmarkEnd w:id="50"/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bookmarkStart w:id="51" w:name="_Toc514938684"/>
      <w:bookmarkStart w:id="52" w:name="_Toc524270807"/>
      <w:r>
        <w:t>3.1.</w:t>
      </w:r>
      <w:r>
        <w:tab/>
      </w:r>
      <w:r>
        <w:rPr>
          <w:noProof/>
        </w:rPr>
        <w:t>Intestatura/i tal-qafas finanzjarju pluriennali u l-linja/i baġitarja tan-nefqa affettwata/i</w:t>
      </w:r>
      <w:bookmarkEnd w:id="51"/>
      <w:bookmarkEnd w:id="52"/>
      <w:r>
        <w:rPr>
          <w:noProof/>
        </w:rPr>
        <w:t xml:space="preserve"> </w:t>
      </w:r>
    </w:p>
    <w:p>
      <w:pPr>
        <w:pStyle w:val="ListBullet1"/>
        <w:rPr>
          <w:noProof/>
        </w:rPr>
      </w:pPr>
      <w:r>
        <w:rPr>
          <w:noProof/>
        </w:rPr>
        <w:t xml:space="preserve">Linji baġitarji eżistenti </w:t>
      </w:r>
    </w:p>
    <w:p>
      <w:pPr>
        <w:pStyle w:val="Text1"/>
        <w:rPr>
          <w:noProof/>
        </w:rPr>
      </w:pPr>
      <w:r>
        <w:rPr>
          <w:noProof/>
        </w:rPr>
        <w:t>Fl-ordni ta’ intestaturi u linji baġitarji tal-qafas finanzjarju pluriennali.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564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Tip ta’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  <w:r>
              <w:rPr>
                <w:rStyle w:val="FootnoteReference"/>
                <w:noProof/>
                <w:sz w:val="18"/>
              </w:rPr>
              <w:footnoteReference w:id="21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tal-EFTA</w:t>
            </w:r>
            <w:r>
              <w:rPr>
                <w:rStyle w:val="FootnoteReference"/>
                <w:noProof/>
                <w:sz w:val="18"/>
              </w:rPr>
              <w:footnoteReference w:id="22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kandidati</w:t>
            </w:r>
            <w:r>
              <w:rPr>
                <w:rStyle w:val="FootnoteReference"/>
                <w:noProof/>
                <w:sz w:val="18"/>
              </w:rPr>
              <w:footnoteReference w:id="23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960" w:type="dxa"/>
            <w:vAlign w:val="center"/>
          </w:tcPr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Taqsima I - Parlament Ewropew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</w:t>
            </w:r>
          </w:p>
        </w:tc>
      </w:tr>
    </w:tbl>
    <w:p>
      <w:pPr>
        <w:rPr>
          <w:noProof/>
        </w:rPr>
        <w:sectPr>
          <w:pgSz w:w="11907" w:h="16839" w:code="9"/>
          <w:pgMar w:top="794" w:right="907" w:bottom="851" w:left="1361" w:header="510" w:footer="454" w:gutter="0"/>
          <w:cols w:space="720"/>
          <w:docGrid w:linePitch="326"/>
        </w:sectPr>
      </w:pPr>
    </w:p>
    <w:p>
      <w:pPr>
        <w:pStyle w:val="ManualHeading2"/>
        <w:rPr>
          <w:bCs/>
          <w:noProof/>
          <w:szCs w:val="24"/>
        </w:rPr>
      </w:pPr>
      <w:bookmarkStart w:id="53" w:name="_Toc514938685"/>
      <w:bookmarkStart w:id="54" w:name="_Toc524270808"/>
      <w:r>
        <w:t>3.2.</w:t>
      </w:r>
      <w:r>
        <w:tab/>
      </w:r>
      <w:r>
        <w:rPr>
          <w:noProof/>
        </w:rPr>
        <w:t>Impatt stmat fuq in-nefqa</w:t>
      </w:r>
      <w:bookmarkEnd w:id="53"/>
      <w:bookmarkEnd w:id="54"/>
      <w:r>
        <w:rPr>
          <w:noProof/>
        </w:rPr>
        <w:t xml:space="preserve"> </w:t>
      </w:r>
    </w:p>
    <w:p>
      <w:pPr>
        <w:pStyle w:val="ManualHeading3"/>
        <w:rPr>
          <w:bCs/>
          <w:noProof/>
          <w:szCs w:val="24"/>
        </w:rPr>
      </w:pPr>
      <w:bookmarkStart w:id="55" w:name="_Toc514938686"/>
      <w:bookmarkStart w:id="56" w:name="_Toc524270809"/>
      <w:r>
        <w:t>3.2.1.</w:t>
      </w:r>
      <w:r>
        <w:tab/>
      </w:r>
      <w:r>
        <w:rPr>
          <w:noProof/>
        </w:rPr>
        <w:t>Sommarju tal-impatt stmat fuq in-nefqa</w:t>
      </w:r>
      <w:bookmarkEnd w:id="55"/>
      <w:bookmarkEnd w:id="56"/>
      <w:r>
        <w:rPr>
          <w:noProof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(aġġustati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Ikteb kemm-il sena hemm bżonn biex turi d-durata tal-impatt (ara l-punt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Il-Parlament Ewropew 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>Riżorsi Umani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10.01</w:t>
            </w: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>Nefqa amministrattiva oħra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Parlament Ewropew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10.01</w:t>
            </w: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l-INTESTATURA 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10.01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(aġġustati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24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Ikteb kemm-il sena hemm bżonn biex turi d-durata tal-impatt (ara l-punt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 TOTALI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l-INTESTATURI 1 sa 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10.01</w:t>
            </w:r>
          </w:p>
        </w:tc>
      </w:tr>
      <w:tr>
        <w:tc>
          <w:tcPr>
            <w:tcW w:w="3960" w:type="dxa"/>
            <w:vMerge/>
            <w:vAlign w:val="center"/>
          </w:tcPr>
          <w:p>
            <w:pPr>
              <w:rPr>
                <w:b/>
                <w:noProof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10.01</w:t>
            </w: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39" w:h="11907" w:orient="landscape" w:code="9"/>
          <w:pgMar w:top="1134" w:right="1077" w:bottom="902" w:left="1247" w:header="709" w:footer="510" w:gutter="0"/>
          <w:cols w:space="720"/>
          <w:docGrid w:linePitch="326"/>
        </w:sectPr>
      </w:pPr>
    </w:p>
    <w:p>
      <w:pPr>
        <w:pStyle w:val="ManualHeading3"/>
        <w:rPr>
          <w:bCs/>
          <w:noProof/>
          <w:szCs w:val="24"/>
        </w:rPr>
      </w:pPr>
      <w:bookmarkStart w:id="57" w:name="_Toc514938687"/>
      <w:bookmarkStart w:id="58" w:name="_Toc524270810"/>
      <w:r>
        <w:t>3.2.2.</w:t>
      </w:r>
      <w:r>
        <w:tab/>
      </w:r>
      <w:r>
        <w:rPr>
          <w:noProof/>
        </w:rPr>
        <w:t>Impatt stmat fuq l-approprjazzjonijiet tal-[korp]</w:t>
      </w:r>
      <w:bookmarkEnd w:id="57"/>
      <w:bookmarkEnd w:id="58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Il-proposta/l-inizjattiva ma teħtieġx l-użu ta’ 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tirrekjedi l-użu ta’ approprjazzjonijiet operazzjonali, kif spjegat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ta’ impenn f’miljuni ta’ EUR (aġġustati għal tliet pożizzjonijiet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 xml:space="preserve">Indika l-objettivi u l-outputs </w:t>
            </w:r>
          </w:p>
          <w:p>
            <w:pPr>
              <w:ind w:right="-29"/>
              <w:jc w:val="center"/>
              <w:rPr>
                <w:b/>
                <w:noProof/>
                <w:sz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Ikteb kemm-il sena hemm bżonn biex turi d-durata tal-impatt (ara l-punt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OUTPUTS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  <w:sz w:val="18"/>
              </w:rPr>
              <w:footnoteReference w:id="25"/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Kost medju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Kost totali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OBJETTIV SPEĊIFIKU Nru 1</w:t>
            </w:r>
            <w:r>
              <w:rPr>
                <w:rStyle w:val="FootnoteReference"/>
                <w:noProof/>
                <w:sz w:val="18"/>
              </w:rPr>
              <w:footnoteReference w:id="26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Subtotal tal-objettiv speċifiku Nru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OBJETTIV SPEĊIFIKU Nru 2 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Subtotal tal-objettiv speċifiku Nru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 TOTALI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</w:rPr>
            </w:pPr>
          </w:p>
        </w:tc>
      </w:tr>
    </w:tbl>
    <w:p>
      <w:pPr>
        <w:rPr>
          <w:noProof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5840" w:h="12240" w:orient="landscape"/>
          <w:pgMar w:top="1418" w:right="902" w:bottom="902" w:left="567" w:header="709" w:footer="709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bookmarkStart w:id="59" w:name="_Toc514938688"/>
      <w:bookmarkStart w:id="60" w:name="_Toc524270811"/>
      <w:r>
        <w:t>3.2.3.</w:t>
      </w:r>
      <w:r>
        <w:tab/>
      </w:r>
      <w:r>
        <w:rPr>
          <w:noProof/>
        </w:rPr>
        <w:t>Impatt stmat fuq ir-riżorsi umani tal-Awtorità</w:t>
      </w:r>
      <w:bookmarkEnd w:id="59"/>
      <w:bookmarkEnd w:id="60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 xml:space="preserve">Ir-riżorsi stabbiliti hawn taħt huma l-istess bħal dawk stabbiliti fit-taqsima 3.2.1 aktar ’il fuq; huma mtennija hawn f’ġieħ iċ-ċarezza li r-riżorsi kollha kkonċernati huma dawk tal-Awtorità. </w:t>
      </w:r>
    </w:p>
    <w:p>
      <w:pPr>
        <w:pStyle w:val="ManualHeading4"/>
        <w:rPr>
          <w:bCs/>
          <w:noProof/>
          <w:szCs w:val="24"/>
        </w:rPr>
      </w:pPr>
      <w:r>
        <w:t>3.2.3.1.</w:t>
      </w:r>
      <w:r>
        <w:tab/>
      </w:r>
      <w:r>
        <w:rPr>
          <w:noProof/>
        </w:rPr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tirrekjedix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rPr>
          <w:noProof/>
          <w:sz w:val="20"/>
        </w:rPr>
      </w:pPr>
      <w:r>
        <w:rPr>
          <w:noProof/>
          <w:sz w:val="20"/>
        </w:rPr>
        <w:t>Miljuni ta’ EUR (aġġustati għal tliet pożizzjonijiet deċimali)</w:t>
      </w:r>
    </w:p>
    <w:tbl>
      <w:tblPr>
        <w:tblW w:w="0" w:type="auto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27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Ikteb kemm-il sena hemm bżonn biex turi d-durata tal-impatt (ara l-punt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</w:tbl>
    <w:p>
      <w:pPr>
        <w:rPr>
          <w:noProof/>
          <w:sz w:val="20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Uffiċjali/Aġenti Temporanji (Gradi AD)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Uffiċjali/Aġenti Temporanji (Gradi AST)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0.715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Persunal b’kuntratt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Esperti Nazzjonali Sekondati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20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10.01</w:t>
            </w:r>
          </w:p>
        </w:tc>
      </w:tr>
    </w:tbl>
    <w:p>
      <w:pPr>
        <w:rPr>
          <w:noProof/>
          <w:u w:val="single"/>
        </w:rPr>
      </w:pPr>
    </w:p>
    <w:p>
      <w:pPr>
        <w:rPr>
          <w:noProof/>
          <w:sz w:val="20"/>
        </w:rPr>
      </w:pPr>
      <w:r>
        <w:rPr>
          <w:noProof/>
          <w:sz w:val="20"/>
        </w:rPr>
        <w:t>Persunal meħtieġ (FTE):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2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Ikteb kemm-il sena hemm bżonn biex turi d-durata tal-impatt (ara l-punt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Uffiċjali/Aġenti Temporanji (Gradi AD)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Uffiċjali/Aġenti Temporanji (Gradi AST)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Persunal b’kuntratt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Esperti Nazzjonali Sekondati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20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70</w:t>
            </w:r>
          </w:p>
        </w:tc>
      </w:tr>
    </w:tbl>
    <w:p>
      <w:pPr>
        <w:pStyle w:val="Text1"/>
        <w:rPr>
          <w:b/>
          <w:noProof/>
          <w:sz w:val="22"/>
        </w:rPr>
      </w:pPr>
      <w:r>
        <w:rPr>
          <w:b/>
          <w:noProof/>
          <w:sz w:val="22"/>
        </w:rPr>
        <w:t>Ir-riżorsi umani meħtieġa ser jimtlew minn persunal tal-Istituzzjonijiet li diġà huwa assenjat il-kompitu tal-ġestjoni tal-azzjoni u/jew ġie riassenjat ġewwa l-Istituzzjoni, jekk ikun meħtieġ flimkien ma’ kull allokazzjoni addizzjonali li tista’ tingħata lill-Istituzzjoni ta’ ġestjoni taħt il-proċedura tal-baġit annwali u fil-kuntest tal-limitazzjonijiet baġitarji.</w:t>
      </w:r>
    </w:p>
    <w:p>
      <w:pP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bookmarkStart w:id="61" w:name="_Toc514938689"/>
      <w:bookmarkStart w:id="62" w:name="_Toc524270812"/>
      <w:r>
        <w:t>3.2.4.</w:t>
      </w:r>
      <w:r>
        <w:tab/>
      </w:r>
      <w:r>
        <w:rPr>
          <w:noProof/>
        </w:rPr>
        <w:t>Kompatibbiltà mal-qafas finanzjarju pluriennali attwali</w:t>
      </w:r>
      <w:bookmarkEnd w:id="61"/>
      <w:bookmarkEnd w:id="62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Il-proposta/l-inizjattiva hija kompatibbli mal-qafas finanzjarju pluriennali attwali.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se tkun tinvolvi riprogrammazzjoni tal-intestatura rilevanti fil-qafas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liema riprogrammazzjoni hija meħtieġa, filwaqt li tispeċifika l-linji baġitarji kkonċernati u l-ammonti korrispondenti.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</w:rPr>
        <w:t>[…]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l-applikazzjoni tal-istrument ta’ flessibbiltà jew ir-reviżjoni tal-qafas finanzjarju pluriennali</w:t>
      </w:r>
      <w:r>
        <w:rPr>
          <w:rStyle w:val="FootnoteReference"/>
          <w:noProof/>
        </w:rPr>
        <w:footnoteReference w:id="29"/>
      </w:r>
      <w:r>
        <w:rPr>
          <w:noProof/>
        </w:rPr>
        <w:t>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filwaqt li tispeċifika l-intestaturi u l-linji baġitarji kkonċernati u l-ammonti korrispondenti.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</w:rPr>
        <w:t>[…]</w:t>
      </w:r>
    </w:p>
    <w:p>
      <w:pPr>
        <w:pStyle w:val="ManualHeading3"/>
        <w:rPr>
          <w:bCs/>
          <w:noProof/>
          <w:szCs w:val="24"/>
        </w:rPr>
      </w:pPr>
      <w:bookmarkStart w:id="63" w:name="_Toc514938690"/>
      <w:bookmarkStart w:id="64" w:name="_Toc524270813"/>
      <w:r>
        <w:t>3.2.5.</w:t>
      </w:r>
      <w:r>
        <w:tab/>
      </w:r>
      <w:r>
        <w:rPr>
          <w:noProof/>
        </w:rPr>
        <w:t>Kontribuzzjonijiet ta’ partijiet terzi</w:t>
      </w:r>
      <w:bookmarkEnd w:id="63"/>
      <w:bookmarkEnd w:id="64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 xml:space="preserve">Il-proposta/l-inizjattiva ma tipprevedix kofinanzjament minn partijiet terzi.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bookmarkStart w:id="65" w:name="_Toc514938691"/>
      <w:bookmarkStart w:id="66" w:name="_Toc524270814"/>
      <w:r>
        <w:t>3.3.</w:t>
      </w:r>
      <w:r>
        <w:tab/>
      </w:r>
      <w:r>
        <w:rPr>
          <w:noProof/>
        </w:rPr>
        <w:t>Impatt stmat fuq id-dħul</w:t>
      </w:r>
      <w:bookmarkEnd w:id="65"/>
      <w:bookmarkEnd w:id="66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Il-proposta/l-inizjattiva ma 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għandha l-impatt finanzjarju li ġej: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dħul ieħor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jekk jogħġbok indika jekk id-dħul hux assenzjat għal linji tan-nefqa </w:t>
      </w:r>
    </w:p>
    <w:p>
      <w:pPr>
        <w:jc w:val="right"/>
        <w:rPr>
          <w:i/>
          <w:noProof/>
        </w:rPr>
      </w:pPr>
      <w:r>
        <w:rPr>
          <w:noProof/>
        </w:rPr>
        <w:t>Miljuni ta’ EUR (aġġustati għal tliet pożizzjonijiet deċimali)</w:t>
      </w: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1719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tal-proposta/tal-inizjattiva</w:t>
            </w:r>
            <w:r>
              <w:rPr>
                <w:rStyle w:val="FootnoteReference"/>
                <w:noProof/>
                <w:sz w:val="18"/>
              </w:rPr>
              <w:footnoteReference w:id="30"/>
            </w:r>
          </w:p>
        </w:tc>
      </w:tr>
      <w:tr>
        <w:trPr>
          <w:trHeight w:val="388"/>
        </w:trPr>
        <w:tc>
          <w:tcPr>
            <w:tcW w:w="1719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Ikteb kemm-il sena hemm bżonn biex turi d-durata tal-impatt (ara l-punt 1.6)</w:t>
            </w:r>
          </w:p>
        </w:tc>
      </w:tr>
      <w:tr>
        <w:trPr>
          <w:trHeight w:val="388"/>
        </w:trPr>
        <w:tc>
          <w:tcPr>
            <w:tcW w:w="1719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Għad-dħul "assenjat" mixxellanju, speċifika l-linja/i baġitarja/i tan-nefqa affettwata/i.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Speċifika l-metodu biex jiġi kkalkolat l-impatt fuq id-dħul.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sectPr>
      <w:headerReference w:type="default" r:id="rId26"/>
      <w:footerReference w:type="default" r:id="rId27"/>
      <w:headerReference w:type="first" r:id="rId28"/>
      <w:footerReference w:type="first" r:id="rId29"/>
      <w:pgSz w:w="11907" w:h="16839" w:code="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Ir-Rakkomandazzjoni tal-Kummissjoni (UE) 2018/234 tal-14 ta' Frar 2018 rigward it-tisħiħ tan-natura Ewropea u t-tmexxija effiċjenti tal-elezzjonijiet 2019 lill-Parlament Ewropew (ĠU L 45, 17.2.2018, p. 40).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2016/679 tal-Parlament Ewropew u tal-Kunsill tas-27 ta' April 2016 dwar il-protezzjoni tal-persuni fiżiċi fir-rigward tal-ipproċessar ta' </w:t>
      </w:r>
      <w:r>
        <w:rPr>
          <w:i/>
        </w:rPr>
        <w:t>data</w:t>
      </w:r>
      <w:r>
        <w:t xml:space="preserve"> personali u dwar il-moviment liberu ta' tali </w:t>
      </w:r>
      <w:r>
        <w:rPr>
          <w:i/>
        </w:rPr>
        <w:t>data</w:t>
      </w:r>
      <w:r>
        <w:t>, u li jħassar id-Direttiva 95/46/KE (ir-Regolament Ġenerali dwar il-Protezzjoni tad-</w:t>
      </w:r>
      <w:r>
        <w:rPr>
          <w:i/>
        </w:rPr>
        <w:t>Data</w:t>
      </w:r>
      <w:r>
        <w:t xml:space="preserve">) (ĠU L 119, 4.5.2016, p. 1).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L 317, 4.11.2014, p. 1.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 xml:space="preserve">COM (2018) 638. </w:t>
      </w:r>
    </w:p>
  </w:footnote>
  <w:footnote w:id="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 (2018) 5949.</w:t>
      </w:r>
    </w:p>
  </w:footnote>
  <w:footnote w:id="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 (2018) 637.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2016/679 tal-Parlament Ewropew u tal-Kunsill tas-27 ta' April 2016 dwar il-protezzjoni tal-persuni fiżiċi fir-rigward tal-ipproċessar ta' </w:t>
      </w:r>
      <w:r>
        <w:rPr>
          <w:i/>
        </w:rPr>
        <w:t>data</w:t>
      </w:r>
      <w:r>
        <w:t xml:space="preserve"> personali u dwar il-moviment liberu ta' tali </w:t>
      </w:r>
      <w:r>
        <w:rPr>
          <w:i/>
        </w:rPr>
        <w:t>data</w:t>
      </w:r>
      <w:r>
        <w:t>, u li jħassar id-Direttiva 95/46/KE (ir-Regolament Ġenerali dwar il-Protezzjoni tad-</w:t>
      </w:r>
      <w:r>
        <w:rPr>
          <w:i/>
        </w:rPr>
        <w:t>Data</w:t>
      </w:r>
      <w:r>
        <w:t xml:space="preserve">) (ĠU L 119, 4.5.2016, p. 1). 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Ir-Rakkomandazzjoni tal-Kummissjoni (UE) 2018/234 tal-14 ta' Frar 2018 rigward it-tisħiħ tan-natura Ewropea u t-tmexxija effiċjenti tal-elezzjonijiet 2019 lill-Parlament Ewropew (ĠU L 45 tas-17 ta’ Frar 2018, p. 40).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 xml:space="preserve">COM(2018) 235 final.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COM (2017) 10 final.</w:t>
      </w:r>
    </w:p>
  </w:footnote>
  <w:footnote w:id="12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Id-Direttiva 2002/58/KE tal-Parlament Ewropew u tal-Kunsill tat-12 ta' Lulju 2002 dwar l-ipproċessar tad-</w:t>
      </w:r>
      <w:r>
        <w:rPr>
          <w:i/>
        </w:rPr>
        <w:t>data</w:t>
      </w:r>
      <w:r>
        <w:t xml:space="preserve"> personali u l-protezzjoni tal-privatezza fis-settur tal-komunikazzjoni elettronika (id-Direttiva dwar il-privatezza u l-komunikazzjoni elettronika) (ĠU L 201, 31.7.2002, p.37)</w:t>
      </w:r>
      <w:r>
        <w:rPr>
          <w:rStyle w:val="Strong"/>
          <w:b w:val="0"/>
        </w:rPr>
        <w:t>.</w:t>
      </w:r>
    </w:p>
  </w:footnote>
  <w:footnote w:id="13">
    <w:p>
      <w:pPr>
        <w:pStyle w:val="FootnoteText"/>
        <w:ind w:left="142" w:hanging="142"/>
        <w:jc w:val="lef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https://europa.eu/european-union/sites/europaeu/files/docs/body/consolidated_version_of_the_treaty_establishing_the_european_atomic_energy_community_mt.pdf</w:t>
        </w:r>
      </w:hyperlink>
      <w:r>
        <w:t xml:space="preserve"> 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Ir-Regolament (UE, Euratom) Nru 1141/2014 tal-Parlament Ewropew u tal-Kunsill tat-22 ta' Ottubru 2014 dwar l-istatut u l-finanzjament tal-partiti politiċi Ewropej u l-fondazzjonijiet politiċi (ĠU L317, 4.11.2014, p.1).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Ir-Regolament Nru 31 (KEE), 11 (KEEA), li jistabbilixxi r-Regolamenti tal-Persunal għall-Uffiċjali u l-Kundizzjonijiet tal-Impjieg Applikabbli għall-Aġenti l-Oħra tal-Komunità Ekonomika Ewropea u tal-Komunità Ewropea tal-Enerġija Atomika (ĠU P 045, 14.6.1962, p. 1385)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Ir-Regolament (UE) 2016/679 tal-Parlament Ewropew u tal-Kunsill tas-27 ta' April 2016 dwar il-protezzjoni tal-persuni fiżiċi fir-rigward tal-ipproċessar ta' data personali u dwar il-moviment liberu ta' tali data, u li jħassar id-Direttiva 95/46/KE (ir-Regolament Ġenerali dwar il-Protezzjoni tad-Data), (ĠU L 119, 4.5. 2016, p. 1).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 58(2)(a) jew (b) tar-Regolament Finanzjarju.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Id-dettalji tal-modi ta’ ġestjoni u r-referenzi għar-Regalament Finanzjarju huma aċċessibbli fi-sit BudgWeb: </w:t>
      </w:r>
      <w:hyperlink r:id="rId2">
        <w:r>
          <w:rPr>
            <w:rStyle w:val="Hyperlink"/>
          </w:rPr>
          <w:t>https://myintracomm.ec.europa.eu/budgweb/EN/man/budgmanag/Pages/budgmanag.aspx</w:t>
        </w:r>
      </w:hyperlink>
      <w:r>
        <w:t>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Assoċjazzjoni Ewropea tal-Kummerċ Ħieles. 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Pajjiżi kandidati u, fejn applikabbli, kandidati potenzjali mill-Balkani tal-Punent.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Is-Sena N hija s-sena li fiha tibda l-implimentazzjoni tal-proposta/tal-inizjattiva. Issostitwixxi “N” bl-ewwel sena tal-bidu tal-implimentazzjoni (pereżempju: 2021). L-istess għas-snin ta’ wara.</w:t>
      </w:r>
    </w:p>
  </w:footnote>
  <w:footnote w:id="2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L-outputs huma prodotti u servizzi li ser jingħataw (eż.: għadd ta’ skambji ta’ studenti ffinanzjati, numru ta’ km ta’ toroq mibnija, eċċ.).</w:t>
      </w:r>
    </w:p>
  </w:footnote>
  <w:footnote w:id="2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deskritt fil-punt 1.4.2. “Objettiv(i) speċifiku/ċi...”</w:t>
      </w:r>
    </w:p>
  </w:footnote>
  <w:footnote w:id="2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tal-proposta/tal-inizjattiva.</w:t>
      </w:r>
      <w:r>
        <w:rPr>
          <w:sz w:val="18"/>
        </w:rPr>
        <w:t xml:space="preserve"> Issostitwixxi “N” bl-ewwel sena tal-bidu tal-implimentazzjoni (pereżempju: 2021). L-istess għas-snin ta’ wara.</w:t>
      </w:r>
    </w:p>
  </w:footnote>
  <w:footnote w:id="2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tal-proposta/tal-inizjattiva.</w:t>
      </w:r>
      <w:r>
        <w:rPr>
          <w:sz w:val="18"/>
        </w:rPr>
        <w:t xml:space="preserve"> Issostitwixxi “N” bl-ewwel sena tal-bidu tal-implimentazzjoni (pereżempju: 2021). L-istess għas-snin ta’ wara.</w:t>
      </w:r>
    </w:p>
  </w:footnote>
  <w:footnote w:id="2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Ara l-Artikoli 11 u 17 tar-Regolament tal-Kunsill (UE, Euratom) Nru 1311/2013 li jistabbilixxi l-qafas finanzjarju pluriennali għas-snin 2014-2020.</w:t>
      </w:r>
    </w:p>
  </w:footnote>
  <w:footnote w:id="3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(id-dazji doganali, l-imposti fuq iz-zokkor), l-ammonti indikati jridu jkunu ammonti netti, jiġifieri ammonti grossi wara t-tnaqqis ta’ 20 % tal-kostijiet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C829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766C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C54FB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E1A4F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040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08866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B4C5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B443C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4"/>
    <w:lvlOverride w:ilvl="0">
      <w:startOverride w:val="1"/>
    </w:lvlOverride>
  </w:num>
  <w:num w:numId="11">
    <w:abstractNumId w:val="21"/>
  </w:num>
  <w:num w:numId="12">
    <w:abstractNumId w:val="23"/>
  </w:num>
  <w:num w:numId="13">
    <w:abstractNumId w:val="20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2"/>
  </w:num>
  <w:num w:numId="20">
    <w:abstractNumId w:val="11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  <w:num w:numId="25">
    <w:abstractNumId w:val="14"/>
  </w:num>
  <w:num w:numId="26">
    <w:abstractNumId w:val="17"/>
  </w:num>
  <w:num w:numId="27">
    <w:abstractNumId w:val="18"/>
  </w:num>
  <w:num w:numId="28">
    <w:abstractNumId w:val="10"/>
  </w:num>
  <w:num w:numId="29">
    <w:abstractNumId w:val="15"/>
  </w:num>
  <w:num w:numId="30">
    <w:abstractNumId w:val="24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EBA Michalina (SG)">
    <w15:presenceInfo w15:providerId="None" w15:userId="ZIEBA Michalina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ctiveWritingStyle w:appName="MSWord" w:lang="en-I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PT" w:vendorID="64" w:dllVersion="131078" w:nlCheck="1" w:checkStyle="0"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9-17 12:41:3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43E5BFA-D5A6-4FE5-9A19-959D2303ACD3"/>
    <w:docVar w:name="LW_COVERPAGE_TYPE" w:val="1"/>
    <w:docVar w:name="LW_CROSSREFERENCE" w:val="&lt;UNUSED&gt;"/>
    <w:docVar w:name="LW_DocType" w:val="COM"/>
    <w:docVar w:name="LW_EMISSION" w:val="12.9.2018"/>
    <w:docVar w:name="LW_EMISSION_ISODATE" w:val="2018-09-12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36"/>
    <w:docVar w:name="LW_REF.II.NEW.CP_YEAR" w:val="2018"/>
    <w:docVar w:name="LW_REF.INST.NEW" w:val="COM"/>
    <w:docVar w:name="LW_REF.INST.NEW_ADOPTED" w:val="final"/>
    <w:docVar w:name="LW_REF.INST.NEW_TEXT" w:val="(2018) 63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, Euratom) Nru 1141/2014 rigward pro\u267?edura ta\u8217? verifika relatata mal-ksur ta\u8217? regoli dwar il-protezzjoni ta' &lt;FMT:Italic&gt;data&lt;/FMT&gt; personali fil-kuntest tal-elezzjonijiet tal-Parlament Ewropew_x000b__x000b_&lt;FMT:Italic&gt;Kontribut mill-Kummissjoni Ewropea g\u295?al-Laqg\u295?a tal-Mexxejja f\u8217?Salzburg fid-19-20 ta\u8217? Settembru 2018&lt;/FMT&gt;_x000b_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 w:qFormat="1"/>
    <w:lsdException w:name="table of figures" w:uiPriority="0"/>
    <w:lsdException w:name="footnote reference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mt-MT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orm">
    <w:name w:val="norm"/>
    <w:basedOn w:val="Normal"/>
    <w:pPr>
      <w:spacing w:after="0"/>
    </w:pPr>
    <w:rPr>
      <w:rFonts w:eastAsia="Times New Roman"/>
      <w:szCs w:val="24"/>
    </w:rPr>
  </w:style>
  <w:style w:type="paragraph" w:customStyle="1" w:styleId="ListBullet1">
    <w:name w:val="List Bullet 1"/>
    <w:basedOn w:val="Normal"/>
    <w:pPr>
      <w:numPr>
        <w:numId w:val="12"/>
      </w:numPr>
    </w:pPr>
  </w:style>
  <w:style w:type="paragraph" w:customStyle="1" w:styleId="ListDash1">
    <w:name w:val="List Dash 1"/>
    <w:basedOn w:val="Normal"/>
    <w:pPr>
      <w:numPr>
        <w:numId w:val="13"/>
      </w:numPr>
    </w:pPr>
  </w:style>
  <w:style w:type="paragraph" w:customStyle="1" w:styleId="ListDash2">
    <w:name w:val="List Dash 2"/>
    <w:basedOn w:val="Normal"/>
    <w:pPr>
      <w:numPr>
        <w:numId w:val="14"/>
      </w:numPr>
    </w:p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b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basedOn w:val="DefaultParagraphFont"/>
    <w:uiPriority w:val="39"/>
    <w:rPr>
      <w:rFonts w:ascii="Times New Roman" w:hAnsi="Times New Roman" w:cs="Times New Roman"/>
      <w:b/>
      <w:sz w:val="28"/>
      <w:lang w:val="mt-MT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hAnsi="Times New Roman" w:cs="Times New Roman"/>
      <w:b w:val="0"/>
      <w:sz w:val="24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OCHeadingChar"/>
    <w:link w:val="HeaderCoverPage"/>
    <w:rPr>
      <w:rFonts w:ascii="Times New Roman" w:hAnsi="Times New Roman" w:cs="Times New Roman"/>
      <w:b w:val="0"/>
      <w:sz w:val="24"/>
      <w:lang w:val="mt-MT" w:eastAsia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 w:qFormat="1"/>
    <w:lsdException w:name="table of figures" w:uiPriority="0"/>
    <w:lsdException w:name="footnote reference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mt-MT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orm">
    <w:name w:val="norm"/>
    <w:basedOn w:val="Normal"/>
    <w:pPr>
      <w:spacing w:after="0"/>
    </w:pPr>
    <w:rPr>
      <w:rFonts w:eastAsia="Times New Roman"/>
      <w:szCs w:val="24"/>
    </w:rPr>
  </w:style>
  <w:style w:type="paragraph" w:customStyle="1" w:styleId="ListBullet1">
    <w:name w:val="List Bullet 1"/>
    <w:basedOn w:val="Normal"/>
    <w:pPr>
      <w:numPr>
        <w:numId w:val="12"/>
      </w:numPr>
    </w:pPr>
  </w:style>
  <w:style w:type="paragraph" w:customStyle="1" w:styleId="ListDash1">
    <w:name w:val="List Dash 1"/>
    <w:basedOn w:val="Normal"/>
    <w:pPr>
      <w:numPr>
        <w:numId w:val="13"/>
      </w:numPr>
    </w:pPr>
  </w:style>
  <w:style w:type="paragraph" w:customStyle="1" w:styleId="ListDash2">
    <w:name w:val="List Dash 2"/>
    <w:basedOn w:val="Normal"/>
    <w:pPr>
      <w:numPr>
        <w:numId w:val="14"/>
      </w:numPr>
    </w:p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b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basedOn w:val="DefaultParagraphFont"/>
    <w:uiPriority w:val="39"/>
    <w:rPr>
      <w:rFonts w:ascii="Times New Roman" w:hAnsi="Times New Roman" w:cs="Times New Roman"/>
      <w:b/>
      <w:sz w:val="28"/>
      <w:lang w:val="mt-MT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hAnsi="Times New Roman" w:cs="Times New Roman"/>
      <w:b w:val="0"/>
      <w:sz w:val="24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OCHeadingChar"/>
    <w:link w:val="HeaderCoverPage"/>
    <w:rPr>
      <w:rFonts w:ascii="Times New Roman" w:hAnsi="Times New Roman" w:cs="Times New Roman"/>
      <w:b w:val="0"/>
      <w:sz w:val="24"/>
      <w:lang w:val="mt-MT" w:eastAsia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8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4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7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26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09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5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0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76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9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51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2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9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intracomm.ec.europa.eu/budgweb/EN/man/budgmanag/Pages/budgmanag.aspx" TargetMode="External"/><Relationship Id="rId1" Type="http://schemas.openxmlformats.org/officeDocument/2006/relationships/hyperlink" Target="https://europa.eu/european-union/sites/europaeu/files/docs/body/consolidated_version_of_the_treaty_establishing_the_european_atomic_energy_community_m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AF904C-51F5-4D8E-A085-5FA3B77D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24</Pages>
  <Words>5653</Words>
  <Characters>42743</Characters>
  <Application>Microsoft Office Word</Application>
  <DocSecurity>0</DocSecurity>
  <Lines>1155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2018-09-04T11:22:00Z</cp:lastPrinted>
  <dcterms:created xsi:type="dcterms:W3CDTF">2018-09-14T07:57:00Z</dcterms:created>
  <dcterms:modified xsi:type="dcterms:W3CDTF">2018-09-17T10:41:00Z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