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1BE80ED-1315-4225-8CC2-FB167021C0A0" style="width:451pt;height:420.1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POZMĚNĚNÉHO NÁVRHU</w:t>
      </w:r>
    </w:p>
    <w:p>
      <w:pPr>
        <w:pStyle w:val="ManualHeading2"/>
        <w:rPr>
          <w:rFonts w:eastAsia="Arial Unicode MS"/>
          <w:noProof/>
        </w:rPr>
      </w:pPr>
      <w:r>
        <w:rPr>
          <w:noProof/>
          <w:color w:val="000000"/>
          <w:u w:color="000000"/>
          <w:bdr w:val="nil"/>
        </w:rPr>
        <w:t>•</w:t>
      </w:r>
      <w:r>
        <w:rPr>
          <w:noProof/>
        </w:rPr>
        <w:tab/>
        <w:t>Odůvodnění a cíle pozměněného návrhu</w:t>
      </w:r>
    </w:p>
    <w:p>
      <w:pPr>
        <w:rPr>
          <w:noProof/>
        </w:rPr>
      </w:pPr>
      <w:r>
        <w:rPr>
          <w:noProof/>
        </w:rPr>
        <w:t>Tento návrh je součástí souboru opatření, která navazují na závěry Evropské rady ze dne 28. června 2018</w:t>
      </w:r>
      <w:r>
        <w:rPr>
          <w:rStyle w:val="FootnoteReference"/>
          <w:noProof/>
        </w:rPr>
        <w:footnoteReference w:id="2"/>
      </w:r>
      <w:r>
        <w:rPr>
          <w:noProof/>
        </w:rPr>
        <w:t xml:space="preserve"> a jejichž prostřednictvím Komise navrhuje posílit Evropskou pohraniční a pobřežní stráž, přezkoumat směrnici o navracení a pozměnit původní návrh nařízení o Agentuře Evropské unie pro azyl. Tyto návrhy jsou založeny na zásadách solidarity a odpovědnosti a členské státy se díky nim budou moci plně spolehnout na podporu ze strany Unie při řízení smíšených migračních toků rychlým zpracováním případů – a to i v kontrolovaných střediscích – státních příslušníků třetích zemí, kteří žádají o mezinárodní ochranu nebo kteří se nelegálně zdržují na územích členských států.</w:t>
      </w:r>
    </w:p>
    <w:p>
      <w:pPr>
        <w:rPr>
          <w:noProof/>
        </w:rPr>
      </w:pPr>
      <w:r>
        <w:rPr>
          <w:noProof/>
        </w:rPr>
        <w:t>Evropská rada ve svých závěrech znovu potvrdila, že je důležité uplatňovat komplexní přístup k migraci, a uznala, že migrace představuje problém nejen pro jeden členský stát, ale pro Evropu jako celek. V tomto ohledu zdůraznila význam poskytování podpory ze strany Unie za účelem zajištění řádného řízení migračních toků. Hlavní zásady dohodnuté v závěrech Evropské rady také dále podpořily členské státy na různých fórech</w:t>
      </w:r>
      <w:r>
        <w:rPr>
          <w:rStyle w:val="FootnoteReference"/>
          <w:noProof/>
        </w:rPr>
        <w:footnoteReference w:id="3"/>
      </w:r>
      <w:r>
        <w:rPr>
          <w:noProof/>
        </w:rPr>
        <w:t xml:space="preserve">, přičemž zdůraznily potřebu posílení nástrojů evropské solidarity. Agentura Evropské unie pro azyl by měla být hmatatelným příkladem evropské solidarity a musí dosahovat úrovně ambicí nutné pro to, aby Evropská unie měla efektivní a účinný společný evropský azylový systém (CEAS). </w:t>
      </w:r>
    </w:p>
    <w:p>
      <w:pPr>
        <w:rPr>
          <w:noProof/>
          <w:color w:val="000000" w:themeColor="text1"/>
        </w:rPr>
      </w:pPr>
      <w:r>
        <w:rPr>
          <w:noProof/>
        </w:rPr>
        <w:t xml:space="preserve">Agentura Evropské unie pro azyl musí být schopna poskytovat členským státům v příslušných případech plnou operativní podporu a posilovat jejich schopnost řídit azylovou agendu ve správní fázi řízení a vyřizovat odvolání v případech žádostí o azyl. </w:t>
      </w:r>
      <w:r>
        <w:rPr>
          <w:noProof/>
          <w:color w:val="000000" w:themeColor="text1"/>
        </w:rPr>
        <w:t xml:space="preserve">Tento pozměněný návrh nařízení o </w:t>
      </w:r>
      <w:r>
        <w:rPr>
          <w:noProof/>
        </w:rPr>
        <w:t xml:space="preserve">Agentuře Evropské unie pro azyl se zaměřuje na ustanovení týkající se operativní a technické pomoci, aby bylo zajištěno, že agentura bude schopna na žádost členského státu poskytnout podporu v co nejúplnějším rozsahu tím, že bude provádět celý správní postup pro mezinárodní ochranu nebo jeho části, </w:t>
      </w:r>
      <w:r>
        <w:rPr>
          <w:noProof/>
          <w:color w:val="000000" w:themeColor="text1"/>
        </w:rPr>
        <w:t>pomáhat s</w:t>
      </w:r>
      <w:r>
        <w:rPr>
          <w:noProof/>
        </w:rPr>
        <w:t xml:space="preserve"> tímto postupem za účelem stanovení, který členský stát nese odpovědnost za posouzení žádosti o mezinárodní ochranu, či tento postup vykonávat, a tím, že bude pomáhat soudům nebo tribunálům s vyřizováním odvolání, aniž by tím byla dotčena pravomoc členských států rozhodovat o jednotlivých žádostech, přičemž bude plně respektovat uspořádání soudnictví v každém členském státě i nezávislost a nestrannost soudů.</w:t>
      </w:r>
      <w:r>
        <w:rPr>
          <w:noProof/>
          <w:color w:val="000000" w:themeColor="text1"/>
        </w:rPr>
        <w:t xml:space="preserve"> </w:t>
      </w:r>
    </w:p>
    <w:p>
      <w:pPr>
        <w:rPr>
          <w:noProof/>
        </w:rPr>
      </w:pPr>
      <w:r>
        <w:rPr>
          <w:noProof/>
        </w:rPr>
        <w:t xml:space="preserve">V návaznosti na závěry Evropské rady vytvořila Komise koncepce regionálních opatření pro vylodění a koncepce kontrolovaných středisek a spolupracuje s členskými státy, příslušnými agenturami Unie a dalšími zúčastněnými stranami na provádění těchto koncepcí na základě společného úsilí s plnou podporou Unie. </w:t>
      </w:r>
      <w:r>
        <w:rPr>
          <w:noProof/>
          <w:color w:val="000000" w:themeColor="text1"/>
        </w:rPr>
        <w:t>V této souvislosti a s ohledem na navrhované změny nařízení o Evropské pohraniční a pobřežní stráži je také cílem tohoto pozměněného návrhu posílit prvky spolupráce mezi Agenturou Evropské unie pro azyl a Evropskou pohraniční a pobřežní stráží, aby byl reflektován návrh Komise na pozměnění nařízení o Evropské pohraniční a pobřežní stráži, zejména</w:t>
      </w:r>
      <w:r>
        <w:rPr>
          <w:noProof/>
        </w:rPr>
        <w:t xml:space="preserve"> pokud jde o vysílání podpůrných týmů pro řízení migrace do hotspotů a kontrolovaných středisek. V tomto ohledu řeší Komise potřebu zajistit synergie mezi postupy pro mezinárodní ochranu a navracením, a to prostřednictvím koordinace mezi příslušnými národními orgány a příslušnými agenturami Unie. </w:t>
      </w:r>
    </w:p>
    <w:p>
      <w:pPr>
        <w:rPr>
          <w:noProof/>
          <w:color w:val="000000" w:themeColor="text1"/>
        </w:rPr>
      </w:pPr>
      <w:r>
        <w:rPr>
          <w:noProof/>
        </w:rPr>
        <w:lastRenderedPageBreak/>
        <w:t>Tento pozměněný návrh je nutné vnímat v souvislosti s interinstitucionálními jednáními o návrhu nařízení o Agentuře Evropské unie pro azyl a o zrušení nařízení (EU) č. 439/2010, jenž byl Komisí předložen dne 4. května 2016.</w:t>
      </w:r>
      <w:r>
        <w:rPr>
          <w:rStyle w:val="FootnoteReference"/>
          <w:noProof/>
        </w:rPr>
        <w:footnoteReference w:id="4"/>
      </w:r>
      <w:r>
        <w:rPr>
          <w:noProof/>
        </w:rPr>
        <w:t xml:space="preserve"> Tato jednání vedla k prozatímní dohodě mezi Evropským parlamentem a Radou ze dne 28. června 2017, která již podle názoru Komise významně posílí mandát Agentury Evropské unie pro azyl (dále jen „agentura“) ve srovnání se stávajícím mandátem Evropského podpůrného úřadu pro otázky azylu. Vzhledem k probíhajícím jednáním o celkové reformě společného evropského azylového systému nebylo nařízení o Agentuře Evropské unie pro azyl dosud přijato. </w:t>
      </w:r>
      <w:r>
        <w:rPr>
          <w:noProof/>
          <w:color w:val="000000" w:themeColor="text1"/>
        </w:rPr>
        <w:t xml:space="preserve">Komise respektuje prozatímní dohodu </w:t>
      </w:r>
      <w:r>
        <w:rPr>
          <w:noProof/>
        </w:rPr>
        <w:t>dosaženou mezi Evropským parlamentem a Radou dne 28. června 2017 a uznává přidanou hodnotu tohoto kompromisu ve srovnání se současným nařízením. Komise se domnívá, že tento pozměněný návrh by měl být projednán v souvislosti s probíhajícími jednáními o reformě společného evropského azylového systému a měl by být vnímán jako doplněk těchto jednání. Tento pozměněný návrh by v žádném případě neměl dále zdržovat přijetí nařízení o Agentuře Evropské unie pro azyl.</w:t>
      </w:r>
    </w:p>
    <w:p>
      <w:pPr>
        <w:rPr>
          <w:noProof/>
          <w:color w:val="000000" w:themeColor="text1"/>
        </w:rPr>
      </w:pPr>
      <w:r>
        <w:rPr>
          <w:noProof/>
        </w:rPr>
        <w:t xml:space="preserve">Evropská rada dále zdůraznila potřebu najít rychlé řešení celého balíčku týkajícího se společného evropského azylového systému a vyjádřila názor, že práce by měly pokračovat s cílem tento balíček co nejdříve uzavřít. </w:t>
      </w:r>
      <w:r>
        <w:rPr>
          <w:noProof/>
          <w:color w:val="000000" w:themeColor="text1"/>
        </w:rPr>
        <w:t>Konkrétní změny tohoto návrhu, vnímané v souvislosti s návrhy, jež se týkají Evropské pohraniční a pobřežní stráže a směrnice o navracení, pramení z komplexního přístupu nutného pro usnadnění dohody, která vytvoří náležitou rovnováhu mezi solidaritou a odpovědností.</w:t>
      </w:r>
    </w:p>
    <w:p>
      <w:pPr>
        <w:pStyle w:val="ManualHeading2"/>
        <w:rPr>
          <w:noProof/>
          <w:color w:val="000000"/>
          <w:u w:color="000000"/>
          <w:bdr w:val="nil"/>
        </w:rPr>
      </w:pPr>
      <w:r>
        <w:rPr>
          <w:noProof/>
          <w:color w:val="000000"/>
          <w:u w:color="000000"/>
          <w:bdr w:val="nil"/>
        </w:rPr>
        <w:t>•</w:t>
      </w:r>
      <w:r>
        <w:rPr>
          <w:noProof/>
        </w:rPr>
        <w:tab/>
        <w:t>Soulad s platnými předpisy v této oblasti politiky</w:t>
      </w:r>
    </w:p>
    <w:p>
      <w:pPr>
        <w:rPr>
          <w:noProof/>
        </w:rPr>
      </w:pPr>
      <w:r>
        <w:rPr>
          <w:noProof/>
        </w:rPr>
        <w:t>V reakci na výzvy Evropské rady</w:t>
      </w:r>
      <w:r>
        <w:rPr>
          <w:rStyle w:val="FootnoteReference"/>
          <w:noProof/>
        </w:rPr>
        <w:footnoteReference w:id="5"/>
      </w:r>
      <w:r>
        <w:rPr>
          <w:noProof/>
        </w:rPr>
        <w:t xml:space="preserve"> Komise v dubnu 2016 oznámila, že přikročí k reformě stávajícího rámce Unie za účelem zajištění humánní a efektivní azylové politiky, a v květnu a červenci téhož roku představila soubor návrhů na reformu společného evropského azylového systému. Patřil k nim návrh nařízení o Agentuře Evropské unie pro azyl. Tento pozměněný návrh doplňuje původní návrh Komise a je v souladu s cílem vytvořit takovou vnitřní politiku, která bude s ohledem na závěry Evropské rady z června 2018 založena na rovnováze mezi solidaritou a odpovědností. Zesílená podpora Agentury Evropské unie pro azyl je zásadním prvkem solidarity.</w:t>
      </w:r>
    </w:p>
    <w:p>
      <w:pPr>
        <w:pStyle w:val="ManualHeading2"/>
        <w:rPr>
          <w:rFonts w:eastAsia="Arial Unicode MS"/>
          <w:noProof/>
        </w:rPr>
      </w:pPr>
      <w:r>
        <w:rPr>
          <w:noProof/>
          <w:color w:val="000000"/>
          <w:u w:color="000000"/>
          <w:bdr w:val="nil"/>
        </w:rPr>
        <w:t>•</w:t>
      </w:r>
      <w:r>
        <w:rPr>
          <w:noProof/>
        </w:rPr>
        <w:tab/>
        <w:t>Soulad s ostatními politikami Unie</w:t>
      </w:r>
    </w:p>
    <w:p>
      <w:pPr>
        <w:rPr>
          <w:noProof/>
        </w:rPr>
      </w:pPr>
      <w:r>
        <w:rPr>
          <w:noProof/>
        </w:rPr>
        <w:t xml:space="preserve">Tento návrh je v souladu s komplexní dlouhodobou politikou lepšího řízení migrace, jak ji stanovila Komise v Evropském programu pro migraci, který rozpracovává politické směry předsedy Junckera do souboru iniciativ, jež jsou vzájemně soudržné a doplňují se, založených na čtyřech pilířích. Tyto pilíře se skládají ze snižování motivace k nelegální migraci, ze zabezpečení vnějších hranic a záchrany životů, ze silné azylové politiky a z nových pravidel legální migrace. Tento návrh dále provádí Evropský program pro migraci, konkrétně pokud jde o cíl posílení azylové politiky Unie, vzhledem k tomu, že Agentura Evropské unie pro azyl zajistí úplné a soudržné provádění společného evropského azylového systému. Návrh reaguje na výzvy Evropské rady z června 2018 k přijetí komplexního přístupu k migraci, který přinese účinnější kontrolu vnějších hranic Unie a posílí vnější činnost i vnitřní aspekty, zejména ty, jež se vztahují k reformě společného evropského azylového systému. </w:t>
      </w:r>
    </w:p>
    <w:p>
      <w:pPr>
        <w:rPr>
          <w:noProof/>
        </w:rPr>
      </w:pPr>
      <w:r>
        <w:rPr>
          <w:noProof/>
        </w:rPr>
        <w:lastRenderedPageBreak/>
        <w:t>Revidované rámcové finanční nařízení</w:t>
      </w:r>
      <w:r>
        <w:rPr>
          <w:rStyle w:val="FootnoteReference"/>
          <w:noProof/>
        </w:rPr>
        <w:footnoteReference w:id="6"/>
      </w:r>
      <w:r>
        <w:rPr>
          <w:noProof/>
        </w:rPr>
        <w:t xml:space="preserve"> pro decentralizované agentury včetně posílených pravidel řízení těchto agentur v oblasti podvodů, nesrovnalostí, pravidel o střetu zájmů a interní kontroly doplní pravidla obsažená v tomto návrhu.</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Legislativní návrh vychází z čl. 78 odst. 1 a 2 Smlouvy o fungování Evropské unie.</w:t>
      </w:r>
    </w:p>
    <w:p>
      <w:pPr>
        <w:pStyle w:val="ManualHeading2"/>
        <w:rPr>
          <w:rFonts w:eastAsia="Arial Unicode MS"/>
          <w:noProof/>
          <w:u w:color="000000"/>
          <w:bdr w:val="nil"/>
        </w:rPr>
      </w:pPr>
      <w:r>
        <w:rPr>
          <w:noProof/>
        </w:rPr>
        <w:t>•</w:t>
      </w:r>
      <w:r>
        <w:rPr>
          <w:noProof/>
        </w:rPr>
        <w:tab/>
        <w:t xml:space="preserve">Subsidiarita </w:t>
      </w:r>
    </w:p>
    <w:p>
      <w:pPr>
        <w:rPr>
          <w:noProof/>
        </w:rPr>
      </w:pPr>
      <w:r>
        <w:rPr>
          <w:noProof/>
        </w:rPr>
        <w:t xml:space="preserve">Cílem tohoto návrhu je i) zajistit, aby členské státy mohly využívat zvýšenou podporu agentury, a to i prostřednictvím jejího zapojení do postupu pro mezinárodní ochranu ve správní fázi a do příslušného postupu podle nařízení (EU) č. XXX/XXX [dublinské nařízení], a aby díky tomu dokázaly rychleji a včas zpracovávat žádosti o mezinárodní ochranu s ohledem na cíl efektivního a řádného fungování azylových a přijímacích systémů; ii) </w:t>
      </w:r>
      <w:r>
        <w:rPr>
          <w:noProof/>
          <w:color w:val="000000" w:themeColor="text1"/>
        </w:rPr>
        <w:t xml:space="preserve">posílit prvky spolupráce mezi Agenturou Evropské unie pro azyl a Evropskou pohraniční a pobřežní stráží a </w:t>
      </w:r>
      <w:r>
        <w:rPr>
          <w:noProof/>
        </w:rPr>
        <w:t xml:space="preserve">iii) stanovit odpovědnost za navrhování Komisi seznamu kandidátů na zástupce výkonného ředitele. </w:t>
      </w:r>
    </w:p>
    <w:p>
      <w:pPr>
        <w:pBdr>
          <w:top w:val="nil"/>
          <w:left w:val="nil"/>
          <w:bottom w:val="nil"/>
          <w:right w:val="nil"/>
          <w:between w:val="nil"/>
          <w:bar w:val="nil"/>
        </w:pBdr>
        <w:spacing w:before="0" w:after="240"/>
        <w:rPr>
          <w:rFonts w:eastAsia="Arial Unicode MS"/>
          <w:noProof/>
        </w:rPr>
      </w:pPr>
      <w:r>
        <w:rPr>
          <w:noProof/>
        </w:rPr>
        <w:t xml:space="preserve">Vzhledem k tomu, že je společným a sdíleným zájmem zajistit řádné uplatňování právního rámce v oblasti azylu a efektivní fungování společného evropského azylového systému jako celku, nemůže být cílů tohoto návrhu dosaženo uspokojivě na úrovni členských států, a lze jich tedy z důvodu rozsahu a účinků této akce lépe dosáhnout na úrovni Unie, může Unie přijmout opatření v souladu se zásadou subsidiarity stanovenou v článku 5 Smlouvy o Evropské unii (SEU). </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poskytuje agentuře možnost poskytovat lepší podporu, a to i prostřednictvím jejího zapojení do postupu pro mezinárodní ochranu ve správní fázi a do příslušného postupu podle nařízení (EU) č. XXX/XXX [dublinské nařízení], včetně přípravy rozhodnutí o žádostech o mezinárodní ochranu. Tuto podporu lze členským státům poskytnout pouze na jejich žádost a podle jejich potřeb. V souladu se zásadou subsidiarity stanovenou v článku 5 Smlouvy o Evropské unii tedy tento návrh nepřesahuje rámec toho, co je pro dosažení těchto cílů nezbytné.</w:t>
      </w:r>
    </w:p>
    <w:p>
      <w:pPr>
        <w:pStyle w:val="ManualHeading2"/>
        <w:rPr>
          <w:rFonts w:eastAsia="Arial Unicode MS"/>
          <w:noProof/>
          <w:u w:color="000000"/>
          <w:bdr w:val="nil"/>
        </w:rPr>
      </w:pPr>
      <w:r>
        <w:rPr>
          <w:noProof/>
        </w:rPr>
        <w:t>•</w:t>
      </w:r>
      <w:r>
        <w:rPr>
          <w:noProof/>
        </w:rPr>
        <w:tab/>
        <w:t>Volba nástroje</w:t>
      </w:r>
    </w:p>
    <w:p>
      <w:pPr>
        <w:rPr>
          <w:noProof/>
        </w:rPr>
      </w:pPr>
      <w:r>
        <w:rPr>
          <w:noProof/>
        </w:rPr>
        <w:t>Pouze nařízení může poskytnout potřebný stupeň účinnosti a jednotnosti, které jsou nutné při uplatňování práva Unie v oblasti azylu. Navíc s ohledem na to, že původní návrh Komise byl návrhem nařízení o Agentuře Evropské unie pro azyl, je tentýž právní nástroj vhodný i pro tento pozměněný návrh.</w:t>
      </w:r>
    </w:p>
    <w:p>
      <w:pPr>
        <w:pStyle w:val="ManualHeading1"/>
        <w:rPr>
          <w:noProof/>
        </w:rPr>
      </w:pPr>
      <w:r>
        <w:rPr>
          <w:noProof/>
        </w:rPr>
        <w:t xml:space="preserve">3. </w:t>
      </w:r>
      <w:r>
        <w:rPr>
          <w:noProof/>
        </w:rPr>
        <w:tab/>
        <w:t xml:space="preserve">VÝSLEDKY HODNOCENÍ </w:t>
      </w:r>
      <w:r>
        <w:rPr>
          <w:i/>
          <w:noProof/>
        </w:rPr>
        <w:t>EX POST</w:t>
      </w:r>
      <w:r>
        <w:rPr>
          <w:noProof/>
        </w:rPr>
        <w:t>, KONZULTACÍ SE ZÚČASTNĚNÝMI STRANAMI A POSOUZENÍ DOPADŮ</w:t>
      </w:r>
    </w:p>
    <w:p>
      <w:pPr>
        <w:pBdr>
          <w:top w:val="nil"/>
          <w:left w:val="nil"/>
          <w:bottom w:val="nil"/>
          <w:right w:val="nil"/>
          <w:between w:val="nil"/>
          <w:bar w:val="nil"/>
        </w:pBdr>
        <w:spacing w:before="0" w:after="240"/>
        <w:rPr>
          <w:rFonts w:eastAsia="Arial Unicode MS"/>
          <w:noProof/>
        </w:rPr>
      </w:pPr>
      <w:r>
        <w:rPr>
          <w:noProof/>
        </w:rPr>
        <w:t xml:space="preserve">Při přípravě tohoto pozměněného návrhu vzala Komise v úvahu nedávné debaty v Evropské radě, Radě ministrů a Evropském parlamentu týkající se problémů spojených s nepřetržitou migrací a s oblastí azylu a také toho, jak je důležité zefektivnit práci agentur Unie na jejich </w:t>
      </w:r>
      <w:r>
        <w:rPr>
          <w:noProof/>
        </w:rPr>
        <w:lastRenderedPageBreak/>
        <w:t xml:space="preserve">rozhodném řešení. Evropská rada na svém zasedání dne 28. června 2018 zejména znovu potvrdila, že migrace představuje problém nejen pro jeden členský stát, ale pro Evropu jako celek. V tomto ohledu zdůraznila význam poskytování podpory ze strany Unie za účelem zajištění řádného řízení migračních toků. Tento návrh tedy zmiňovanou myšlenku odráží a zajišťuje lepší operativní podporu, která s podporou agentury členským státům umožní lépe řešit současné problémy související s migrací. </w:t>
      </w:r>
    </w:p>
    <w:p>
      <w:pPr>
        <w:pBdr>
          <w:top w:val="nil"/>
          <w:left w:val="nil"/>
          <w:bottom w:val="nil"/>
          <w:right w:val="nil"/>
          <w:between w:val="nil"/>
          <w:bar w:val="nil"/>
        </w:pBdr>
        <w:spacing w:before="0" w:after="240"/>
        <w:rPr>
          <w:rFonts w:eastAsia="Arial Unicode MS"/>
          <w:noProof/>
        </w:rPr>
      </w:pPr>
      <w:r>
        <w:rPr>
          <w:noProof/>
        </w:rPr>
        <w:t xml:space="preserve">S ohledem na interinstitucionální jednání a prozatímní dohodu dosaženou mezi Evropským parlamentem a Radou dne 28. června 2017 se tedy tento návrh týká pouze konkrétních změn článku 16 o operativní a technické pomoci a článku 21 o podpůrných týmech pro řízení migrace (za účelem zajištění soudržnosti s návrhem nařízení o Evropské pohraniční a pobřežní stráži, který se předkládá s tímto pozměněným návrhem). Kromě toho navrhuje vložení nového článku, a to článku 16a o posílené pomoci s postupem pro mezinárodní ochranu a s řízením podle dublinského nařízení, a pozměňuje článek 47 s ohledem na výběr zástupce výkonného ředitele. Návrh se tedy zaměřuje na řešení současných naléhavých potřeb členských států, které čelí migračnímu tlaku, a odráží stávající situaci v dotčených oblastech, přičemž navrhované změny omezuje pouze na to, co je v tomto směru nezbytné. </w:t>
      </w:r>
    </w:p>
    <w:p>
      <w:pPr>
        <w:pBdr>
          <w:top w:val="nil"/>
          <w:left w:val="nil"/>
          <w:bottom w:val="nil"/>
          <w:right w:val="nil"/>
          <w:between w:val="nil"/>
          <w:bar w:val="nil"/>
        </w:pBdr>
        <w:spacing w:before="0" w:after="240"/>
        <w:rPr>
          <w:rFonts w:eastAsia="Arial Unicode MS"/>
          <w:noProof/>
        </w:rPr>
      </w:pPr>
      <w:r>
        <w:rPr>
          <w:noProof/>
        </w:rPr>
        <w:t>Vzhledem k výše uvedenému vysvětlení a k celkově omezenému charakteru tohoto pozměněného návrhu se Komise rozhodla nezahajovat žádné další hodnocení, konzultace se zúčastněnými stranami ani posouzení dopadů, a vychází v tomto ohledu z toho, co bylo vykonáno při přípravě původního návrhu nařízení o Agentuře Evropské unie pro azyl, předloženého Komisí dne 4. května 2016.</w:t>
      </w:r>
    </w:p>
    <w:p>
      <w:pPr>
        <w:pStyle w:val="ManualHeading2"/>
        <w:rPr>
          <w:rFonts w:eastAsia="Arial Unicode MS"/>
          <w:noProof/>
          <w:u w:color="000000"/>
          <w:bdr w:val="nil"/>
        </w:rPr>
      </w:pPr>
      <w:r>
        <w:rPr>
          <w:noProof/>
        </w:rPr>
        <w:t>•</w:t>
      </w:r>
      <w:r>
        <w:rPr>
          <w:noProof/>
        </w:rPr>
        <w:tab/>
        <w:t>Základní práva</w:t>
      </w:r>
    </w:p>
    <w:p>
      <w:pPr>
        <w:rPr>
          <w:noProof/>
        </w:rPr>
      </w:pPr>
      <w:r>
        <w:rPr>
          <w:noProof/>
        </w:rPr>
        <w:t>Tento návrh ctí základní práva a zachovává zásady uznávané zejména v Listině základních práv Evropské unie. Veškeré činnosti Agentury Evropské unie pro azyl musí probíhat tak, aby byla plně respektována základní práva zakotvená v Listině, včetně práva na azyl (článek 18 Listiny), ochrany před navracením (článek 19 Listiny), práva na respektování soukromého a rodinného života (článek 7 Listiny), práva na ochranu osobních údajů (článek 8 Listiny) a práva na účinnou právní ochranu (článek 47 Listiny). Návrh plně zohledňuje práva dítěte a zvláštní potřeby osob ve zranitelné situaci.</w:t>
      </w:r>
    </w:p>
    <w:p>
      <w:pPr>
        <w:pStyle w:val="ManualHeading1"/>
        <w:rPr>
          <w:noProof/>
        </w:rPr>
      </w:pPr>
      <w:r>
        <w:rPr>
          <w:noProof/>
        </w:rPr>
        <w:t>4.</w:t>
      </w:r>
      <w:r>
        <w:rPr>
          <w:noProof/>
        </w:rPr>
        <w:tab/>
        <w:t>ROZPOČTOVÉ DŮSLEDKY</w:t>
      </w:r>
    </w:p>
    <w:p>
      <w:pPr>
        <w:rPr>
          <w:noProof/>
        </w:rPr>
      </w:pPr>
      <w:r>
        <w:rPr>
          <w:noProof/>
        </w:rPr>
        <w:t>Tento návrh pozměňuje původní návrh nařízení o Agentuře Evropské unie pro azyl předložený Komisí a zajišťuje, že agentura bude členským státům poskytovat intenzivnější operativní a technickou pomoc, která spočívá především v intenzivnější podpoře v souvislosti s postupem pro mezinárodní ochranu a prováděním dublinského nařízení. Návrh dále zavádí možnost širšího využití podpůrných týmů pro řízení migrace. Jsou tedy nutné další finanční zdroje, které agentuře umožní vysílání nezbytných azylových podpůrných týmů (od odborníků pro azylovou problematiku a dočasných zaměstnanců po tlumočníky) i technického vybavení a infrastruktury (například vybavení Eurodac) pro tyto činnosti.</w:t>
      </w:r>
    </w:p>
    <w:p>
      <w:pPr>
        <w:rPr>
          <w:noProof/>
        </w:rPr>
      </w:pPr>
      <w:r>
        <w:rPr>
          <w:noProof/>
        </w:rPr>
        <w:t xml:space="preserve">Požadované další finanční zdroje činí 55 milionů EUR za každý rok v letech 2019–2027. Celkové finanční zdroje nezbytné k tomu, aby agentura mohla plnit své poslání v rámci navrhovaného rozšířeného mandátu, činí 320,8 milionu EUR na období 2019–2020 a 1,25 miliardy EUR na období 2021–2027. </w:t>
      </w:r>
    </w:p>
    <w:p>
      <w:pPr>
        <w:rPr>
          <w:noProof/>
        </w:rPr>
      </w:pPr>
      <w:r>
        <w:rPr>
          <w:noProof/>
        </w:rPr>
        <w:t xml:space="preserve">Vzhledem k tomu, že většina nových činností by byla pokryta vysíláním azylových podpůrných týmů, nepředpokládá se, že by na rozdíl od původního návrhu Komise, který počítal s postupným navýšením počtu zaměstnanců agentury na 500 ekvivalentů plného </w:t>
      </w:r>
      <w:r>
        <w:rPr>
          <w:noProof/>
        </w:rPr>
        <w:lastRenderedPageBreak/>
        <w:t xml:space="preserve">pracovního úvazku v roce 2020, bylo pro efektivní práci agentury nutné vytvářet nová pracovní místa. </w:t>
      </w:r>
    </w:p>
    <w:p>
      <w:pPr>
        <w:rPr>
          <w:noProof/>
        </w:rPr>
      </w:pPr>
      <w:r>
        <w:rPr>
          <w:noProof/>
        </w:rPr>
        <w:t>Finanční potřeby jsou v souladu se stávajícím víceletým finančním rámcem, mohou však vyžadovat využití zvláštních nástrojů definovaných v nařízení Rady (EU, Euratom) č. 1311/2013. Příspěvek EU požadovaný na období 2021–2027 lze financovat v rámci stropů stanovených v návrhu VFR ze dne 2. května 2018.</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Podrobné vysvětlení zvláštních ustanovení návrhu</w:t>
      </w:r>
    </w:p>
    <w:p>
      <w:pPr>
        <w:rPr>
          <w:noProof/>
        </w:rPr>
      </w:pPr>
      <w:r>
        <w:rPr>
          <w:noProof/>
        </w:rPr>
        <w:t xml:space="preserve">Tento návrh pozměňující původní návrh nařízení o Agentuře Evropské unie pro azyl předložený Komisí bere v potaz interinstitucionální jednání a prozatímní dohodu, které Evropský parlament a Rada dosáhly dne 28. června 2017. </w:t>
      </w:r>
      <w:r>
        <w:rPr>
          <w:noProof/>
          <w:color w:val="000000" w:themeColor="text1"/>
        </w:rPr>
        <w:t>Na základě</w:t>
      </w:r>
      <w:r>
        <w:rPr>
          <w:noProof/>
        </w:rPr>
        <w:t xml:space="preserve"> této prozatímní dohody bude agentura moci posílit operativní a technickou pomoc členským státům, zejména těm, které jsou vystaveny nepřiměřenému tlaku, a to i prostřednictvím vytvoření rezervní skupiny pro otázky azylu složené z 500 odborníků z členských států, čímž bude umožněno jejich rychlé vysílání. V rámci operativní a technické pomoci, kterou může poskytovat, usnadní agentura posuzování žádostí o mezinárodní ochranu a pomůže členským státům s postupem pro mezinárodní ochranu. Dále bude agentura moci na základě prováděcího rozhodnutí Rady zasáhnout v členském státě v případě, že vznikl nepřiměřený tlak, kvůli kterému jsou kladeny mimořádně velké a naléhavé nároky na azylové a přijímací systémy členského státu, a v případech, kdy nejsou učiněna žádná opatření nebo jsou přijata nedostatečná opatření, či v případech, kdy dotčený členský stát nejedná v souladu s doporučeními Komise po provedení sledování. Agentura zlepší současné fungování společného evropského azylového systému prostřednictvím svého úkolu pravidelně sledovat operativní a technické uplatňování společného evropského azylového systému ze strany členských států za účelem zamezení případným nedostatkům nebo zjištění nedostatků a za účelem poskytnutí příslušné podpory.</w:t>
      </w:r>
    </w:p>
    <w:p>
      <w:pPr>
        <w:rPr>
          <w:noProof/>
        </w:rPr>
      </w:pPr>
      <w:r>
        <w:rPr>
          <w:noProof/>
        </w:rPr>
        <w:t>Tento pozměněný návrh se skládá z konkrétních změn, kdy Komise navrhuje nahradit dva články svého původního návrhu, konkrétně článek 16 o operativní a technické pomoci a článek 21 o podpůrných týmech pro řízení migrace. Komise dále navrhuje vložení nového článku, a to článku 16a o posílené pomoci s postupem pro mezinárodní ochranu a s řízením podle dublinského nařízení. Kromě toho jsou navrhovány změny článku 47 ohledně jmenování zástupce výkonného ředitele.</w:t>
      </w:r>
    </w:p>
    <w:p>
      <w:pPr>
        <w:rPr>
          <w:noProof/>
        </w:rPr>
      </w:pPr>
      <w:r>
        <w:rPr>
          <w:noProof/>
        </w:rPr>
        <w:t>Pokud jde o článek 16 týkající se operativní a technické pomoci, kterou může agentura poskytovat členským státům, zahrnuje Komise do svého pozměněného návrhu text prozatímní dohody uzavřené mezi Evropským parlamentem a Radou. Pozměněný návrh tímto způsobem stanoví veškeré situace a podmínky, za nichž může agentura poskytovat operativní a technickou pomoc, tedy na žádost dotčeného členského státu, na podnět agentury se souhlasem dotčeného členského státu nebo na základě prováděcího rozhodnutí Rady. Tento pozměněný návrh rovněž podrobně uvádí úkoly, jež může agentura vykonávat při poskytování operativní a technické pomoci tím, že se bude věnovat úkolům určeným v článcích 16 a 21 prozatímní dohody. Úkoly popsané v článku 16 jsou navíc dále uzpůsobeny tak, aby reflektovaly vložení článku 16a o posílené pomoci s postupem pro mezinárodní ochranu a s řízením podle dublinského nařízení i změny článku 21 o podpůrných týmech pro řízení migrace.</w:t>
      </w:r>
    </w:p>
    <w:p>
      <w:pPr>
        <w:rPr>
          <w:noProof/>
        </w:rPr>
      </w:pPr>
      <w:r>
        <w:rPr>
          <w:noProof/>
        </w:rPr>
        <w:t xml:space="preserve">Nový článek 16a je středobodem tohoto pozměněného návrhu a stanoví možnost, že členský stát na vlastní žádost využije posílené podpory ze strany agentury, včetně její účasti na celém postupu nebo na částech postupu pro mezinárodní ochranu ve správní fázi a na příslušném postupu podle nařízení (EU) č. XXX/XXX [dublinské nařízení]. To by členským státům </w:t>
      </w:r>
      <w:r>
        <w:rPr>
          <w:noProof/>
        </w:rPr>
        <w:lastRenderedPageBreak/>
        <w:t xml:space="preserve">umožnilo zpracovávat žádosti o mezinárodní ochranu rychle a včas, což by vedlo k efektivnímu a řádnému fungování jejich azylových a přijímacích systémů. V tomto ohledu by agentura byla schopna podle požadavku příslušného vnitrostátního orgánu připravovat rozhodnutí o žádostech o mezinárodní ochranu a poskytovat tato rozhodnutí příslušným vnitrostátním orgánům, které pak přijmou rozhodnutí o jednotlivých žádostech a ponesou plnou odpovědnost za zpracování tohoto požadavku. Agentura by také byla schopna podporovat členské státy tak, že by vyřizovala jejich odvolání v případech azylových záležitostí mimo jiné prostřednictvím právního výzkumu, vytváření zpráv a analýz a poskytování další právní podpory na žádost soudů nebo tribunálů, přičemž by byla plně respektována nezávislost a nestrannost soudnictví. </w:t>
      </w:r>
    </w:p>
    <w:p>
      <w:pPr>
        <w:rPr>
          <w:noProof/>
        </w:rPr>
      </w:pPr>
      <w:r>
        <w:rPr>
          <w:noProof/>
        </w:rPr>
        <w:t xml:space="preserve">Co se týče změn článku 21 o podpůrných týmech pro řízení migrace, Komise navrhuje, aby článek v jejím původním návrhu byl nahrazen novým článkem, čímž bude zajištěna soudržnost s návrhem nařízení o Evropské pohraniční a pobřežní stráži, který se předkládá s tímto pozměněným návrhem. Komise navrhuje rozšířit oblast působnosti pro aktivaci využití podpůrných týmů pro řízení migrace – jejich vysílání podléhá žádosti členského státu, ale není už omezeno na případy nepřiměřených migračních výzev. V důsledku tohoto pozměněného návrhu má Komise na starost koordinaci přímo v dotčených oblastech, jak je již uvedeno v prozatímní dohodě mezi Evropským parlamentem a Radou, a také koordinaci žádostí členských států a posuzování potřeb. Tím by byla zajištěna soudržnost mezi různými akcemi příslušných agentur Unie i hospodárné zacházení se zdroji agentur a členských států. </w:t>
      </w:r>
    </w:p>
    <w:p>
      <w:pPr>
        <w:rPr>
          <w:noProof/>
        </w:rPr>
      </w:pPr>
      <w:r>
        <w:rPr>
          <w:noProof/>
        </w:rPr>
        <w:t>Co se týče článku 47, Komise navrhuje, aby odpovědnost za navrhování seznamu kandidátů na zástupce výkonného ředitele správní rady nesla místo výkonného ředitele Komise. Tato změna, která znovu přináší to, co už bylo navrženo v původním návrhu Komise, se zavádí za účelem dosažení souladu s postupem jmenování výkonného ředitele a tedy i za účelem lepšího sladění rámce pro správu agentury se zásadami společného přístupu k decentralizovaným agenturám Unie přijatého Evropským parlamentem, Radou a Komisí dne 12. července 2012. To je rovněž v souladu s přístupem, který Komise zaujímá v návrhu nařízení o Evropské pohraniční a pobřežní stráži.</w:t>
      </w:r>
    </w:p>
    <w:p>
      <w:pPr>
        <w:rPr>
          <w:noProof/>
        </w:rPr>
      </w:pPr>
      <w:r>
        <w:rPr>
          <w:noProof/>
        </w:rPr>
        <w:t>Pokud spolunormotvůrci schválí a zahrnou změny navržené Komisí v tomto pozměněném návrhu nařízení o Agentuře Evropské unie pro azyl, bude nutné zajistit soulad s ostatními články návrhu nařízení o Agentuře Evropské unie pro azyl, co se týče postupu poskytování operativní a technické pomoci, operačního plánu a vysílání azylových podpůrných týmů, a také soulad s předpisy o ochraně osobních údajů a s dalšími souvisejícími nástroji, zejména s návrhem nařízení o azylovém řízení a návrhem dublinského nařízení, a rovněž bude nutné přečíslovat články a body odůvodnění.</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2016/0131 (COD)</w:t>
      </w:r>
    </w:p>
    <w:p>
      <w:pPr>
        <w:pStyle w:val="Statut"/>
        <w:rPr>
          <w:noProof/>
        </w:rPr>
      </w:pPr>
      <w:r>
        <w:rPr>
          <w:noProof/>
        </w:rPr>
        <w:t>Pozměněný návrh</w:t>
      </w:r>
    </w:p>
    <w:p>
      <w:pPr>
        <w:pStyle w:val="Typedudocument"/>
        <w:rPr>
          <w:noProof/>
        </w:rPr>
      </w:pPr>
      <w:r>
        <w:rPr>
          <w:noProof/>
        </w:rPr>
        <w:t>NAŘÍZENÍ EVROPSKÉHO PARLAMENTU A RADY</w:t>
      </w:r>
    </w:p>
    <w:p>
      <w:pPr>
        <w:pStyle w:val="Titreobjet"/>
        <w:rPr>
          <w:noProof/>
        </w:rPr>
      </w:pPr>
      <w:r>
        <w:rPr>
          <w:noProof/>
        </w:rPr>
        <w:t xml:space="preserve">o Agentuře Evropské unie pro azyl a o zrušení nařízení (EU) č. 439/2010 </w:t>
      </w:r>
      <w:r>
        <w:rPr>
          <w:noProof/>
        </w:rPr>
        <w:br/>
      </w:r>
      <w:r>
        <w:rPr>
          <w:noProof/>
        </w:rPr>
        <w:br/>
      </w:r>
      <w:r>
        <w:rPr>
          <w:noProof/>
        </w:rPr>
        <w:br/>
      </w:r>
      <w:r>
        <w:rPr>
          <w:noProof/>
        </w:rPr>
        <w:br/>
      </w:r>
      <w:r>
        <w:rPr>
          <w:noProof/>
        </w:rPr>
        <w:br/>
      </w:r>
      <w:r>
        <w:rPr>
          <w:i/>
          <w:noProof/>
        </w:rPr>
        <w:t>Příspěvek Evropské komise k zasedání vysokých představitelů v</w:t>
      </w:r>
      <w:r>
        <w:rPr>
          <w:noProof/>
        </w:rPr>
        <w:br/>
      </w:r>
      <w:r>
        <w:rPr>
          <w:i/>
          <w:noProof/>
        </w:rPr>
        <w:t>Salcburku ve dnech 19.–20. září 2018</w:t>
      </w:r>
    </w:p>
    <w:p>
      <w:pPr>
        <w:pStyle w:val="Institutionquiagit"/>
        <w:rPr>
          <w:noProof/>
        </w:rPr>
      </w:pPr>
      <w:r>
        <w:rPr>
          <w:noProof/>
        </w:rPr>
        <w:t>EVROPSKÝ PARLAMENT A RADA EVROPSKÉ UNIE</w:t>
      </w:r>
    </w:p>
    <w:p>
      <w:pPr>
        <w:spacing w:line="360" w:lineRule="auto"/>
        <w:jc w:val="left"/>
        <w:rPr>
          <w:rFonts w:eastAsia="Times New Roman"/>
          <w:noProof/>
          <w:szCs w:val="24"/>
        </w:rPr>
      </w:pPr>
      <w:r>
        <w:rPr>
          <w:noProof/>
        </w:rPr>
        <w:t>s ohledem na Smlouvu o fungování Evropské unie, a zejména na čl. 78 odst. 1 a 2 této smlouvy,</w:t>
      </w:r>
    </w:p>
    <w:p>
      <w:pPr>
        <w:spacing w:line="360" w:lineRule="auto"/>
        <w:jc w:val="left"/>
        <w:rPr>
          <w:rFonts w:eastAsia="Times New Roman"/>
          <w:noProof/>
          <w:szCs w:val="24"/>
        </w:rPr>
      </w:pPr>
      <w:r>
        <w:rPr>
          <w:noProof/>
        </w:rPr>
        <w:t>s ohledem na návrh Evropské komise,</w:t>
      </w:r>
    </w:p>
    <w:p>
      <w:pPr>
        <w:spacing w:line="360" w:lineRule="auto"/>
        <w:jc w:val="left"/>
        <w:rPr>
          <w:rFonts w:eastAsia="Times New Roman"/>
          <w:noProof/>
          <w:szCs w:val="24"/>
        </w:rPr>
      </w:pPr>
      <w:r>
        <w:rPr>
          <w:noProof/>
        </w:rPr>
        <w:t>po postoupení návrhu legislativního aktu vnitrostátním parlamentům,</w:t>
      </w:r>
    </w:p>
    <w:p>
      <w:pPr>
        <w:spacing w:line="360" w:lineRule="auto"/>
        <w:jc w:val="left"/>
        <w:rPr>
          <w:rFonts w:eastAsia="Times New Roman"/>
          <w:noProof/>
          <w:szCs w:val="24"/>
        </w:rPr>
      </w:pPr>
      <w:r>
        <w:rPr>
          <w:noProof/>
        </w:rPr>
        <w:t>v souladu s řádným legislativním postupem,</w:t>
      </w:r>
    </w:p>
    <w:p>
      <w:pPr>
        <w:spacing w:line="360" w:lineRule="auto"/>
        <w:jc w:val="left"/>
        <w:rPr>
          <w:rFonts w:eastAsia="Times New Roman"/>
          <w:noProof/>
          <w:szCs w:val="24"/>
        </w:rPr>
      </w:pPr>
      <w:r>
        <w:rPr>
          <w:noProof/>
        </w:rPr>
        <w:t>vzhledem k těmto důvodům:</w:t>
      </w:r>
    </w:p>
    <w:p>
      <w:pPr>
        <w:rPr>
          <w:noProof/>
        </w:rPr>
      </w:pPr>
      <w:r>
        <w:rPr>
          <w:noProof/>
        </w:rPr>
        <w:t>(1)</w:t>
      </w:r>
      <w:r>
        <w:rPr>
          <w:noProof/>
        </w:rPr>
        <w:tab/>
        <w:t>Za 20. bod odůvodnění se vkládají nové body odůvodnění, které znějí:</w:t>
      </w:r>
    </w:p>
    <w:p>
      <w:pPr>
        <w:pStyle w:val="ManualConsidrant"/>
        <w:rPr>
          <w:noProof/>
        </w:rPr>
      </w:pPr>
      <w:r>
        <w:rPr>
          <w:noProof/>
        </w:rPr>
        <w:t>„(1)</w:t>
      </w:r>
      <w:r>
        <w:rPr>
          <w:noProof/>
        </w:rPr>
        <w:tab/>
        <w:t xml:space="preserve">V červnu 2018 Evropská rada znovu potvrdila, že je důležité uplatňovat komplexní přístup k migraci, a uznala, že migrace představuje problém nejen pro jeden členský stát, ale pro Evropu jako celek. V tomto ohledu zdůraznila význam poskytování podpory ze strany Unie za účelem zajištění řádného řízení migračních toků, zejména prostřednictvím rychlého zpracování, aby bylo zajištěno, že lidé, kteří jsou v nouzi, budou mít přístup k ochraně, a aby ti, kdo v nouzi nejsou, byli rychle navraceni, a to i prostřednictvím kontrolovaných středisek. Unie by proto měla být schopna poskytovat dotčeným členským státům plnou finanční a operativní podporu prostřednictvím příslušných agentur Unie včetně Agentury Evropské unie pro azyl. </w:t>
      </w:r>
    </w:p>
    <w:p>
      <w:pPr>
        <w:pStyle w:val="ManualConsidrant"/>
        <w:rPr>
          <w:noProof/>
        </w:rPr>
      </w:pPr>
      <w:r>
        <w:rPr>
          <w:noProof/>
        </w:rPr>
        <w:t>(2)</w:t>
      </w:r>
      <w:r>
        <w:rPr>
          <w:noProof/>
        </w:rPr>
        <w:tab/>
        <w:t xml:space="preserve">V tomto ohledu by také mělo být možné, aby agentura na žádost členského státu poskytovala ještě více posílenou operativní a technickou pomoc tím, že provede celý postup pro mezinárodní ochranu ve správní fázi nebo jeho části a že poskytne pomoc s příslušným postupem podle nařízení (EU) č. XXX/XXX [dublinské nařízení], </w:t>
      </w:r>
      <w:r>
        <w:rPr>
          <w:noProof/>
          <w:color w:val="000000" w:themeColor="text1"/>
        </w:rPr>
        <w:t xml:space="preserve">aniž by tím byla dotčena pravomoc členských států </w:t>
      </w:r>
      <w:r>
        <w:rPr>
          <w:noProof/>
        </w:rPr>
        <w:t xml:space="preserve">rozhodovat o jednotlivých žádostech. </w:t>
      </w:r>
    </w:p>
    <w:p>
      <w:pPr>
        <w:pStyle w:val="ManualConsidrant"/>
        <w:rPr>
          <w:noProof/>
        </w:rPr>
      </w:pPr>
      <w:r>
        <w:rPr>
          <w:noProof/>
        </w:rPr>
        <w:t>(3)</w:t>
      </w:r>
      <w:r>
        <w:rPr>
          <w:noProof/>
        </w:rPr>
        <w:tab/>
        <w:t xml:space="preserve">Účast agentury na postupu pro mezinárodní ochranu a na příslušném postupu podle nařízení (EU) č. XXX/XXX [dublinské nařízení] by zajistila, že se členským státům dostane veškeré požadované podpory pro rychlé a včasné zpracování žádostí o mezinárodní ochranu, což by zvýšilo efektivitu a řádné fungování azylových a přijímacích systémů. Za tímto účelem by také agentura měla být schopna pomáhat příslušným vnitrostátním orgánům ve správní fázi postupu s přípravou rozhodnutí o </w:t>
      </w:r>
      <w:r>
        <w:rPr>
          <w:noProof/>
        </w:rPr>
        <w:lastRenderedPageBreak/>
        <w:t xml:space="preserve">žádostech o mezinárodní ochranu. Tyto příslušné vnitrostátní orgány by měly být schopny brát v potaz návrhy rozhodnutí připravené agenturou, </w:t>
      </w:r>
      <w:r>
        <w:rPr>
          <w:noProof/>
          <w:color w:val="000000" w:themeColor="text1"/>
        </w:rPr>
        <w:t xml:space="preserve">aniž by tím byla dotčena jejich pravomoc </w:t>
      </w:r>
      <w:r>
        <w:rPr>
          <w:noProof/>
        </w:rPr>
        <w:t>rozhodovat o jednotlivých žádostech.</w:t>
      </w:r>
    </w:p>
    <w:p>
      <w:pPr>
        <w:pStyle w:val="ManualConsidrant"/>
        <w:rPr>
          <w:noProof/>
        </w:rPr>
      </w:pPr>
      <w:r>
        <w:rPr>
          <w:noProof/>
        </w:rPr>
        <w:t>(4)</w:t>
      </w:r>
      <w:r>
        <w:rPr>
          <w:noProof/>
        </w:rPr>
        <w:tab/>
        <w:t>Agentura a Evropská agentura pro pohraniční a pobřežní stráž by měly úzce spolupracovat za účelem efektivního řešení migračních problémů, zejména na vnějších hranicích, kde často dochází k velkým smíšeným migračním tokům směřujícím do EU. Obě agentury by především měly koordinovat svou činnost a podporovat členské státy, a usnadnit tak postup pro mezinárodní ochranu a řízení o navrácení s ohledem na státní příslušníky třetích zemí, jejichž žádost o mezinárodní ochranu byla zamítnuta nebo kteří se jinak nelegálně zdržují na územích členských států. Agentura a Evropská agentura pro pohraniční a pobřežní stráž by rovněž měly úzce spolupracovat v dalších společných operačních činnostech, jako je analýza sdílení rizik, shromažďování statistických údajů, odborná příprava a podpora členských států v oblasti plánování pro nepředvídané události.</w:t>
      </w:r>
    </w:p>
    <w:p>
      <w:pPr>
        <w:pStyle w:val="ManualConsidrant"/>
        <w:rPr>
          <w:noProof/>
        </w:rPr>
      </w:pPr>
      <w:r>
        <w:rPr>
          <w:noProof/>
        </w:rPr>
        <w:t>(5)</w:t>
      </w:r>
      <w:r>
        <w:rPr>
          <w:noProof/>
        </w:rPr>
        <w:tab/>
        <w:t>Také by mělo být možné, aby se členské státy mohly spoléhat na zvýšenou operativní a technickou pomoc ze strany podpůrných týmů pro řízení migrace, a to zejména v oblastech hotspotů nebo v kontrolovaných střediscích. Podpůrné týmy pro řízení migrace by měly být tvořeny týmy složenými z odborníků z členských států vyslanými agenturou, Evropskou agenturou pro pohraniční a pobřežní stráž a Europolem nebo jinými příslušnými agenturami Unie a rovněž z odborníků z řad zaměstnanců agentury a Evropské agentury pro pohraniční a pobřežní stráž. Komise by měla zajišťovat nezbytnou koordinaci při posuzování potřeb a operací na místě, zejména s ohledem na účast několika agentur Unie a případně i dalších zúčastněných stran.</w:t>
      </w:r>
    </w:p>
    <w:p>
      <w:pPr>
        <w:pStyle w:val="ManualConsidrant"/>
        <w:rPr>
          <w:noProof/>
        </w:rPr>
      </w:pPr>
      <w:r>
        <w:rPr>
          <w:noProof/>
        </w:rPr>
        <w:t>(6)</w:t>
      </w:r>
      <w:r>
        <w:rPr>
          <w:noProof/>
        </w:rPr>
        <w:tab/>
        <w:t>V tomto ohledu by agentura měla být schopna nasazovat příslušnou infrastrukturu a technické vybavení nezbytné pro azylové podpůrné týmy a pomáhat příslušným vnitrostátním orgánům včetně justice.</w:t>
      </w:r>
    </w:p>
    <w:p>
      <w:pPr>
        <w:pStyle w:val="ManualConsidrant"/>
        <w:rPr>
          <w:noProof/>
        </w:rPr>
      </w:pPr>
      <w:r>
        <w:rPr>
          <w:noProof/>
        </w:rPr>
        <w:t>(7)</w:t>
      </w:r>
      <w:r>
        <w:rPr>
          <w:noProof/>
        </w:rPr>
        <w:tab/>
        <w:t>V oblastech hotspotů nebo v kontrolovaných střediscích by členské státy měly spolupracovat s příslušnými agenturami Unie, které by měly působit v rámci svých mandátů a pravomocí a podle koordinace ze strany Komise.</w:t>
      </w:r>
    </w:p>
    <w:p>
      <w:pPr>
        <w:pStyle w:val="ManualConsidrant"/>
        <w:rPr>
          <w:noProof/>
        </w:rPr>
      </w:pPr>
      <w:r>
        <w:rPr>
          <w:noProof/>
        </w:rPr>
        <w:t>(8)</w:t>
      </w:r>
      <w:r>
        <w:rPr>
          <w:noProof/>
        </w:rPr>
        <w:tab/>
        <w:t xml:space="preserve">V těchto případech by agentury Unie měly na žádost členského státu a podle koordinace ze strany Komise podpořit hostitelský členský stát za účelem uplatnění rychlých postupů pro mezinárodní ochranu a/nebo řízení o navrácení. Mělo by být možné rychle odlišit státní příslušníky třetích zemí, kteří potřebují mezinárodní ochranu, od těch, kteří tuto ochranu nepotřebují, provádět bezpečnostní kontroly a vykonávat celý postup pro mezinárodní ochranu nebo jeho část a/nebo řízení o navrácení. </w:t>
      </w:r>
    </w:p>
    <w:p>
      <w:pPr>
        <w:pStyle w:val="ManualConsidrant"/>
        <w:rPr>
          <w:noProof/>
        </w:rPr>
      </w:pPr>
      <w:r>
        <w:rPr>
          <w:noProof/>
        </w:rPr>
        <w:t>(9)</w:t>
      </w:r>
      <w:r>
        <w:rPr>
          <w:noProof/>
        </w:rPr>
        <w:tab/>
        <w:t xml:space="preserve">Mělo by být možné, aby členské státy mohly požádat agenturu o pomoc nejen za účelem posílení svých vnitrostátních orgánů veřejné správy, ale i za účelem pomoci soudům a tribunálům, jež se zabývají azylovým řízením, přičemž by nebyla dotčena nezávislost soudnictví a bylo by plně respektováno uspořádání soudnictví v každém členském státě. Za tímto účelem by agentura při sestavování profilů odborníků měla mít na zřeteli profily odborníků, kteří jsou nezávislí na vnitrostátních správních orgánech a kteří dokáží soudům a tribunálům na jejich žádost pomoci provádět mimo jiné právní výzkum a analýzu a poskytovat další právní pomoc.“ </w:t>
      </w:r>
    </w:p>
    <w:p>
      <w:pPr>
        <w:rPr>
          <w:noProof/>
        </w:rPr>
      </w:pPr>
      <w:r>
        <w:rPr>
          <w:noProof/>
        </w:rPr>
        <w:t>(2) Za 42. bod odůvodnění se vkládají nové body odůvodnění, které znějí:</w:t>
      </w:r>
    </w:p>
    <w:p>
      <w:pPr>
        <w:pStyle w:val="ManualConsidrant"/>
        <w:rPr>
          <w:noProof/>
        </w:rPr>
      </w:pPr>
      <w:r>
        <w:rPr>
          <w:noProof/>
        </w:rPr>
        <w:t>„(1)</w:t>
      </w:r>
      <w:r>
        <w:rPr>
          <w:noProof/>
        </w:rPr>
        <w:tab/>
        <w:t xml:space="preserve">Dalším cílem tohoto nařízení je zajistit, aby členské státy mohly na vlastní žádost a podle svých potřeb využívat zvýšenou podporu agentury včetně její účasti na postupu </w:t>
      </w:r>
      <w:r>
        <w:rPr>
          <w:noProof/>
        </w:rPr>
        <w:lastRenderedPageBreak/>
        <w:t xml:space="preserve">pro mezinárodní ochranu a na příslušném postupu podle nařízení (EU) č. XXX/XXX [dublinské nařízení] za účelem rychlého a včasného zpracování žádostí o mezinárodní ochranu s ohledem na cíl efektivního a řádného fungování azylových a přijímacích systémů a posílení prvků spolupráce </w:t>
      </w:r>
      <w:r>
        <w:rPr>
          <w:noProof/>
          <w:color w:val="000000" w:themeColor="text1"/>
        </w:rPr>
        <w:t>mezi Agenturou Evropské unie pro azyl a Evropskou pohraniční a pobřežní stráží.</w:t>
      </w:r>
      <w:r>
        <w:rPr>
          <w:noProof/>
        </w:rPr>
        <w:t xml:space="preserve"> </w:t>
      </w:r>
    </w:p>
    <w:p>
      <w:pPr>
        <w:pStyle w:val="ManualConsidrant"/>
        <w:rPr>
          <w:noProof/>
        </w:rPr>
      </w:pPr>
      <w:r>
        <w:rPr>
          <w:noProof/>
        </w:rPr>
        <w:t>(2)</w:t>
      </w:r>
      <w:r>
        <w:rPr>
          <w:noProof/>
        </w:rPr>
        <w:tab/>
        <w:t>Jelikož uvedeného cíle nemůže být dosaženo uspokojivě členskými státy, ale spíše jich, z důvodu rozsahu a účinků činností, může být lépe dosaženo na úrovni Unie, může Unie přijmout opatření v souladu se zásadou subsidiarity stanovenou v článku 5 Smlouvy o EU. V souladu se zásadou proporcionality stanovenou v uvedeném článku nepřekračuje toto nařízení rámec toho, co je nezbytné pro dosažení uvedeného cíle.“</w:t>
      </w:r>
    </w:p>
    <w:p>
      <w:pPr>
        <w:pStyle w:val="Formuledadoption"/>
        <w:rPr>
          <w:noProof/>
        </w:rPr>
      </w:pPr>
      <w:r>
        <w:rPr>
          <w:noProof/>
        </w:rPr>
        <w:t>PŘIJALY TOTO NAŘÍZENÍ:</w:t>
      </w:r>
    </w:p>
    <w:p>
      <w:pPr>
        <w:rPr>
          <w:noProof/>
        </w:rPr>
      </w:pPr>
      <w:r>
        <w:rPr>
          <w:noProof/>
        </w:rPr>
        <w:t>(3) Článek 16 se nahrazuje tímto zněním:</w:t>
      </w:r>
    </w:p>
    <w:p>
      <w:pPr>
        <w:pStyle w:val="Titrearticle"/>
        <w:rPr>
          <w:noProof/>
        </w:rPr>
      </w:pPr>
      <w:r>
        <w:rPr>
          <w:noProof/>
        </w:rPr>
        <w:t xml:space="preserve"> “Článek 16</w:t>
      </w:r>
    </w:p>
    <w:p>
      <w:pPr>
        <w:jc w:val="center"/>
        <w:rPr>
          <w:rStyle w:val="Added"/>
          <w:noProof/>
          <w:u w:val="none"/>
        </w:rPr>
      </w:pPr>
      <w:r>
        <w:rPr>
          <w:rStyle w:val="Added"/>
          <w:noProof/>
          <w:u w:val="none"/>
        </w:rPr>
        <w:t>Operativní a technická pomoc agentury</w:t>
      </w:r>
    </w:p>
    <w:p>
      <w:pPr>
        <w:pStyle w:val="ManualNumPar1"/>
        <w:rPr>
          <w:rStyle w:val="Added"/>
          <w:b w:val="0"/>
          <w:noProof/>
        </w:rPr>
      </w:pPr>
      <w:r>
        <w:rPr>
          <w:rStyle w:val="Added"/>
          <w:b w:val="0"/>
          <w:noProof/>
        </w:rPr>
        <w:t xml:space="preserve">1. </w:t>
      </w:r>
      <w:r>
        <w:rPr>
          <w:b/>
          <w:noProof/>
          <w:u w:val="single"/>
        </w:rPr>
        <w:tab/>
      </w:r>
      <w:r>
        <w:rPr>
          <w:rStyle w:val="Added"/>
          <w:noProof/>
        </w:rPr>
        <w:t xml:space="preserve">Agentura </w:t>
      </w:r>
      <w:r>
        <w:rPr>
          <w:b/>
          <w:noProof/>
          <w:u w:val="single"/>
        </w:rPr>
        <w:t>poskytuje členským státům operativní a technickou pomoc v souladu s touto kapitolou:</w:t>
      </w:r>
    </w:p>
    <w:p>
      <w:pPr>
        <w:pStyle w:val="ManualNumPar2"/>
        <w:ind w:firstLine="0"/>
        <w:rPr>
          <w:rStyle w:val="Added"/>
          <w:b w:val="0"/>
          <w:noProof/>
        </w:rPr>
      </w:pPr>
      <w:r>
        <w:rPr>
          <w:rStyle w:val="Added"/>
          <w:noProof/>
        </w:rPr>
        <w:t xml:space="preserve">a) </w:t>
      </w:r>
      <w:r>
        <w:rPr>
          <w:noProof/>
          <w:u w:val="single"/>
        </w:rPr>
        <w:tab/>
      </w:r>
      <w:r>
        <w:rPr>
          <w:rStyle w:val="Added"/>
          <w:noProof/>
        </w:rPr>
        <w:t>na žádost dotčeného členského státu předloženou agentuře</w:t>
      </w:r>
      <w:r>
        <w:rPr>
          <w:b/>
          <w:noProof/>
          <w:u w:val="single"/>
        </w:rPr>
        <w:t>, pokud jde o plnění jeho závazků podle společného evropského azylového systému;</w:t>
      </w:r>
    </w:p>
    <w:p>
      <w:pPr>
        <w:pStyle w:val="ManualNumPar2"/>
        <w:ind w:firstLine="0"/>
        <w:rPr>
          <w:rStyle w:val="Added"/>
          <w:noProof/>
        </w:rPr>
      </w:pPr>
      <w:r>
        <w:rPr>
          <w:rStyle w:val="Added"/>
          <w:noProof/>
        </w:rPr>
        <w:t xml:space="preserve">b) </w:t>
      </w:r>
      <w:r>
        <w:rPr>
          <w:noProof/>
          <w:u w:val="single"/>
        </w:rPr>
        <w:tab/>
      </w:r>
      <w:r>
        <w:rPr>
          <w:rStyle w:val="Added"/>
          <w:noProof/>
        </w:rPr>
        <w:t>na žádost dotčeného členského státu předloženou agentuře v souladu s článkem 16a;</w:t>
      </w:r>
    </w:p>
    <w:p>
      <w:pPr>
        <w:pStyle w:val="ManualNumPar2"/>
        <w:ind w:firstLine="0"/>
        <w:rPr>
          <w:rStyle w:val="Added"/>
          <w:noProof/>
        </w:rPr>
      </w:pPr>
      <w:r>
        <w:rPr>
          <w:rStyle w:val="Added"/>
          <w:noProof/>
        </w:rPr>
        <w:t xml:space="preserve">c) </w:t>
      </w:r>
      <w:r>
        <w:rPr>
          <w:noProof/>
          <w:u w:val="single"/>
        </w:rPr>
        <w:tab/>
      </w:r>
      <w:r>
        <w:rPr>
          <w:rStyle w:val="Added"/>
          <w:noProof/>
        </w:rPr>
        <w:t>na žádost dotčeného členského státu předloženou agentuře v případech, kdy jsou jeho azylov</w:t>
      </w:r>
      <w:r>
        <w:rPr>
          <w:b/>
          <w:noProof/>
          <w:u w:val="single"/>
        </w:rPr>
        <w:t xml:space="preserve">é nebo přijímací systémy vystaveny nepřiměřenému tlaku; </w:t>
      </w:r>
    </w:p>
    <w:p>
      <w:pPr>
        <w:pStyle w:val="ManualNumPar2"/>
        <w:ind w:firstLine="0"/>
        <w:rPr>
          <w:rStyle w:val="Added"/>
          <w:noProof/>
        </w:rPr>
      </w:pPr>
      <w:r>
        <w:rPr>
          <w:rStyle w:val="Added"/>
          <w:noProof/>
        </w:rPr>
        <w:t xml:space="preserve">d) </w:t>
      </w:r>
      <w:r>
        <w:rPr>
          <w:noProof/>
          <w:u w:val="single"/>
        </w:rPr>
        <w:tab/>
      </w:r>
      <w:r>
        <w:rPr>
          <w:rStyle w:val="Added"/>
          <w:noProof/>
        </w:rPr>
        <w:t xml:space="preserve">na žádost dotčeného členského státu předloženou agentuře v souladu s článkem 21; </w:t>
      </w:r>
    </w:p>
    <w:p>
      <w:pPr>
        <w:pStyle w:val="ManualNumPar2"/>
        <w:ind w:firstLine="0"/>
        <w:rPr>
          <w:rStyle w:val="Added"/>
          <w:noProof/>
        </w:rPr>
      </w:pPr>
      <w:r>
        <w:rPr>
          <w:rStyle w:val="Added"/>
          <w:noProof/>
        </w:rPr>
        <w:t xml:space="preserve">e) </w:t>
      </w:r>
      <w:r>
        <w:rPr>
          <w:noProof/>
          <w:u w:val="single"/>
        </w:rPr>
        <w:tab/>
      </w:r>
      <w:r>
        <w:rPr>
          <w:rStyle w:val="Added"/>
          <w:noProof/>
        </w:rPr>
        <w:t>z podnětu agentury v případech, kdy jsou azylové nebo přijímací systémy členského státu vystaveny nepřiměřenému tlaku, a se souhlasem dotčeného členského státu</w:t>
      </w:r>
      <w:r>
        <w:rPr>
          <w:noProof/>
        </w:rPr>
        <w:t>,</w:t>
      </w:r>
    </w:p>
    <w:p>
      <w:pPr>
        <w:pStyle w:val="ManualNumPar2"/>
        <w:ind w:firstLine="0"/>
        <w:rPr>
          <w:rStyle w:val="Added"/>
          <w:noProof/>
        </w:rPr>
      </w:pPr>
      <w:r>
        <w:rPr>
          <w:rStyle w:val="Added"/>
          <w:noProof/>
        </w:rPr>
        <w:t xml:space="preserve">f) </w:t>
      </w:r>
      <w:r>
        <w:rPr>
          <w:noProof/>
          <w:u w:val="single"/>
        </w:rPr>
        <w:tab/>
      </w:r>
      <w:r>
        <w:rPr>
          <w:rStyle w:val="Added"/>
          <w:noProof/>
        </w:rPr>
        <w:t>v případech, kdy agentura poskytuje operativní a technickou pomoc v souladu s článkem 22.</w:t>
      </w:r>
    </w:p>
    <w:p>
      <w:pPr>
        <w:pStyle w:val="ManualNumPar1"/>
        <w:rPr>
          <w:bCs/>
          <w:noProof/>
        </w:rPr>
      </w:pPr>
      <w:r>
        <w:rPr>
          <w:noProof/>
        </w:rPr>
        <w:t xml:space="preserve">2. </w:t>
      </w:r>
      <w:r>
        <w:rPr>
          <w:noProof/>
        </w:rPr>
        <w:tab/>
        <w:t xml:space="preserve">Agentura </w:t>
      </w:r>
      <w:r>
        <w:rPr>
          <w:rStyle w:val="Deleted"/>
          <w:noProof/>
        </w:rPr>
        <w:t>po omezenou dobu</w:t>
      </w:r>
      <w:r>
        <w:rPr>
          <w:noProof/>
        </w:rPr>
        <w:t xml:space="preserve"> organizuje a koordinuje </w:t>
      </w:r>
      <w:r>
        <w:rPr>
          <w:rStyle w:val="Added"/>
          <w:noProof/>
        </w:rPr>
        <w:t xml:space="preserve">příslušnou operativní a technickou pomoc, která </w:t>
      </w:r>
      <w:r>
        <w:rPr>
          <w:noProof/>
        </w:rPr>
        <w:t>může zahrnovat přijetí jedno</w:t>
      </w:r>
      <w:r>
        <w:rPr>
          <w:b/>
          <w:noProof/>
          <w:u w:val="single"/>
        </w:rPr>
        <w:t>ho</w:t>
      </w:r>
      <w:r>
        <w:rPr>
          <w:noProof/>
        </w:rPr>
        <w:t xml:space="preserve"> nebo vícer</w:t>
      </w:r>
      <w:r>
        <w:rPr>
          <w:b/>
          <w:noProof/>
          <w:u w:val="single"/>
        </w:rPr>
        <w:t>a</w:t>
      </w:r>
      <w:r>
        <w:rPr>
          <w:noProof/>
        </w:rPr>
        <w:t xml:space="preserve"> z následujících operativních a technických opatření, </w:t>
      </w:r>
      <w:r>
        <w:rPr>
          <w:rStyle w:val="Added"/>
          <w:noProof/>
        </w:rPr>
        <w:t>přičemž jsou plně respektována základní práva</w:t>
      </w:r>
      <w:r>
        <w:rPr>
          <w:noProof/>
        </w:rPr>
        <w:t>:</w:t>
      </w:r>
    </w:p>
    <w:p>
      <w:pPr>
        <w:pStyle w:val="ManualNumPar2"/>
        <w:ind w:firstLine="0"/>
        <w:rPr>
          <w:noProof/>
        </w:rPr>
      </w:pPr>
      <w:r>
        <w:rPr>
          <w:noProof/>
        </w:rPr>
        <w:t xml:space="preserve">a) </w:t>
      </w:r>
      <w:r>
        <w:rPr>
          <w:noProof/>
        </w:rPr>
        <w:tab/>
      </w:r>
      <w:r>
        <w:rPr>
          <w:rStyle w:val="Added"/>
          <w:noProof/>
        </w:rPr>
        <w:t>v úzké spolupráci s dalšími agenturami Unie identifikovat</w:t>
      </w:r>
      <w:r>
        <w:rPr>
          <w:noProof/>
        </w:rPr>
        <w:t xml:space="preserve"> a </w:t>
      </w:r>
      <w:r>
        <w:rPr>
          <w:rStyle w:val="Added"/>
          <w:noProof/>
        </w:rPr>
        <w:t>evidovat</w:t>
      </w:r>
      <w:r>
        <w:rPr>
          <w:noProof/>
        </w:rPr>
        <w:t xml:space="preserve"> státní příslušníky třetích zemí, </w:t>
      </w:r>
      <w:r>
        <w:rPr>
          <w:rStyle w:val="Added"/>
          <w:noProof/>
        </w:rPr>
        <w:t>snímat jejich biometrické údaje a náležitě je o těchto postupech informovat</w:t>
      </w:r>
      <w:r>
        <w:rPr>
          <w:b/>
          <w:noProof/>
        </w:rPr>
        <w:t>;</w:t>
      </w:r>
    </w:p>
    <w:p>
      <w:pPr>
        <w:pStyle w:val="ManualNumPar2"/>
        <w:ind w:firstLine="0"/>
        <w:rPr>
          <w:rStyle w:val="Added"/>
          <w:noProof/>
        </w:rPr>
      </w:pPr>
      <w:r>
        <w:rPr>
          <w:rStyle w:val="Added"/>
          <w:noProof/>
        </w:rPr>
        <w:t xml:space="preserve">b) </w:t>
      </w:r>
      <w:r>
        <w:rPr>
          <w:noProof/>
          <w:u w:val="single"/>
        </w:rPr>
        <w:tab/>
      </w:r>
      <w:r>
        <w:rPr>
          <w:rStyle w:val="Added"/>
          <w:noProof/>
        </w:rPr>
        <w:t>pomáhat s evidencí a provádět evidenci žádostí o mezinárodní ochranu</w:t>
      </w:r>
      <w:r>
        <w:rPr>
          <w:b/>
          <w:noProof/>
        </w:rPr>
        <w:t>;</w:t>
      </w:r>
    </w:p>
    <w:p>
      <w:pPr>
        <w:pStyle w:val="ManualNumPar2"/>
        <w:ind w:firstLine="0"/>
        <w:rPr>
          <w:rStyle w:val="Added"/>
          <w:noProof/>
        </w:rPr>
      </w:pPr>
      <w:r>
        <w:rPr>
          <w:rStyle w:val="Added"/>
          <w:noProof/>
        </w:rPr>
        <w:t>c)</w:t>
      </w:r>
      <w:r>
        <w:rPr>
          <w:noProof/>
          <w:u w:val="single"/>
        </w:rPr>
        <w:tab/>
      </w:r>
      <w:r>
        <w:rPr>
          <w:rStyle w:val="Added"/>
          <w:noProof/>
        </w:rPr>
        <w:t xml:space="preserve">poskytovat první informace příslušníkům třetích zemí, kteří chtějí podat žádost o mezinárodní ochranu, a </w:t>
      </w:r>
      <w:r>
        <w:rPr>
          <w:b/>
          <w:noProof/>
          <w:u w:val="single"/>
        </w:rPr>
        <w:t>odkazovat je na příslušné vnitrostátní orgány;</w:t>
      </w:r>
    </w:p>
    <w:p>
      <w:pPr>
        <w:pStyle w:val="ManualNumPar2"/>
        <w:ind w:firstLine="0"/>
        <w:rPr>
          <w:noProof/>
        </w:rPr>
      </w:pPr>
      <w:r>
        <w:rPr>
          <w:noProof/>
        </w:rPr>
        <w:t xml:space="preserve">d) </w:t>
      </w:r>
      <w:r>
        <w:rPr>
          <w:noProof/>
        </w:rPr>
        <w:tab/>
      </w:r>
      <w:r>
        <w:rPr>
          <w:rStyle w:val="Deleted"/>
          <w:noProof/>
        </w:rPr>
        <w:t xml:space="preserve">umožňovat </w:t>
      </w:r>
      <w:r>
        <w:rPr>
          <w:rStyle w:val="Added"/>
          <w:noProof/>
        </w:rPr>
        <w:t>pomáhat</w:t>
      </w:r>
      <w:r>
        <w:rPr>
          <w:b/>
          <w:noProof/>
          <w:u w:val="single"/>
        </w:rPr>
        <w:t xml:space="preserve"> </w:t>
      </w:r>
      <w:r>
        <w:rPr>
          <w:noProof/>
        </w:rPr>
        <w:t>s posuzování</w:t>
      </w:r>
      <w:r>
        <w:rPr>
          <w:b/>
          <w:noProof/>
          <w:u w:val="single"/>
        </w:rPr>
        <w:t>m</w:t>
      </w:r>
      <w:r>
        <w:rPr>
          <w:noProof/>
        </w:rPr>
        <w:t xml:space="preserve"> žádostí o mezinárodní ochranu, které jsou předmětem posuzování ze strany příslušných vnitrostátních orgánů, </w:t>
      </w:r>
      <w:r>
        <w:rPr>
          <w:rStyle w:val="Added"/>
          <w:noProof/>
        </w:rPr>
        <w:t xml:space="preserve">nebo </w:t>
      </w:r>
      <w:r>
        <w:rPr>
          <w:b/>
          <w:noProof/>
          <w:u w:val="single"/>
        </w:rPr>
        <w:t xml:space="preserve">těmto </w:t>
      </w:r>
      <w:r>
        <w:rPr>
          <w:b/>
          <w:noProof/>
          <w:u w:val="single"/>
        </w:rPr>
        <w:lastRenderedPageBreak/>
        <w:t>orgánům poskytovat další nezbytnou pomoc při postupu pro mezinárodní ochranu, a to zejména prostřednictvím:</w:t>
      </w:r>
    </w:p>
    <w:p>
      <w:pPr>
        <w:ind w:left="1440"/>
        <w:rPr>
          <w:rStyle w:val="Added"/>
          <w:noProof/>
        </w:rPr>
      </w:pPr>
      <w:r>
        <w:rPr>
          <w:rStyle w:val="Added"/>
          <w:noProof/>
        </w:rPr>
        <w:t>i)</w:t>
      </w:r>
      <w:r>
        <w:rPr>
          <w:noProof/>
          <w:u w:val="single"/>
        </w:rPr>
        <w:tab/>
      </w:r>
      <w:r>
        <w:rPr>
          <w:rStyle w:val="Added"/>
          <w:noProof/>
        </w:rPr>
        <w:t>pomoc</w:t>
      </w:r>
      <w:r>
        <w:rPr>
          <w:b/>
          <w:noProof/>
          <w:u w:val="single"/>
        </w:rPr>
        <w:t xml:space="preserve">i při pohovorech o přípustnosti žádosti, případně při pohovorech o opodstatnění žádosti, a při pohovorech pro určení odpovědného členského státu, nebo prostřednictvím vykonávání takových pohovorů; </w:t>
      </w:r>
    </w:p>
    <w:p>
      <w:pPr>
        <w:ind w:left="1440"/>
        <w:rPr>
          <w:rStyle w:val="Added"/>
          <w:noProof/>
        </w:rPr>
      </w:pPr>
      <w:r>
        <w:rPr>
          <w:b/>
          <w:noProof/>
          <w:u w:val="single"/>
        </w:rPr>
        <w:t>ii)</w:t>
      </w:r>
      <w:r>
        <w:rPr>
          <w:b/>
          <w:noProof/>
          <w:u w:val="single"/>
        </w:rPr>
        <w:tab/>
      </w:r>
      <w:r>
        <w:rPr>
          <w:rStyle w:val="Added"/>
          <w:noProof/>
        </w:rPr>
        <w:t>evidence žádostí o mezinárodní ochranu v automatizovaném systému uvedeném v nařízení (EU) č. XXX/XXX [dublinské nařízení];</w:t>
      </w:r>
    </w:p>
    <w:p>
      <w:pPr>
        <w:ind w:left="1440"/>
        <w:rPr>
          <w:rStyle w:val="Deleted"/>
          <w:noProof/>
        </w:rPr>
      </w:pPr>
      <w:r>
        <w:rPr>
          <w:rStyle w:val="Deleted"/>
          <w:noProof/>
        </w:rPr>
        <w:t>c)</w:t>
      </w:r>
      <w:r>
        <w:rPr>
          <w:noProof/>
        </w:rPr>
        <w:tab/>
      </w:r>
      <w:r>
        <w:rPr>
          <w:rStyle w:val="Deleted"/>
          <w:noProof/>
        </w:rPr>
        <w:t>poskytovat pomoc příslušným vnitrostátním orgánům odpovědným za posuzování žádostí o mezinárodní ochranu</w:t>
      </w:r>
      <w:r>
        <w:rPr>
          <w:noProof/>
        </w:rPr>
        <w:t>;</w:t>
      </w:r>
    </w:p>
    <w:p>
      <w:pPr>
        <w:ind w:left="1440"/>
        <w:rPr>
          <w:b/>
          <w:noProof/>
          <w:u w:val="single"/>
        </w:rPr>
      </w:pPr>
      <w:r>
        <w:rPr>
          <w:noProof/>
        </w:rPr>
        <w:t xml:space="preserve">iii) </w:t>
      </w:r>
      <w:r>
        <w:rPr>
          <w:noProof/>
        </w:rPr>
        <w:tab/>
        <w:t xml:space="preserve">pomoci při poskytování informací o </w:t>
      </w:r>
      <w:r>
        <w:rPr>
          <w:b/>
          <w:noProof/>
          <w:u w:val="single"/>
        </w:rPr>
        <w:t>postupu pro</w:t>
      </w:r>
      <w:r>
        <w:rPr>
          <w:b/>
          <w:noProof/>
        </w:rPr>
        <w:t xml:space="preserve"> </w:t>
      </w:r>
      <w:r>
        <w:rPr>
          <w:noProof/>
        </w:rPr>
        <w:t xml:space="preserve">mezinárodní ochranu </w:t>
      </w:r>
      <w:r>
        <w:rPr>
          <w:rStyle w:val="Added"/>
          <w:noProof/>
        </w:rPr>
        <w:t>žadatelům</w:t>
      </w:r>
      <w:r>
        <w:rPr>
          <w:b/>
          <w:noProof/>
          <w:u w:val="single"/>
        </w:rPr>
        <w:t>, a to s náležitým ohledem na podmínky přijímání</w:t>
      </w:r>
      <w:r>
        <w:rPr>
          <w:noProof/>
        </w:rPr>
        <w:t>;</w:t>
      </w:r>
      <w:r>
        <w:rPr>
          <w:b/>
          <w:noProof/>
          <w:u w:val="single"/>
        </w:rPr>
        <w:t xml:space="preserve"> </w:t>
      </w:r>
    </w:p>
    <w:p>
      <w:pPr>
        <w:ind w:left="1440"/>
        <w:rPr>
          <w:noProof/>
        </w:rPr>
      </w:pPr>
      <w:r>
        <w:rPr>
          <w:b/>
          <w:noProof/>
          <w:u w:val="single"/>
        </w:rPr>
        <w:t>iv)</w:t>
      </w:r>
      <w:r>
        <w:rPr>
          <w:b/>
          <w:noProof/>
          <w:u w:val="single"/>
        </w:rPr>
        <w:tab/>
      </w:r>
      <w:r>
        <w:rPr>
          <w:rStyle w:val="Added"/>
          <w:noProof/>
        </w:rPr>
        <w:t>pomoc</w:t>
      </w:r>
      <w:r>
        <w:rPr>
          <w:b/>
          <w:noProof/>
          <w:u w:val="single"/>
        </w:rPr>
        <w:t xml:space="preserve">i s poskytováním informací o přidělování a poskytování nezbytné pomoci žadatelům, kteří by mohli podléhat přidělování; </w:t>
      </w:r>
    </w:p>
    <w:p>
      <w:pPr>
        <w:ind w:left="709"/>
        <w:rPr>
          <w:noProof/>
        </w:rPr>
      </w:pPr>
      <w:r>
        <w:rPr>
          <w:noProof/>
        </w:rPr>
        <w:t xml:space="preserve">e) </w:t>
      </w:r>
      <w:r>
        <w:rPr>
          <w:noProof/>
        </w:rPr>
        <w:tab/>
        <w:t xml:space="preserve">usnadňovat </w:t>
      </w:r>
      <w:r>
        <w:rPr>
          <w:b/>
          <w:noProof/>
          <w:u w:val="single"/>
        </w:rPr>
        <w:t>společné</w:t>
      </w:r>
      <w:r>
        <w:rPr>
          <w:noProof/>
        </w:rPr>
        <w:t xml:space="preserve"> iniciativy členských států </w:t>
      </w:r>
      <w:r>
        <w:rPr>
          <w:rStyle w:val="Deleted"/>
          <w:noProof/>
        </w:rPr>
        <w:t>týkající se technické spolupráce</w:t>
      </w:r>
      <w:r>
        <w:rPr>
          <w:noProof/>
        </w:rPr>
        <w:t xml:space="preserve"> v oblasti zpracovávání žádostí o mezinárodní ochranu;</w:t>
      </w:r>
    </w:p>
    <w:p>
      <w:pPr>
        <w:ind w:left="709"/>
        <w:rPr>
          <w:noProof/>
        </w:rPr>
      </w:pPr>
      <w:r>
        <w:rPr>
          <w:noProof/>
        </w:rPr>
        <w:t xml:space="preserve">f) </w:t>
      </w:r>
      <w:r>
        <w:rPr>
          <w:noProof/>
        </w:rPr>
        <w:tab/>
        <w:t xml:space="preserve">zajišťovat poradenství, </w:t>
      </w:r>
      <w:r>
        <w:rPr>
          <w:rStyle w:val="Deleted"/>
          <w:noProof/>
        </w:rPr>
        <w:t>a koordinaci</w:t>
      </w:r>
      <w:r>
        <w:rPr>
          <w:noProof/>
        </w:rPr>
        <w:t xml:space="preserve"> </w:t>
      </w:r>
      <w:r>
        <w:rPr>
          <w:rStyle w:val="Added"/>
          <w:noProof/>
        </w:rPr>
        <w:t>pomoc nebo</w:t>
      </w:r>
      <w:r>
        <w:rPr>
          <w:noProof/>
        </w:rPr>
        <w:t xml:space="preserve"> koordinaci při zakládání či poskytování zařízení pro přijímání uprchlíků členskými státy, a to zejména nouzového ubytování, dopravních prostředků a lékařské péče;</w:t>
      </w:r>
    </w:p>
    <w:p>
      <w:pPr>
        <w:ind w:left="720" w:hanging="11"/>
        <w:rPr>
          <w:noProof/>
        </w:rPr>
      </w:pPr>
      <w:r>
        <w:rPr>
          <w:noProof/>
        </w:rPr>
        <w:t>g)</w:t>
      </w:r>
      <w:r>
        <w:rPr>
          <w:noProof/>
        </w:rPr>
        <w:tab/>
        <w:t xml:space="preserve">pomáhat </w:t>
      </w:r>
      <w:r>
        <w:rPr>
          <w:rStyle w:val="Added"/>
          <w:noProof/>
        </w:rPr>
        <w:t>s úkoly a povinnostmi stanovenými v nařízení (EU) č</w:t>
      </w:r>
      <w:r>
        <w:rPr>
          <w:b/>
          <w:noProof/>
          <w:u w:val="single"/>
        </w:rPr>
        <w:t>. XXX/XXX [dublinské nařízení], a to i prostřednictvím vykonávání nebo koordinace přidělování</w:t>
      </w:r>
      <w:r>
        <w:rPr>
          <w:noProof/>
        </w:rPr>
        <w:t xml:space="preserve"> či přemísťování </w:t>
      </w:r>
      <w:r>
        <w:rPr>
          <w:rStyle w:val="Added"/>
          <w:noProof/>
        </w:rPr>
        <w:t>žadatelů nebo</w:t>
      </w:r>
      <w:r>
        <w:rPr>
          <w:noProof/>
        </w:rPr>
        <w:t xml:space="preserve"> osob, jimž byla přiznána mezinárodní ochrana v Unii;</w:t>
      </w:r>
    </w:p>
    <w:p>
      <w:pPr>
        <w:ind w:left="720" w:hanging="11"/>
        <w:rPr>
          <w:b/>
          <w:noProof/>
          <w:u w:val="single"/>
        </w:rPr>
      </w:pPr>
      <w:r>
        <w:rPr>
          <w:noProof/>
        </w:rPr>
        <w:t>h)</w:t>
      </w:r>
      <w:r>
        <w:rPr>
          <w:noProof/>
        </w:rPr>
        <w:tab/>
      </w:r>
      <w:r>
        <w:rPr>
          <w:rStyle w:val="Added"/>
          <w:noProof/>
        </w:rPr>
        <w:t>pomáhat s příslušnými řízeními podle nařízení (EU) č. XXX/XXX [dublinské nařízení];</w:t>
      </w:r>
    </w:p>
    <w:p>
      <w:pPr>
        <w:rPr>
          <w:noProof/>
        </w:rPr>
      </w:pPr>
      <w:r>
        <w:rPr>
          <w:noProof/>
        </w:rPr>
        <w:tab/>
        <w:t xml:space="preserve">i) </w:t>
      </w:r>
      <w:r>
        <w:rPr>
          <w:noProof/>
        </w:rPr>
        <w:tab/>
        <w:t>poskytovat tlumočnické služby;</w:t>
      </w:r>
    </w:p>
    <w:p>
      <w:pPr>
        <w:ind w:left="720" w:hanging="11"/>
        <w:rPr>
          <w:rStyle w:val="Added"/>
          <w:noProof/>
        </w:rPr>
      </w:pPr>
      <w:r>
        <w:rPr>
          <w:noProof/>
        </w:rPr>
        <w:t xml:space="preserve">j) </w:t>
      </w:r>
      <w:r>
        <w:rPr>
          <w:noProof/>
        </w:rPr>
        <w:tab/>
        <w:t>pomáhat členským státům zajišťovat dodržování veškerých nezbytných práv dětí a opatření na ochranu dítěte</w:t>
      </w:r>
      <w:r>
        <w:rPr>
          <w:rStyle w:val="Added"/>
          <w:b w:val="0"/>
          <w:noProof/>
          <w:u w:val="none"/>
        </w:rPr>
        <w:t xml:space="preserve">, </w:t>
      </w:r>
      <w:r>
        <w:rPr>
          <w:rStyle w:val="Added"/>
          <w:noProof/>
        </w:rPr>
        <w:t>zejména</w:t>
      </w:r>
      <w:r>
        <w:rPr>
          <w:b/>
          <w:noProof/>
          <w:u w:val="single"/>
        </w:rPr>
        <w:t xml:space="preserve"> co se týče nezletilých osob bez doprovodu; </w:t>
      </w:r>
    </w:p>
    <w:p>
      <w:pPr>
        <w:ind w:left="720" w:hanging="11"/>
        <w:rPr>
          <w:rStyle w:val="Added"/>
          <w:noProof/>
        </w:rPr>
      </w:pPr>
      <w:r>
        <w:rPr>
          <w:rStyle w:val="Added"/>
          <w:noProof/>
        </w:rPr>
        <w:t xml:space="preserve">k) </w:t>
      </w:r>
      <w:r>
        <w:rPr>
          <w:noProof/>
          <w:u w:val="single"/>
        </w:rPr>
        <w:tab/>
      </w:r>
      <w:r>
        <w:rPr>
          <w:rStyle w:val="Added"/>
          <w:noProof/>
        </w:rPr>
        <w:t xml:space="preserve">pomáhat členským státům při identifikaci žadatelů, kteří potřebují zvláštní procesní záruky, nebo žadatelů se zvláštními potřebami </w:t>
      </w:r>
      <w:r>
        <w:rPr>
          <w:b/>
          <w:noProof/>
          <w:u w:val="single"/>
        </w:rPr>
        <w:t>při přijetí či jiných osob ve zranitelné situaci včetně nezletilých, a také při odkazování uvedených osob na příslušné vnitrostátní orgány za účelem odpovídající pomoci na základě vnitrostátních opatření a při zajišťování všech nezbytných záruk pro takové žadatele;</w:t>
      </w:r>
    </w:p>
    <w:p>
      <w:pPr>
        <w:ind w:left="720" w:hanging="11"/>
        <w:rPr>
          <w:rStyle w:val="Added"/>
          <w:b w:val="0"/>
          <w:noProof/>
        </w:rPr>
      </w:pPr>
      <w:r>
        <w:rPr>
          <w:rStyle w:val="Added"/>
          <w:noProof/>
        </w:rPr>
        <w:t>l)</w:t>
      </w:r>
      <w:r>
        <w:rPr>
          <w:noProof/>
          <w:u w:val="single"/>
        </w:rPr>
        <w:tab/>
      </w:r>
      <w:r>
        <w:rPr>
          <w:rStyle w:val="Added"/>
          <w:noProof/>
        </w:rPr>
        <w:t xml:space="preserve">pomáhat s koordinací nebo podporovat koordinaci mezi příslušnými vnitrostátními orgány za účelem navázání na </w:t>
      </w:r>
      <w:r>
        <w:rPr>
          <w:b/>
          <w:noProof/>
          <w:u w:val="single"/>
        </w:rPr>
        <w:t>postup pro mezinárodní ochranu s možností řízení o navrácení v případě negativního konečného rozhodnutí;</w:t>
      </w:r>
    </w:p>
    <w:p>
      <w:pPr>
        <w:ind w:left="720" w:hanging="11"/>
        <w:rPr>
          <w:b/>
          <w:noProof/>
          <w:u w:val="single"/>
        </w:rPr>
      </w:pPr>
      <w:r>
        <w:rPr>
          <w:rStyle w:val="Added"/>
          <w:noProof/>
        </w:rPr>
        <w:t xml:space="preserve">m) </w:t>
      </w:r>
      <w:r>
        <w:rPr>
          <w:noProof/>
          <w:u w:val="single"/>
        </w:rPr>
        <w:tab/>
      </w:r>
      <w:r>
        <w:rPr>
          <w:rStyle w:val="Added"/>
          <w:noProof/>
        </w:rPr>
        <w:t>připravovat rozhodnutí o žádostech o mezinárodní ochranu</w:t>
      </w:r>
      <w:r>
        <w:rPr>
          <w:noProof/>
        </w:rPr>
        <w:t xml:space="preserve">, </w:t>
      </w:r>
      <w:r>
        <w:rPr>
          <w:noProof/>
          <w:color w:val="000000" w:themeColor="text1"/>
        </w:rPr>
        <w:t xml:space="preserve">aniž by tím byla dotčena pravomoc příslušného vnitrostátního orgánu </w:t>
      </w:r>
      <w:r>
        <w:rPr>
          <w:noProof/>
        </w:rPr>
        <w:t>rozhodovat o jednotlivých žádostech</w:t>
      </w:r>
      <w:r>
        <w:rPr>
          <w:b/>
          <w:noProof/>
          <w:u w:val="single"/>
        </w:rPr>
        <w:t xml:space="preserve">; </w:t>
      </w:r>
    </w:p>
    <w:p>
      <w:pPr>
        <w:ind w:left="720" w:hanging="11"/>
        <w:rPr>
          <w:b/>
          <w:noProof/>
          <w:u w:val="single"/>
        </w:rPr>
      </w:pPr>
      <w:r>
        <w:rPr>
          <w:rStyle w:val="Added"/>
          <w:noProof/>
        </w:rPr>
        <w:t>n)</w:t>
      </w:r>
      <w:r>
        <w:rPr>
          <w:noProof/>
          <w:u w:val="single"/>
        </w:rPr>
        <w:tab/>
      </w:r>
      <w:r>
        <w:rPr>
          <w:rStyle w:val="Added"/>
          <w:noProof/>
        </w:rPr>
        <w:t>pomáhat s vyřizováním žádostí kromě jiného prováděním právního výzkumu a analýz a další právní podporou;</w:t>
      </w:r>
    </w:p>
    <w:p>
      <w:pPr>
        <w:ind w:left="720" w:hanging="11"/>
        <w:rPr>
          <w:noProof/>
        </w:rPr>
      </w:pPr>
      <w:r>
        <w:rPr>
          <w:noProof/>
        </w:rPr>
        <w:lastRenderedPageBreak/>
        <w:t xml:space="preserve">o) </w:t>
      </w:r>
      <w:r>
        <w:rPr>
          <w:noProof/>
        </w:rPr>
        <w:tab/>
        <w:t xml:space="preserve">Zapojit se </w:t>
      </w:r>
      <w:r>
        <w:rPr>
          <w:rStyle w:val="Added"/>
          <w:noProof/>
        </w:rPr>
        <w:t>v úzké spolupráci s dalšími příslušnými agenturami Unie</w:t>
      </w:r>
      <w:r>
        <w:rPr>
          <w:noProof/>
        </w:rPr>
        <w:t xml:space="preserve"> do podpůrných týmů pro řízení migrace </w:t>
      </w:r>
      <w:r>
        <w:rPr>
          <w:rStyle w:val="Deleted"/>
          <w:noProof/>
        </w:rPr>
        <w:t>v oblastech hotspotů</w:t>
      </w:r>
      <w:r>
        <w:rPr>
          <w:noProof/>
        </w:rPr>
        <w:t xml:space="preserve"> uvedených v </w:t>
      </w:r>
      <w:r>
        <w:rPr>
          <w:rStyle w:val="Deleted"/>
          <w:noProof/>
        </w:rPr>
        <w:t>nařízení č.2016/1624</w:t>
      </w:r>
      <w:r>
        <w:rPr>
          <w:b/>
          <w:noProof/>
          <w:u w:val="single"/>
        </w:rPr>
        <w:t>článku 21</w:t>
      </w:r>
      <w:r>
        <w:rPr>
          <w:noProof/>
        </w:rPr>
        <w:t>;</w:t>
      </w:r>
    </w:p>
    <w:p>
      <w:pPr>
        <w:ind w:firstLine="709"/>
        <w:rPr>
          <w:rStyle w:val="Added"/>
          <w:noProof/>
        </w:rPr>
      </w:pPr>
      <w:r>
        <w:rPr>
          <w:rStyle w:val="Added"/>
          <w:noProof/>
        </w:rPr>
        <w:t xml:space="preserve">p) </w:t>
      </w:r>
      <w:r>
        <w:rPr>
          <w:noProof/>
          <w:u w:val="single"/>
        </w:rPr>
        <w:tab/>
      </w:r>
      <w:r>
        <w:rPr>
          <w:rStyle w:val="Added"/>
          <w:noProof/>
        </w:rPr>
        <w:t>vysílat azylové podpůrné týmy;</w:t>
      </w:r>
    </w:p>
    <w:p>
      <w:pPr>
        <w:ind w:left="709"/>
        <w:rPr>
          <w:rStyle w:val="Added"/>
          <w:noProof/>
        </w:rPr>
      </w:pPr>
      <w:r>
        <w:rPr>
          <w:rStyle w:val="Added"/>
          <w:noProof/>
        </w:rPr>
        <w:t xml:space="preserve">q) </w:t>
      </w:r>
      <w:r>
        <w:rPr>
          <w:noProof/>
          <w:u w:val="single"/>
        </w:rPr>
        <w:tab/>
      </w:r>
      <w:r>
        <w:rPr>
          <w:rStyle w:val="Added"/>
          <w:noProof/>
        </w:rPr>
        <w:t>v příslušných případech poskytovat poradenství a nasazovat náležitou infrastrukturu a technické vybavení nutné pro azylové podpůrné týmy a pomáhat příslušným vnitrostátním orgánům včetně justice.</w:t>
      </w:r>
    </w:p>
    <w:p>
      <w:pPr>
        <w:ind w:left="720" w:hanging="720"/>
        <w:rPr>
          <w:noProof/>
        </w:rPr>
      </w:pPr>
      <w:r>
        <w:rPr>
          <w:noProof/>
        </w:rPr>
        <w:t xml:space="preserve">3. </w:t>
      </w:r>
      <w:r>
        <w:rPr>
          <w:noProof/>
        </w:rPr>
        <w:tab/>
        <w:t xml:space="preserve">Agentura financuje nebo spolufinancuje činnosti uvedené v odstavci </w:t>
      </w:r>
      <w:r>
        <w:rPr>
          <w:rStyle w:val="Deleted"/>
          <w:noProof/>
        </w:rPr>
        <w:t>1</w:t>
      </w:r>
      <w:r>
        <w:rPr>
          <w:rStyle w:val="Added"/>
          <w:noProof/>
        </w:rPr>
        <w:t>2</w:t>
      </w:r>
      <w:r>
        <w:rPr>
          <w:noProof/>
        </w:rPr>
        <w:t xml:space="preserve"> ze svého rozpočtu v souladu s finančními předpisy, které se na ni vztahují.</w:t>
      </w:r>
    </w:p>
    <w:p>
      <w:pPr>
        <w:ind w:left="709" w:hanging="709"/>
        <w:rPr>
          <w:noProof/>
        </w:rPr>
      </w:pPr>
      <w:r>
        <w:rPr>
          <w:noProof/>
        </w:rPr>
        <w:t xml:space="preserve">4. </w:t>
      </w:r>
      <w:r>
        <w:rPr>
          <w:noProof/>
        </w:rPr>
        <w:tab/>
        <w:t xml:space="preserve">Výkonný ředitel vyhodnotí výsledek operativních a technických opatření a </w:t>
      </w:r>
      <w:r>
        <w:rPr>
          <w:rStyle w:val="Added"/>
          <w:noProof/>
        </w:rPr>
        <w:t>v souladu s režimem podávání zpráv a hodnocení uvedeným v operačním plánu</w:t>
      </w:r>
      <w:r>
        <w:rPr>
          <w:noProof/>
        </w:rPr>
        <w:t xml:space="preserve"> a do 60 dnů po ukončení </w:t>
      </w:r>
      <w:r>
        <w:rPr>
          <w:rStyle w:val="Added"/>
          <w:noProof/>
        </w:rPr>
        <w:t>poskytování</w:t>
      </w:r>
      <w:r>
        <w:rPr>
          <w:noProof/>
        </w:rPr>
        <w:t xml:space="preserve"> těchto opatření předá správní radě podrobnou hodnotící zprávu </w:t>
      </w:r>
      <w:r>
        <w:rPr>
          <w:rStyle w:val="Added"/>
          <w:noProof/>
        </w:rPr>
        <w:t xml:space="preserve">a </w:t>
      </w:r>
      <w:r>
        <w:rPr>
          <w:b/>
          <w:noProof/>
          <w:u w:val="single"/>
        </w:rPr>
        <w:t>připomínky úředníka pro otázky základních práv</w:t>
      </w:r>
      <w:r>
        <w:rPr>
          <w:noProof/>
        </w:rPr>
        <w:t>. Agentura provede komplexní srovnávací analýzu těchto výsledků, které budou začleněny do výroční zprávy o činnosti uvedené v článku 65.“</w:t>
      </w:r>
    </w:p>
    <w:p>
      <w:pPr>
        <w:ind w:left="709" w:hanging="709"/>
        <w:rPr>
          <w:noProof/>
        </w:rPr>
      </w:pPr>
    </w:p>
    <w:p>
      <w:pPr>
        <w:ind w:left="709" w:hanging="709"/>
        <w:rPr>
          <w:noProof/>
        </w:rPr>
      </w:pPr>
      <w:r>
        <w:rPr>
          <w:noProof/>
        </w:rPr>
        <w:t>(4) Vkládá se nový článek 16a, který zní:</w:t>
      </w:r>
    </w:p>
    <w:p>
      <w:pPr>
        <w:pStyle w:val="Titrearticle"/>
        <w:rPr>
          <w:noProof/>
        </w:rPr>
      </w:pPr>
      <w:r>
        <w:rPr>
          <w:noProof/>
        </w:rPr>
        <w:t xml:space="preserve">“Článek 16a </w:t>
      </w:r>
    </w:p>
    <w:p>
      <w:pPr>
        <w:jc w:val="center"/>
        <w:rPr>
          <w:b/>
          <w:noProof/>
        </w:rPr>
      </w:pPr>
      <w:r>
        <w:rPr>
          <w:b/>
          <w:noProof/>
        </w:rPr>
        <w:t>Posílená pomoc s postupem pro mezinárodní ochranu a s řízením podle dublinského nařízení</w:t>
      </w:r>
    </w:p>
    <w:p>
      <w:pPr>
        <w:pStyle w:val="ManualNumPar1"/>
        <w:rPr>
          <w:b/>
          <w:noProof/>
          <w:u w:val="single"/>
        </w:rPr>
      </w:pPr>
      <w:r>
        <w:rPr>
          <w:rStyle w:val="Added"/>
          <w:noProof/>
        </w:rPr>
        <w:t xml:space="preserve">1. </w:t>
      </w:r>
      <w:r>
        <w:rPr>
          <w:noProof/>
          <w:u w:val="single"/>
        </w:rPr>
        <w:tab/>
      </w:r>
      <w:r>
        <w:rPr>
          <w:rStyle w:val="Added"/>
          <w:noProof/>
        </w:rPr>
        <w:t xml:space="preserve">Členský stát může agenturu požádat o poskytnutí </w:t>
      </w:r>
      <w:r>
        <w:rPr>
          <w:b/>
          <w:noProof/>
          <w:u w:val="single"/>
        </w:rPr>
        <w:t>posílené pomoci při provádění své azylové politiky včetně svých závazků podle společného evropského azylového systému. Za tímto účelem vyšle agentura azylové podpůrné týmy – případně včetně týmů z rezervní skupiny pro otázky azylu – jejichž úkolem je:</w:t>
      </w:r>
    </w:p>
    <w:p>
      <w:pPr>
        <w:pStyle w:val="ManualNumPar2"/>
        <w:ind w:firstLine="0"/>
        <w:rPr>
          <w:rStyle w:val="Added"/>
          <w:b w:val="0"/>
          <w:noProof/>
        </w:rPr>
      </w:pPr>
      <w:r>
        <w:rPr>
          <w:rStyle w:val="Added"/>
          <w:noProof/>
        </w:rPr>
        <w:t>a)</w:t>
      </w:r>
      <w:r>
        <w:rPr>
          <w:noProof/>
          <w:u w:val="single"/>
        </w:rPr>
        <w:tab/>
      </w:r>
      <w:r>
        <w:rPr>
          <w:rStyle w:val="Added"/>
          <w:noProof/>
        </w:rPr>
        <w:t>vykonávat cel</w:t>
      </w:r>
      <w:r>
        <w:rPr>
          <w:b/>
          <w:noProof/>
          <w:u w:val="single"/>
        </w:rPr>
        <w:t xml:space="preserve">ý postup nebo části postupu pro mezinárodní ochranu ve správní fázi v souladu s nařízením (EU) č. XXX/XXX [nařízení o azylovém řízení], </w:t>
      </w:r>
      <w:r>
        <w:rPr>
          <w:b/>
          <w:noProof/>
          <w:color w:val="000000" w:themeColor="text1"/>
          <w:u w:val="single"/>
        </w:rPr>
        <w:t xml:space="preserve">aniž by tím byla dotčena pravomoc členských států </w:t>
      </w:r>
      <w:r>
        <w:rPr>
          <w:b/>
          <w:noProof/>
          <w:u w:val="single"/>
        </w:rPr>
        <w:t xml:space="preserve">rozhodovat o jednotlivých žádostech, a/nebo </w:t>
      </w:r>
    </w:p>
    <w:p>
      <w:pPr>
        <w:pStyle w:val="ManualNumPar2"/>
        <w:ind w:firstLine="0"/>
        <w:rPr>
          <w:rStyle w:val="Added"/>
          <w:noProof/>
        </w:rPr>
      </w:pPr>
      <w:r>
        <w:rPr>
          <w:rStyle w:val="Added"/>
          <w:noProof/>
        </w:rPr>
        <w:t>b)</w:t>
      </w:r>
      <w:r>
        <w:rPr>
          <w:noProof/>
          <w:u w:val="single"/>
        </w:rPr>
        <w:tab/>
      </w:r>
      <w:r>
        <w:rPr>
          <w:rStyle w:val="Added"/>
          <w:noProof/>
        </w:rPr>
        <w:t>pomáhat s rychlým prováděním nařízení (EU) č. XXX/XXX [dublinské nařízení] nebo vykonávat řízení podle tohoto nařízení a</w:t>
      </w:r>
      <w:r>
        <w:rPr>
          <w:b/>
          <w:noProof/>
          <w:u w:val="single"/>
        </w:rPr>
        <w:t>/nebo</w:t>
      </w:r>
    </w:p>
    <w:p>
      <w:pPr>
        <w:pStyle w:val="ManualNumPar2"/>
        <w:ind w:firstLine="0"/>
        <w:rPr>
          <w:rStyle w:val="Added"/>
          <w:b w:val="0"/>
          <w:noProof/>
        </w:rPr>
      </w:pPr>
      <w:r>
        <w:rPr>
          <w:rStyle w:val="Added"/>
          <w:noProof/>
        </w:rPr>
        <w:t>c)</w:t>
      </w:r>
      <w:r>
        <w:rPr>
          <w:noProof/>
          <w:u w:val="single"/>
        </w:rPr>
        <w:tab/>
      </w:r>
      <w:r>
        <w:rPr>
          <w:rStyle w:val="Added"/>
          <w:noProof/>
        </w:rPr>
        <w:t>pomáhat s vyřizováním žádostí souvisejících s</w:t>
      </w:r>
      <w:r>
        <w:rPr>
          <w:rStyle w:val="Added"/>
          <w:b w:val="0"/>
          <w:noProof/>
        </w:rPr>
        <w:t xml:space="preserve"> </w:t>
      </w:r>
      <w:r>
        <w:rPr>
          <w:b/>
          <w:noProof/>
          <w:u w:val="single"/>
        </w:rPr>
        <w:t>postupy a řízeními uvedenými v písm. a) a b).</w:t>
      </w:r>
    </w:p>
    <w:p>
      <w:pPr>
        <w:pStyle w:val="ManualNumPar1"/>
        <w:rPr>
          <w:b/>
          <w:noProof/>
          <w:u w:val="single"/>
        </w:rPr>
      </w:pPr>
      <w:r>
        <w:rPr>
          <w:rStyle w:val="Added"/>
          <w:b w:val="0"/>
          <w:noProof/>
        </w:rPr>
        <w:t>2.</w:t>
      </w:r>
      <w:r>
        <w:rPr>
          <w:b/>
          <w:noProof/>
          <w:u w:val="single"/>
        </w:rPr>
        <w:tab/>
      </w:r>
      <w:r>
        <w:rPr>
          <w:rStyle w:val="Added"/>
          <w:noProof/>
        </w:rPr>
        <w:t>Pro účely odst. 1 písm. a)</w:t>
      </w:r>
      <w:r>
        <w:rPr>
          <w:rStyle w:val="Added"/>
          <w:b w:val="0"/>
          <w:noProof/>
        </w:rPr>
        <w:t xml:space="preserve"> </w:t>
      </w:r>
      <w:r>
        <w:rPr>
          <w:b/>
          <w:noProof/>
          <w:u w:val="single"/>
        </w:rPr>
        <w:t>odborníci z azylových podpůrných týmů v příslušných případech:</w:t>
      </w:r>
    </w:p>
    <w:p>
      <w:pPr>
        <w:pStyle w:val="ManualNumPar2"/>
        <w:ind w:firstLine="0"/>
        <w:rPr>
          <w:b/>
          <w:noProof/>
          <w:u w:val="single"/>
        </w:rPr>
      </w:pPr>
      <w:r>
        <w:rPr>
          <w:rStyle w:val="Added"/>
          <w:noProof/>
        </w:rPr>
        <w:t>a)</w:t>
      </w:r>
      <w:r>
        <w:rPr>
          <w:noProof/>
          <w:u w:val="single"/>
        </w:rPr>
        <w:tab/>
      </w:r>
      <w:r>
        <w:rPr>
          <w:rStyle w:val="Added"/>
          <w:noProof/>
        </w:rPr>
        <w:t>poskyt</w:t>
      </w:r>
      <w:r>
        <w:rPr>
          <w:b/>
          <w:noProof/>
          <w:u w:val="single"/>
        </w:rPr>
        <w:t>ují žadatelům informace o postupu pro mezinárodní ochranu a ohledně podmínek přijímání;</w:t>
      </w:r>
    </w:p>
    <w:p>
      <w:pPr>
        <w:pStyle w:val="ManualNumPar2"/>
        <w:ind w:firstLine="0"/>
        <w:rPr>
          <w:rStyle w:val="Added"/>
          <w:noProof/>
        </w:rPr>
      </w:pPr>
      <w:r>
        <w:rPr>
          <w:rStyle w:val="Added"/>
          <w:noProof/>
        </w:rPr>
        <w:t>b)</w:t>
      </w:r>
      <w:r>
        <w:rPr>
          <w:noProof/>
          <w:u w:val="single"/>
        </w:rPr>
        <w:tab/>
      </w:r>
      <w:r>
        <w:rPr>
          <w:rStyle w:val="Added"/>
          <w:noProof/>
        </w:rPr>
        <w:t>evid</w:t>
      </w:r>
      <w:r>
        <w:rPr>
          <w:b/>
          <w:noProof/>
          <w:u w:val="single"/>
        </w:rPr>
        <w:t xml:space="preserve">ují žádosti o mezinárodní ochranu; </w:t>
      </w:r>
    </w:p>
    <w:p>
      <w:pPr>
        <w:pStyle w:val="ManualNumPar2"/>
        <w:ind w:firstLine="0"/>
        <w:rPr>
          <w:rStyle w:val="Added"/>
          <w:noProof/>
        </w:rPr>
      </w:pPr>
      <w:r>
        <w:rPr>
          <w:rStyle w:val="Added"/>
          <w:noProof/>
        </w:rPr>
        <w:t>c)</w:t>
      </w:r>
      <w:r>
        <w:rPr>
          <w:noProof/>
          <w:u w:val="single"/>
        </w:rPr>
        <w:tab/>
      </w:r>
      <w:r>
        <w:rPr>
          <w:rStyle w:val="Added"/>
          <w:noProof/>
        </w:rPr>
        <w:t>sním</w:t>
      </w:r>
      <w:r>
        <w:rPr>
          <w:b/>
          <w:noProof/>
          <w:u w:val="single"/>
        </w:rPr>
        <w:t>ají biometrické údaje a provádějí jejich přenos v souladu s článkem 10 nařízení (EU) č. XXX/XXX [nařízení Eurodac];</w:t>
      </w:r>
    </w:p>
    <w:p>
      <w:pPr>
        <w:pStyle w:val="ManualNumPar2"/>
        <w:ind w:firstLine="0"/>
        <w:rPr>
          <w:rStyle w:val="Added"/>
          <w:noProof/>
        </w:rPr>
      </w:pPr>
      <w:r>
        <w:rPr>
          <w:rStyle w:val="Added"/>
          <w:noProof/>
        </w:rPr>
        <w:t>d)</w:t>
      </w:r>
      <w:r>
        <w:rPr>
          <w:noProof/>
          <w:u w:val="single"/>
        </w:rPr>
        <w:tab/>
      </w:r>
      <w:r>
        <w:rPr>
          <w:b/>
          <w:noProof/>
          <w:u w:val="single"/>
        </w:rPr>
        <w:t>pomáhají žadatelům s podáváním žádostí o mezinárodní ochranu;</w:t>
      </w:r>
    </w:p>
    <w:p>
      <w:pPr>
        <w:pStyle w:val="ManualNumPar2"/>
        <w:ind w:firstLine="0"/>
        <w:rPr>
          <w:rStyle w:val="Added"/>
          <w:noProof/>
        </w:rPr>
      </w:pPr>
      <w:r>
        <w:rPr>
          <w:rStyle w:val="Added"/>
          <w:noProof/>
        </w:rPr>
        <w:lastRenderedPageBreak/>
        <w:t>e)</w:t>
      </w:r>
      <w:r>
        <w:rPr>
          <w:noProof/>
          <w:u w:val="single"/>
        </w:rPr>
        <w:tab/>
      </w:r>
      <w:r>
        <w:rPr>
          <w:rStyle w:val="Added"/>
          <w:noProof/>
        </w:rPr>
        <w:t>identifik</w:t>
      </w:r>
      <w:r>
        <w:rPr>
          <w:b/>
          <w:noProof/>
          <w:u w:val="single"/>
        </w:rPr>
        <w:t>ují a posuzují veškeré potřeby zvláštních procesních záruk nebo zvláštních potřeb při přijetí;</w:t>
      </w:r>
    </w:p>
    <w:p>
      <w:pPr>
        <w:pStyle w:val="ManualNumPar2"/>
        <w:ind w:firstLine="0"/>
        <w:rPr>
          <w:rStyle w:val="Added"/>
          <w:noProof/>
        </w:rPr>
      </w:pPr>
      <w:r>
        <w:rPr>
          <w:rStyle w:val="Added"/>
          <w:noProof/>
        </w:rPr>
        <w:t>f)</w:t>
      </w:r>
      <w:r>
        <w:rPr>
          <w:noProof/>
          <w:u w:val="single"/>
        </w:rPr>
        <w:tab/>
      </w:r>
      <w:r>
        <w:rPr>
          <w:rStyle w:val="Added"/>
          <w:noProof/>
        </w:rPr>
        <w:t>provádě</w:t>
      </w:r>
      <w:r>
        <w:rPr>
          <w:b/>
          <w:noProof/>
          <w:u w:val="single"/>
        </w:rPr>
        <w:t>jí pohovory o přípustnosti žádosti, případně pohovory o opodstatnění žádosti;</w:t>
      </w:r>
    </w:p>
    <w:p>
      <w:pPr>
        <w:pStyle w:val="ManualNumPar2"/>
        <w:ind w:firstLine="0"/>
        <w:rPr>
          <w:rStyle w:val="Added"/>
          <w:b w:val="0"/>
          <w:noProof/>
        </w:rPr>
      </w:pPr>
      <w:r>
        <w:rPr>
          <w:rStyle w:val="Added"/>
          <w:noProof/>
        </w:rPr>
        <w:t>g)</w:t>
      </w:r>
      <w:r>
        <w:rPr>
          <w:noProof/>
          <w:u w:val="single"/>
        </w:rPr>
        <w:tab/>
      </w:r>
      <w:r>
        <w:rPr>
          <w:rStyle w:val="Added"/>
          <w:noProof/>
        </w:rPr>
        <w:t>posuz</w:t>
      </w:r>
      <w:r>
        <w:rPr>
          <w:b/>
          <w:noProof/>
          <w:u w:val="single"/>
        </w:rPr>
        <w:t>ují důkazy související se žádostmi o mezinárodní ochranu;</w:t>
      </w:r>
    </w:p>
    <w:p>
      <w:pPr>
        <w:pStyle w:val="ManualNumPar2"/>
        <w:ind w:firstLine="0"/>
        <w:rPr>
          <w:rStyle w:val="Added"/>
          <w:noProof/>
        </w:rPr>
      </w:pPr>
      <w:r>
        <w:rPr>
          <w:rStyle w:val="Added"/>
          <w:noProof/>
        </w:rPr>
        <w:t>h)</w:t>
      </w:r>
      <w:r>
        <w:rPr>
          <w:noProof/>
          <w:u w:val="single"/>
        </w:rPr>
        <w:tab/>
      </w:r>
      <w:r>
        <w:rPr>
          <w:rStyle w:val="Added"/>
          <w:noProof/>
        </w:rPr>
        <w:t>připrav</w:t>
      </w:r>
      <w:r>
        <w:rPr>
          <w:b/>
          <w:noProof/>
          <w:u w:val="single"/>
        </w:rPr>
        <w:t>ují rozhodnutí o žádostech o mezinárodní ochranu a poskytují tato rozhodnutí příslušným vnitrostátním orgánům, které by byly odpovědné za rozhodování o jednotlivých žádostech v souladu se základními zásadami a zárukami stanovenými v nařízení (EU) č. XXX/XXX [nařízení o azylovém řízení];</w:t>
      </w:r>
    </w:p>
    <w:p>
      <w:pPr>
        <w:pStyle w:val="ManualNumPar2"/>
        <w:ind w:firstLine="0"/>
        <w:rPr>
          <w:rStyle w:val="Added"/>
          <w:noProof/>
        </w:rPr>
      </w:pPr>
      <w:r>
        <w:rPr>
          <w:rStyle w:val="Added"/>
          <w:noProof/>
        </w:rPr>
        <w:t>i)</w:t>
      </w:r>
      <w:r>
        <w:rPr>
          <w:noProof/>
          <w:u w:val="single"/>
        </w:rPr>
        <w:tab/>
      </w:r>
      <w:r>
        <w:rPr>
          <w:rStyle w:val="Added"/>
          <w:noProof/>
        </w:rPr>
        <w:t>pomáha</w:t>
      </w:r>
      <w:r>
        <w:rPr>
          <w:b/>
          <w:noProof/>
          <w:u w:val="single"/>
        </w:rPr>
        <w:t>jí s koordinací nebo podporují koordinaci mezi příslušnými vnitrostátními orgány za účelem navázání na postup pro mezinárodní ochranu s možností řízení o navrácení v případě negativního konečného rozhodnutí.</w:t>
      </w:r>
    </w:p>
    <w:p>
      <w:pPr>
        <w:pStyle w:val="ManualNumPar1"/>
        <w:rPr>
          <w:rStyle w:val="Added"/>
          <w:b w:val="0"/>
          <w:noProof/>
        </w:rPr>
      </w:pPr>
      <w:r>
        <w:rPr>
          <w:rStyle w:val="Added"/>
          <w:noProof/>
        </w:rPr>
        <w:t>3.</w:t>
      </w:r>
      <w:r>
        <w:rPr>
          <w:noProof/>
          <w:u w:val="single"/>
        </w:rPr>
        <w:tab/>
      </w:r>
      <w:r>
        <w:rPr>
          <w:rStyle w:val="Added"/>
          <w:noProof/>
        </w:rPr>
        <w:t xml:space="preserve">Pro účely odst. 1 písm. b) </w:t>
      </w:r>
      <w:r>
        <w:rPr>
          <w:b/>
          <w:noProof/>
          <w:u w:val="single"/>
        </w:rPr>
        <w:t>odborníci z azylových podpůrných týmů podle potřeby:</w:t>
      </w:r>
    </w:p>
    <w:p>
      <w:pPr>
        <w:pStyle w:val="ManualNumPar2"/>
        <w:ind w:firstLine="0"/>
        <w:rPr>
          <w:rStyle w:val="Added"/>
          <w:noProof/>
        </w:rPr>
      </w:pPr>
      <w:r>
        <w:rPr>
          <w:rStyle w:val="Added"/>
          <w:noProof/>
        </w:rPr>
        <w:t>a)</w:t>
      </w:r>
      <w:r>
        <w:rPr>
          <w:noProof/>
          <w:u w:val="single"/>
        </w:rPr>
        <w:tab/>
      </w:r>
      <w:r>
        <w:rPr>
          <w:rStyle w:val="Added"/>
          <w:noProof/>
        </w:rPr>
        <w:t>evid</w:t>
      </w:r>
      <w:r>
        <w:rPr>
          <w:b/>
          <w:noProof/>
          <w:u w:val="single"/>
        </w:rPr>
        <w:t>ují</w:t>
      </w:r>
      <w:r>
        <w:rPr>
          <w:noProof/>
          <w:u w:val="single"/>
        </w:rPr>
        <w:t xml:space="preserve"> </w:t>
      </w:r>
      <w:r>
        <w:rPr>
          <w:b/>
          <w:noProof/>
          <w:u w:val="single"/>
        </w:rPr>
        <w:t>žádosti o mezinárodní ochranu v automatizovaném systému uvedeném v nařízení (EU) č. XXX/XXX [dublinské nařízení];</w:t>
      </w:r>
    </w:p>
    <w:p>
      <w:pPr>
        <w:pStyle w:val="ManualNumPar2"/>
        <w:ind w:firstLine="0"/>
        <w:rPr>
          <w:rStyle w:val="Added"/>
          <w:noProof/>
        </w:rPr>
      </w:pPr>
      <w:r>
        <w:rPr>
          <w:rStyle w:val="Added"/>
          <w:noProof/>
        </w:rPr>
        <w:t>b)</w:t>
      </w:r>
      <w:r>
        <w:rPr>
          <w:noProof/>
          <w:u w:val="single"/>
        </w:rPr>
        <w:tab/>
      </w:r>
      <w:r>
        <w:rPr>
          <w:rStyle w:val="Added"/>
          <w:noProof/>
        </w:rPr>
        <w:t>poskyt</w:t>
      </w:r>
      <w:r>
        <w:rPr>
          <w:b/>
          <w:noProof/>
          <w:u w:val="single"/>
        </w:rPr>
        <w:t>ují</w:t>
      </w:r>
      <w:r>
        <w:rPr>
          <w:noProof/>
          <w:u w:val="single"/>
        </w:rPr>
        <w:t xml:space="preserve"> </w:t>
      </w:r>
      <w:r>
        <w:rPr>
          <w:b/>
          <w:noProof/>
          <w:u w:val="single"/>
        </w:rPr>
        <w:t>žadatelům informace o příslušných řízeních podle nařízení (EU) č. XXX/XXX [dublinské nařízení];</w:t>
      </w:r>
    </w:p>
    <w:p>
      <w:pPr>
        <w:pStyle w:val="ManualNumPar2"/>
        <w:ind w:firstLine="0"/>
        <w:rPr>
          <w:noProof/>
          <w:u w:val="single"/>
        </w:rPr>
      </w:pPr>
      <w:r>
        <w:rPr>
          <w:noProof/>
          <w:u w:val="single"/>
        </w:rPr>
        <w:t>(</w:t>
      </w:r>
      <w:r>
        <w:rPr>
          <w:rStyle w:val="Added"/>
          <w:noProof/>
        </w:rPr>
        <w:t>c)</w:t>
      </w:r>
      <w:r>
        <w:rPr>
          <w:noProof/>
          <w:u w:val="single"/>
        </w:rPr>
        <w:tab/>
      </w:r>
      <w:r>
        <w:rPr>
          <w:rStyle w:val="Added"/>
          <w:noProof/>
        </w:rPr>
        <w:t>provádě</w:t>
      </w:r>
      <w:r>
        <w:rPr>
          <w:b/>
          <w:noProof/>
          <w:u w:val="single"/>
        </w:rPr>
        <w:t>jí</w:t>
      </w:r>
      <w:r>
        <w:rPr>
          <w:noProof/>
          <w:u w:val="single"/>
        </w:rPr>
        <w:t xml:space="preserve"> </w:t>
      </w:r>
      <w:r>
        <w:rPr>
          <w:b/>
          <w:noProof/>
          <w:u w:val="single"/>
        </w:rPr>
        <w:t>pohovory za účelem určení členského státu odpovědného za posouzení žádosti o mezinárodní ochranu;</w:t>
      </w:r>
    </w:p>
    <w:p>
      <w:pPr>
        <w:pStyle w:val="ManualNumPar2"/>
        <w:ind w:firstLine="0"/>
        <w:rPr>
          <w:rStyle w:val="Added"/>
          <w:noProof/>
        </w:rPr>
      </w:pPr>
      <w:r>
        <w:rPr>
          <w:rStyle w:val="Added"/>
          <w:noProof/>
        </w:rPr>
        <w:t>d)</w:t>
      </w:r>
      <w:r>
        <w:rPr>
          <w:noProof/>
          <w:u w:val="single"/>
        </w:rPr>
        <w:tab/>
      </w:r>
      <w:r>
        <w:rPr>
          <w:rStyle w:val="Added"/>
          <w:noProof/>
        </w:rPr>
        <w:t>vyhledáva</w:t>
      </w:r>
      <w:r>
        <w:rPr>
          <w:b/>
          <w:noProof/>
          <w:u w:val="single"/>
        </w:rPr>
        <w:t>jí</w:t>
      </w:r>
      <w:r>
        <w:rPr>
          <w:noProof/>
          <w:u w:val="single"/>
        </w:rPr>
        <w:t xml:space="preserve"> </w:t>
      </w:r>
      <w:r>
        <w:rPr>
          <w:b/>
          <w:noProof/>
          <w:u w:val="single"/>
        </w:rPr>
        <w:t>rodinné příslušníky a přiřazují je k členskému státu odpovědnému za posouzení žádosti o mezinárodní ochranu;</w:t>
      </w:r>
    </w:p>
    <w:p>
      <w:pPr>
        <w:pStyle w:val="ManualNumPar2"/>
        <w:ind w:firstLine="0"/>
        <w:rPr>
          <w:rStyle w:val="Added"/>
          <w:b w:val="0"/>
          <w:noProof/>
        </w:rPr>
      </w:pPr>
      <w:r>
        <w:rPr>
          <w:rStyle w:val="Added"/>
          <w:noProof/>
        </w:rPr>
        <w:t>e)</w:t>
      </w:r>
      <w:r>
        <w:rPr>
          <w:noProof/>
          <w:u w:val="single"/>
        </w:rPr>
        <w:tab/>
      </w:r>
      <w:r>
        <w:rPr>
          <w:rStyle w:val="Added"/>
          <w:noProof/>
        </w:rPr>
        <w:t>urč</w:t>
      </w:r>
      <w:r>
        <w:rPr>
          <w:b/>
          <w:noProof/>
          <w:u w:val="single"/>
        </w:rPr>
        <w:t>ují</w:t>
      </w:r>
      <w:r>
        <w:rPr>
          <w:noProof/>
          <w:u w:val="single"/>
        </w:rPr>
        <w:t xml:space="preserve">, </w:t>
      </w:r>
      <w:r>
        <w:rPr>
          <w:b/>
          <w:noProof/>
          <w:u w:val="single"/>
        </w:rPr>
        <w:t>kteří žadatelé jsou způsobilí pro přidělení nebo přemístění;</w:t>
      </w:r>
    </w:p>
    <w:p>
      <w:pPr>
        <w:pStyle w:val="ManualNumPar2"/>
        <w:ind w:firstLine="0"/>
        <w:rPr>
          <w:rStyle w:val="Added"/>
          <w:noProof/>
        </w:rPr>
      </w:pPr>
      <w:r>
        <w:rPr>
          <w:rStyle w:val="Added"/>
          <w:noProof/>
        </w:rPr>
        <w:t>f)</w:t>
      </w:r>
      <w:r>
        <w:rPr>
          <w:noProof/>
          <w:u w:val="single"/>
        </w:rPr>
        <w:tab/>
      </w:r>
      <w:r>
        <w:rPr>
          <w:rStyle w:val="Added"/>
          <w:noProof/>
        </w:rPr>
        <w:t>pomáha</w:t>
      </w:r>
      <w:r>
        <w:rPr>
          <w:b/>
          <w:noProof/>
          <w:u w:val="single"/>
        </w:rPr>
        <w:t>jí</w:t>
      </w:r>
      <w:r>
        <w:rPr>
          <w:noProof/>
          <w:u w:val="single"/>
        </w:rPr>
        <w:t xml:space="preserve"> </w:t>
      </w:r>
      <w:r>
        <w:rPr>
          <w:b/>
          <w:noProof/>
          <w:u w:val="single"/>
        </w:rPr>
        <w:t>s přidělováním a provádějí nebo koordinují přidělování nebo přemístění žadatelů o mezinárodní ochranu nebo osob, jimž byla přiznána mezinárodní ochrana;</w:t>
      </w:r>
    </w:p>
    <w:p>
      <w:pPr>
        <w:pStyle w:val="ManualNumPar2"/>
        <w:ind w:firstLine="0"/>
        <w:rPr>
          <w:rStyle w:val="Added"/>
          <w:b w:val="0"/>
          <w:noProof/>
        </w:rPr>
      </w:pPr>
      <w:r>
        <w:rPr>
          <w:rStyle w:val="Added"/>
          <w:noProof/>
        </w:rPr>
        <w:t>g)</w:t>
      </w:r>
      <w:r>
        <w:rPr>
          <w:noProof/>
          <w:u w:val="single"/>
        </w:rPr>
        <w:tab/>
      </w:r>
      <w:r>
        <w:rPr>
          <w:rStyle w:val="Added"/>
          <w:noProof/>
        </w:rPr>
        <w:t>pomáha</w:t>
      </w:r>
      <w:r>
        <w:rPr>
          <w:b/>
          <w:noProof/>
          <w:u w:val="single"/>
        </w:rPr>
        <w:t>jí</w:t>
      </w:r>
      <w:r>
        <w:rPr>
          <w:noProof/>
          <w:u w:val="single"/>
        </w:rPr>
        <w:t xml:space="preserve"> </w:t>
      </w:r>
      <w:r>
        <w:rPr>
          <w:b/>
          <w:noProof/>
          <w:u w:val="single"/>
        </w:rPr>
        <w:t>s řízením nebo provádějí řízení za účelem určení toho, který členský stát je odpovědný za posouzení žádosti o mezinárodní ochranu;</w:t>
      </w:r>
    </w:p>
    <w:p>
      <w:pPr>
        <w:pStyle w:val="ManualNumPar2"/>
        <w:ind w:firstLine="0"/>
        <w:rPr>
          <w:noProof/>
          <w:u w:val="single"/>
        </w:rPr>
      </w:pPr>
      <w:r>
        <w:rPr>
          <w:rStyle w:val="Added"/>
          <w:noProof/>
        </w:rPr>
        <w:t>h)</w:t>
      </w:r>
      <w:r>
        <w:rPr>
          <w:noProof/>
          <w:u w:val="single"/>
        </w:rPr>
        <w:tab/>
      </w:r>
      <w:r>
        <w:rPr>
          <w:rStyle w:val="Added"/>
          <w:noProof/>
        </w:rPr>
        <w:t>pomáha</w:t>
      </w:r>
      <w:r>
        <w:rPr>
          <w:b/>
          <w:noProof/>
          <w:u w:val="single"/>
        </w:rPr>
        <w:t>jí</w:t>
      </w:r>
      <w:r>
        <w:rPr>
          <w:noProof/>
          <w:u w:val="single"/>
        </w:rPr>
        <w:t xml:space="preserve"> </w:t>
      </w:r>
      <w:r>
        <w:rPr>
          <w:b/>
          <w:noProof/>
          <w:u w:val="single"/>
        </w:rPr>
        <w:t>s řízeními o převzetí a s oznámeními o přijetí zpět nebo tato řízení a oznámení vykonávají v souladu s nařízením (EU) č. XXX/XXX [dublinské nařízení].</w:t>
      </w:r>
    </w:p>
    <w:p>
      <w:pPr>
        <w:pStyle w:val="ManualNumPar1"/>
        <w:rPr>
          <w:rStyle w:val="Added"/>
          <w:noProof/>
        </w:rPr>
      </w:pPr>
      <w:r>
        <w:rPr>
          <w:rStyle w:val="Added"/>
          <w:b w:val="0"/>
          <w:noProof/>
        </w:rPr>
        <w:t xml:space="preserve">4. </w:t>
      </w:r>
      <w:r>
        <w:rPr>
          <w:b/>
          <w:noProof/>
          <w:u w:val="single"/>
        </w:rPr>
        <w:tab/>
      </w:r>
      <w:r>
        <w:rPr>
          <w:rStyle w:val="Added"/>
          <w:noProof/>
        </w:rPr>
        <w:t>Pro účely odst. 1 písm. c)</w:t>
      </w:r>
      <w:r>
        <w:rPr>
          <w:rStyle w:val="Added"/>
          <w:b w:val="0"/>
          <w:noProof/>
        </w:rPr>
        <w:t xml:space="preserve"> </w:t>
      </w:r>
      <w:r>
        <w:rPr>
          <w:b/>
          <w:noProof/>
          <w:u w:val="single"/>
        </w:rPr>
        <w:t xml:space="preserve">odborníci z azylových podpůrných týmů podle potřeby pomáhají soudům a tribunálům – na jejich žádost a při plném respektování nezávislosti a nestrannosti soudnictví – </w:t>
      </w:r>
      <w:r>
        <w:rPr>
          <w:rStyle w:val="Added"/>
          <w:noProof/>
        </w:rPr>
        <w:t xml:space="preserve">s vyřizováním odvolání, a to kromě jiného prováděním právního výzkumu a analýz a další právní podporou. </w:t>
      </w:r>
    </w:p>
    <w:p>
      <w:pPr>
        <w:pStyle w:val="ManualNumPar1"/>
        <w:rPr>
          <w:rStyle w:val="Added"/>
          <w:noProof/>
        </w:rPr>
      </w:pPr>
      <w:r>
        <w:rPr>
          <w:rStyle w:val="Added"/>
          <w:noProof/>
        </w:rPr>
        <w:t>5.</w:t>
      </w:r>
      <w:r>
        <w:rPr>
          <w:noProof/>
          <w:u w:val="single"/>
        </w:rPr>
        <w:tab/>
      </w:r>
      <w:r>
        <w:rPr>
          <w:rStyle w:val="Added"/>
          <w:noProof/>
        </w:rPr>
        <w:t>Agentura zajistí překlad příslušných dokumentů a také nezbytné tlumočení.”</w:t>
      </w:r>
    </w:p>
    <w:p>
      <w:pPr>
        <w:pStyle w:val="Text1"/>
        <w:rPr>
          <w:noProof/>
        </w:rPr>
      </w:pPr>
    </w:p>
    <w:p>
      <w:pPr>
        <w:rPr>
          <w:noProof/>
        </w:rPr>
      </w:pPr>
      <w:r>
        <w:rPr>
          <w:noProof/>
        </w:rPr>
        <w:t>(5) Článek 21 se nahrazuje tímto zněním:</w:t>
      </w:r>
    </w:p>
    <w:p>
      <w:pPr>
        <w:pStyle w:val="Titrearticle"/>
        <w:rPr>
          <w:noProof/>
        </w:rPr>
      </w:pPr>
      <w:r>
        <w:rPr>
          <w:noProof/>
        </w:rPr>
        <w:lastRenderedPageBreak/>
        <w:t>“Článek 21</w:t>
      </w:r>
    </w:p>
    <w:p>
      <w:pPr>
        <w:jc w:val="center"/>
        <w:rPr>
          <w:b/>
          <w:noProof/>
        </w:rPr>
      </w:pPr>
      <w:r>
        <w:rPr>
          <w:b/>
          <w:noProof/>
        </w:rPr>
        <w:t>Podpůrné týmy pro řízení migrace</w:t>
      </w:r>
    </w:p>
    <w:p>
      <w:pPr>
        <w:pStyle w:val="ManualNumPar1"/>
        <w:rPr>
          <w:rStyle w:val="Deleted"/>
          <w:noProof/>
        </w:rPr>
      </w:pPr>
      <w:r>
        <w:rPr>
          <w:rStyle w:val="Deleted"/>
          <w:noProof/>
        </w:rPr>
        <w:t>1.</w:t>
      </w:r>
      <w:r>
        <w:rPr>
          <w:noProof/>
        </w:rPr>
        <w:tab/>
      </w:r>
      <w:r>
        <w:rPr>
          <w:rStyle w:val="Deleted"/>
          <w:noProof/>
        </w:rPr>
        <w:t xml:space="preserve">V případě, že si členský stát vyžádá operativní a technické posílení podpůrnými týmy pro řízení migrace, jak je uvedeno v článku 17 nařízení č. XXX/XXX, případně pokud jsou podpůrné týmy pro řízení migrace vyslány do oblastí hotspotů, jak je uvedeno v článku 18 nařízení č. XXX/XXX, zajistí výkonný ředitel koordinaci činností agentury v podpůrných týmech pro řízení migrace s Komisí a s dalšími relevantními agenturami Unie, zejména s Evropskou agenturou pro řízení operativní spolupráce na vnějších hranicích členských států. 2. </w:t>
      </w:r>
    </w:p>
    <w:p>
      <w:pPr>
        <w:pStyle w:val="ManualNumPar1"/>
        <w:rPr>
          <w:rStyle w:val="Deleted"/>
          <w:noProof/>
        </w:rPr>
      </w:pPr>
      <w:r>
        <w:rPr>
          <w:rStyle w:val="Deleted"/>
          <w:noProof/>
        </w:rPr>
        <w:t>2.</w:t>
      </w:r>
      <w:r>
        <w:rPr>
          <w:noProof/>
        </w:rPr>
        <w:tab/>
      </w:r>
      <w:r>
        <w:rPr>
          <w:rStyle w:val="Deleted"/>
          <w:noProof/>
        </w:rPr>
        <w:t xml:space="preserve">Výkonný ředitel případně zahájí postup pro vyslání azylových podpůrných týmů nebo odborníků z rezervní skupiny pro otázky azylu v souladu s články 17 a 18. Operativní a technické posílení poskytnuté azylovými podpůrnými týmy nebo odborníky z rezervní skupiny pro otázky azylu v rámci podpůrných týmů pro řízení migrace může zahrnovat: </w:t>
      </w:r>
    </w:p>
    <w:p>
      <w:pPr>
        <w:pStyle w:val="ManualNumPar2"/>
        <w:ind w:firstLine="0"/>
        <w:rPr>
          <w:rStyle w:val="Deleted"/>
          <w:noProof/>
        </w:rPr>
      </w:pPr>
      <w:r>
        <w:rPr>
          <w:rStyle w:val="Deleted"/>
          <w:noProof/>
        </w:rPr>
        <w:t xml:space="preserve">a) </w:t>
      </w:r>
      <w:r>
        <w:rPr>
          <w:noProof/>
        </w:rPr>
        <w:tab/>
      </w:r>
      <w:r>
        <w:rPr>
          <w:rStyle w:val="Deleted"/>
          <w:noProof/>
        </w:rPr>
        <w:t xml:space="preserve">kontrolu státních příslušníků třetích zemí, včetně jejich identifikace, evidence a v případě, že o to členské státy požádají, snímání jejich otisků prstů; </w:t>
      </w:r>
    </w:p>
    <w:p>
      <w:pPr>
        <w:pStyle w:val="ManualNumPar2"/>
        <w:ind w:firstLine="0"/>
        <w:rPr>
          <w:rStyle w:val="Deleted"/>
          <w:noProof/>
        </w:rPr>
      </w:pPr>
      <w:r>
        <w:rPr>
          <w:rStyle w:val="Deleted"/>
          <w:noProof/>
        </w:rPr>
        <w:t xml:space="preserve">(b) registraci žádostí o </w:t>
      </w:r>
      <w:r>
        <w:rPr>
          <w:rStyle w:val="Deleted"/>
          <w:noProof/>
        </w:rPr>
        <w:br/>
        <w:t xml:space="preserve">mezinárodní ochranu a v případě, že o to členské státy </w:t>
      </w:r>
      <w:r>
        <w:rPr>
          <w:rStyle w:val="Deleted"/>
          <w:noProof/>
        </w:rPr>
        <w:br/>
        <w:t xml:space="preserve">požádají, přezkum těchto žádostí; </w:t>
      </w:r>
    </w:p>
    <w:p>
      <w:pPr>
        <w:pStyle w:val="ManualNumPar2"/>
        <w:ind w:firstLine="0"/>
        <w:rPr>
          <w:noProof/>
        </w:rPr>
      </w:pPr>
      <w:r>
        <w:rPr>
          <w:rStyle w:val="Deleted"/>
          <w:noProof/>
        </w:rPr>
        <w:t xml:space="preserve">(c) poskytování informací o azylovém řízení, včetně relokace, a konkrétní pomoc </w:t>
      </w:r>
      <w:r>
        <w:rPr>
          <w:rStyle w:val="Deleted"/>
          <w:noProof/>
        </w:rPr>
        <w:br/>
        <w:t xml:space="preserve">žadatelům či potenciálním žadatelům, kterých by se relokace mohla týkat. </w:t>
      </w:r>
    </w:p>
    <w:p>
      <w:pPr>
        <w:pStyle w:val="ManualNumPar1"/>
        <w:rPr>
          <w:rStyle w:val="Added"/>
          <w:noProof/>
        </w:rPr>
      </w:pPr>
      <w:r>
        <w:rPr>
          <w:rStyle w:val="Added"/>
          <w:noProof/>
        </w:rPr>
        <w:t>1.</w:t>
      </w:r>
      <w:r>
        <w:rPr>
          <w:noProof/>
          <w:u w:val="single"/>
        </w:rPr>
        <w:tab/>
      </w:r>
      <w:r>
        <w:rPr>
          <w:rStyle w:val="Added"/>
          <w:noProof/>
        </w:rPr>
        <w:t>Podpůrné týmy pro řízení migrace mohou být nasazeny na žádost členského státu nebo na podnět agentury a se souhlasem dotčeného členského státu za účelem poskytnutí technické a operativní posily dané</w:t>
      </w:r>
      <w:r>
        <w:rPr>
          <w:b/>
          <w:noProof/>
          <w:u w:val="single"/>
        </w:rPr>
        <w:t>mu členskému státu.</w:t>
      </w:r>
    </w:p>
    <w:p>
      <w:pPr>
        <w:pStyle w:val="ManualNumPar1"/>
        <w:rPr>
          <w:rStyle w:val="Added"/>
          <w:b w:val="0"/>
          <w:noProof/>
        </w:rPr>
      </w:pPr>
      <w:r>
        <w:rPr>
          <w:rStyle w:val="Added"/>
          <w:noProof/>
        </w:rPr>
        <w:t>2.</w:t>
      </w:r>
      <w:r>
        <w:rPr>
          <w:noProof/>
          <w:u w:val="single"/>
        </w:rPr>
        <w:tab/>
      </w:r>
      <w:r>
        <w:rPr>
          <w:rStyle w:val="Added"/>
          <w:noProof/>
        </w:rPr>
        <w:t xml:space="preserve">Podpůrné týmy pro řízení migrace se </w:t>
      </w:r>
      <w:r>
        <w:rPr>
          <w:b/>
          <w:noProof/>
          <w:u w:val="single"/>
        </w:rPr>
        <w:t>skládají z azylových podpůrných týmů, provozních zaměstnanců stálého sboru Evropské pohraniční a pobřežní stráže a také z odborníků Europolu či dalších příslušných agentur Unie.</w:t>
      </w:r>
    </w:p>
    <w:p>
      <w:pPr>
        <w:pStyle w:val="ManualNumPar1"/>
        <w:rPr>
          <w:rStyle w:val="Added"/>
          <w:noProof/>
        </w:rPr>
      </w:pPr>
      <w:r>
        <w:rPr>
          <w:rStyle w:val="Added"/>
          <w:noProof/>
        </w:rPr>
        <w:t>3.</w:t>
      </w:r>
      <w:r>
        <w:rPr>
          <w:noProof/>
          <w:u w:val="single"/>
        </w:rPr>
        <w:tab/>
      </w:r>
      <w:r>
        <w:rPr>
          <w:rStyle w:val="Added"/>
          <w:noProof/>
        </w:rPr>
        <w:t>Členský stát uvedený v odst</w:t>
      </w:r>
      <w:r>
        <w:rPr>
          <w:b/>
          <w:noProof/>
          <w:u w:val="single"/>
        </w:rPr>
        <w:t>avci 1 předloží Komisi žádost o posilu poskytovanou podpůrnými týmy pro řízení migrace a posouzení svých potřeb. Komise na základě posouzení potřeb tohoto členského státu předá žádost agentuře, Evropské agentuře pro pohraniční a pobřežní stráž, Europolu a dalším příslušným agenturám Unie a zajistí celkovou koordinaci tohoto posouzení.</w:t>
      </w:r>
    </w:p>
    <w:p>
      <w:pPr>
        <w:pStyle w:val="ManualNumPar1"/>
        <w:rPr>
          <w:rStyle w:val="Added"/>
          <w:noProof/>
        </w:rPr>
      </w:pPr>
      <w:r>
        <w:rPr>
          <w:rStyle w:val="Added"/>
          <w:noProof/>
        </w:rPr>
        <w:t>4.</w:t>
      </w:r>
      <w:r>
        <w:rPr>
          <w:noProof/>
          <w:u w:val="single"/>
        </w:rPr>
        <w:tab/>
      </w:r>
      <w:r>
        <w:rPr>
          <w:rStyle w:val="Added"/>
          <w:noProof/>
        </w:rPr>
        <w:t xml:space="preserve">Příslušné agentury Unie, koordinované Komisí, posoudí žádost členského státu o posilu a jeho potřeby, </w:t>
      </w:r>
      <w:r>
        <w:rPr>
          <w:b/>
          <w:noProof/>
          <w:u w:val="single"/>
        </w:rPr>
        <w:t>aby mohly určit nezbytná opatření, včetně nasazení technického vybavení, která schválí dotčený členský stát.</w:t>
      </w:r>
    </w:p>
    <w:p>
      <w:pPr>
        <w:pStyle w:val="ManualNumPar1"/>
        <w:rPr>
          <w:rStyle w:val="Added"/>
          <w:b w:val="0"/>
          <w:noProof/>
        </w:rPr>
      </w:pPr>
      <w:r>
        <w:rPr>
          <w:rStyle w:val="Added"/>
          <w:noProof/>
        </w:rPr>
        <w:t>5.</w:t>
      </w:r>
      <w:r>
        <w:rPr>
          <w:noProof/>
          <w:u w:val="single"/>
        </w:rPr>
        <w:tab/>
      </w:r>
      <w:r>
        <w:rPr>
          <w:rStyle w:val="Added"/>
          <w:noProof/>
        </w:rPr>
        <w:t xml:space="preserve">Komise ve spolupráci s hostitelským členským státem a příslušnými agenturami Unie stanoví podmínky spolupráce pro vysílání podpůrných týmů pro řízení migrace i pro nasazování technického vybavení a </w:t>
      </w:r>
      <w:r>
        <w:rPr>
          <w:b/>
          <w:noProof/>
          <w:u w:val="single"/>
        </w:rPr>
        <w:t>odpovídá za koordinaci činností těchto týmů.</w:t>
      </w:r>
    </w:p>
    <w:p>
      <w:pPr>
        <w:pStyle w:val="ManualNumPar1"/>
        <w:rPr>
          <w:rFonts w:eastAsia="Times New Roman"/>
          <w:noProof/>
          <w:szCs w:val="24"/>
        </w:rPr>
      </w:pPr>
      <w:r>
        <w:rPr>
          <w:rStyle w:val="Added"/>
          <w:noProof/>
        </w:rPr>
        <w:t xml:space="preserve">6. </w:t>
      </w:r>
      <w:r>
        <w:rPr>
          <w:noProof/>
          <w:u w:val="single"/>
        </w:rPr>
        <w:tab/>
      </w:r>
      <w:r>
        <w:rPr>
          <w:rStyle w:val="Added"/>
          <w:noProof/>
        </w:rPr>
        <w:t>Azylové podpůrné týmy vyslané agenturou v rámci podpůrných týmů pro řízení migrace mohou vykonávat úkoly uvedené v článku 16 odst. 2) a v čl</w:t>
      </w:r>
      <w:r>
        <w:rPr>
          <w:b/>
          <w:noProof/>
          <w:u w:val="single"/>
        </w:rPr>
        <w:t>ánku 16a.</w:t>
      </w:r>
    </w:p>
    <w:p>
      <w:pPr>
        <w:pStyle w:val="ManualNumPar1"/>
        <w:rPr>
          <w:rStyle w:val="Added"/>
          <w:b w:val="0"/>
          <w:noProof/>
        </w:rPr>
      </w:pPr>
      <w:r>
        <w:rPr>
          <w:rStyle w:val="Added"/>
          <w:noProof/>
        </w:rPr>
        <w:t>7.</w:t>
      </w:r>
      <w:r>
        <w:rPr>
          <w:noProof/>
          <w:u w:val="single"/>
        </w:rPr>
        <w:tab/>
      </w:r>
      <w:r>
        <w:rPr>
          <w:rStyle w:val="Added"/>
          <w:noProof/>
        </w:rPr>
        <w:t xml:space="preserve">Součástí podpůrných týmů pro řízení migrace </w:t>
      </w:r>
      <w:r>
        <w:rPr>
          <w:b/>
          <w:noProof/>
          <w:u w:val="single"/>
        </w:rPr>
        <w:t>jsou v nezbytných případech zaměstnanci s odbornou způsobilostí v oblastech ochrany dítěte, obchodování s lidmi, základních práv, rovnosti žen a mužů a ochrany před násilím na základě pohlaví.“</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(6) Článek 47 se nahrazuje tímto zněním:</w:t>
      </w:r>
    </w:p>
    <w:p>
      <w:pPr>
        <w:autoSpaceDE w:val="0"/>
        <w:autoSpaceDN w:val="0"/>
        <w:adjustRightInd w:val="0"/>
        <w:spacing w:before="0" w:after="0"/>
        <w:jc w:val="left"/>
        <w:rPr>
          <w:noProof/>
          <w:szCs w:val="24"/>
        </w:rPr>
      </w:pPr>
    </w:p>
    <w:p>
      <w:pPr>
        <w:jc w:val="center"/>
        <w:rPr>
          <w:rFonts w:cstheme="minorHAnsi"/>
          <w:noProof/>
        </w:rPr>
      </w:pPr>
      <w:r>
        <w:rPr>
          <w:i/>
          <w:noProof/>
        </w:rPr>
        <w:t>„Článek 47</w:t>
      </w:r>
      <w:r>
        <w:rPr>
          <w:noProof/>
        </w:rPr>
        <w:br/>
        <w:t>Zástupce výkonného ředitele</w:t>
      </w:r>
    </w:p>
    <w:p>
      <w:pPr>
        <w:rPr>
          <w:rFonts w:cstheme="minorHAnsi"/>
          <w:b/>
          <w:noProof/>
          <w:u w:val="single"/>
        </w:rPr>
      </w:pPr>
      <w:r>
        <w:rPr>
          <w:noProof/>
        </w:rPr>
        <w:t xml:space="preserve">1. Zástupce výkonného ředitele je nápomocen výkonnému řediteli </w:t>
      </w:r>
      <w:r>
        <w:rPr>
          <w:rStyle w:val="Added"/>
          <w:noProof/>
        </w:rPr>
        <w:t>při řízení</w:t>
      </w:r>
      <w:r>
        <w:rPr>
          <w:noProof/>
        </w:rPr>
        <w:t xml:space="preserve"> </w:t>
      </w:r>
      <w:r>
        <w:rPr>
          <w:b/>
          <w:noProof/>
          <w:u w:val="single"/>
        </w:rPr>
        <w:t>agentury a při vykonávání jeho úkolů podle čl. 46 odst. 5. Je-li výkonný ředitel nepřítomen nebo nezpůsobilý k výkonu funkce, zaujme zástupce výkonného ředitele jeho místo.</w:t>
      </w:r>
    </w:p>
    <w:p>
      <w:pPr>
        <w:rPr>
          <w:rFonts w:cstheme="minorHAnsi"/>
          <w:noProof/>
        </w:rPr>
      </w:pPr>
      <w:r>
        <w:rPr>
          <w:noProof/>
        </w:rPr>
        <w:t xml:space="preserve">2. Zástupce výkonného ředitele jmenuje správní rada, </w:t>
      </w:r>
      <w:r>
        <w:rPr>
          <w:rStyle w:val="Deleted"/>
          <w:noProof/>
        </w:rPr>
        <w:t xml:space="preserve">na návrh výkonného ředitele </w:t>
      </w:r>
      <w:r>
        <w:rPr>
          <w:rStyle w:val="Added"/>
          <w:noProof/>
        </w:rPr>
        <w:t xml:space="preserve">která ho </w:t>
      </w:r>
      <w:r>
        <w:rPr>
          <w:rStyle w:val="Added"/>
          <w:b w:val="0"/>
          <w:noProof/>
          <w:u w:val="none"/>
        </w:rPr>
        <w:t>vyb</w:t>
      </w:r>
      <w:r>
        <w:rPr>
          <w:b/>
          <w:noProof/>
        </w:rPr>
        <w:t>ere ze seznamu kandidátů navržených Komisí, a to po otevřeném a transparentním výběrovém řízení. Zástupce výkonného ředitele je jmenován na základě zásluh a náležitých správních a řídicích schopností včetně profesních zkušeností v oblasti migrace a azylu. Komise navrhuje na funkci zástupce výkonného ředitele alespoň tři kandidáty.</w:t>
      </w:r>
      <w:r>
        <w:rPr>
          <w:rFonts w:cstheme="minorHAnsi"/>
          <w:b/>
          <w:noProof/>
          <w:u w:val="single"/>
        </w:rPr>
        <w:t xml:space="preserve"> </w:t>
      </w:r>
      <w:r>
        <w:rPr>
          <w:rStyle w:val="Deleted"/>
          <w:noProof/>
        </w:rPr>
        <w:t>Správní rada má pravomoc na návrh Komise prodloužit funkční období zástupce výkonného ředitele nebo jej odvolat z funkce</w:t>
      </w:r>
      <w:r>
        <w:rPr>
          <w:noProof/>
        </w:rPr>
        <w:t xml:space="preserve">. Na zástupce výkonného ředitele se vztahují ustanovení čl. 45 </w:t>
      </w:r>
      <w:r>
        <w:rPr>
          <w:rStyle w:val="Added"/>
          <w:noProof/>
        </w:rPr>
        <w:t>odst. 1, 4, 5, 7, 8 a 9</w:t>
      </w:r>
      <w:r>
        <w:rPr>
          <w:noProof/>
        </w:rPr>
        <w:t>.</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Toto nařízení je závazné v celém rozsahu a přímo použitelné v členských státech v souladu se Smlouvami.</w:t>
      </w:r>
    </w:p>
    <w:p>
      <w:pPr>
        <w:pStyle w:val="Fait"/>
        <w:rPr>
          <w:noProof/>
        </w:rPr>
      </w:pPr>
      <w:r>
        <w:t>V Bruselu dne</w:t>
      </w:r>
    </w:p>
    <w:p>
      <w:pPr>
        <w:pStyle w:val="Institutionquisigne"/>
        <w:rPr>
          <w:noProof/>
        </w:rPr>
      </w:pPr>
      <w:r>
        <w:rPr>
          <w:noProof/>
        </w:rPr>
        <w:t xml:space="preserve">Za Evropský parlament </w:t>
      </w:r>
      <w:r>
        <w:rPr>
          <w:noProof/>
        </w:rPr>
        <w:tab/>
      </w:r>
      <w:r>
        <w:rPr>
          <w:noProof/>
        </w:rPr>
        <w:tab/>
      </w:r>
      <w:r>
        <w:rPr>
          <w:noProof/>
        </w:rPr>
        <w:tab/>
      </w:r>
      <w:r>
        <w:rPr>
          <w:noProof/>
        </w:rPr>
        <w:tab/>
        <w:t>Za Radu</w:t>
      </w:r>
    </w:p>
    <w:p>
      <w:pPr>
        <w:pStyle w:val="Personnequisigne"/>
        <w:rPr>
          <w:noProof/>
        </w:rPr>
      </w:pPr>
      <w:r>
        <w:rPr>
          <w:noProof/>
        </w:rPr>
        <w:t>předseda</w:t>
      </w:r>
      <w:r>
        <w:rPr>
          <w:noProof/>
        </w:rPr>
        <w:tab/>
      </w:r>
      <w:r>
        <w:rPr>
          <w:noProof/>
        </w:rPr>
        <w:tab/>
      </w:r>
      <w:r>
        <w:rPr>
          <w:noProof/>
        </w:rPr>
        <w:tab/>
      </w:r>
      <w:r>
        <w:rPr>
          <w:noProof/>
        </w:rPr>
        <w:tab/>
        <w:t>předseda</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lastRenderedPageBreak/>
        <w:t>LEGISLATIVNÍ FINANČNÍ VÝKAZ</w:t>
      </w:r>
    </w:p>
    <w:p>
      <w:pPr>
        <w:pStyle w:val="ManualHeading1"/>
        <w:rPr>
          <w:noProof/>
        </w:rPr>
      </w:pPr>
      <w:r>
        <w:rPr>
          <w:noProof/>
        </w:rPr>
        <w:t>1.</w:t>
      </w:r>
      <w:r>
        <w:rPr>
          <w:noProof/>
        </w:rPr>
        <w:tab/>
        <w:t xml:space="preserve">RÁMEC NÁVRHU </w:t>
      </w:r>
    </w:p>
    <w:p>
      <w:pPr>
        <w:pStyle w:val="ManualHeading2"/>
        <w:rPr>
          <w:b w:val="0"/>
          <w:noProof/>
        </w:rPr>
      </w:pPr>
      <w:r>
        <w:rPr>
          <w:noProof/>
        </w:rPr>
        <w:tab/>
      </w:r>
      <w:r>
        <w:rPr>
          <w:b w:val="0"/>
          <w:noProof/>
        </w:rPr>
        <w:t>1.1.</w:t>
      </w:r>
      <w:r>
        <w:rPr>
          <w:noProof/>
        </w:rPr>
        <w:tab/>
      </w:r>
      <w:r>
        <w:rPr>
          <w:b w:val="0"/>
          <w:noProof/>
        </w:rPr>
        <w:t xml:space="preserve">Název návrhu </w:t>
      </w:r>
    </w:p>
    <w:p>
      <w:pPr>
        <w:pStyle w:val="ManualHeading2"/>
        <w:rPr>
          <w:b w:val="0"/>
          <w:noProof/>
        </w:rPr>
      </w:pPr>
      <w:r>
        <w:rPr>
          <w:noProof/>
        </w:rPr>
        <w:tab/>
      </w:r>
      <w:r>
        <w:rPr>
          <w:b w:val="0"/>
          <w:noProof/>
        </w:rPr>
        <w:t>1.2.</w:t>
      </w:r>
      <w:r>
        <w:rPr>
          <w:noProof/>
        </w:rPr>
        <w:tab/>
      </w:r>
      <w:r>
        <w:rPr>
          <w:b w:val="0"/>
          <w:noProof/>
        </w:rPr>
        <w:t>Příslušná oblast politiky podle členění ABM/ABB</w:t>
      </w:r>
    </w:p>
    <w:p>
      <w:pPr>
        <w:pStyle w:val="ManualHeading2"/>
        <w:rPr>
          <w:b w:val="0"/>
          <w:noProof/>
        </w:rPr>
      </w:pPr>
      <w:r>
        <w:rPr>
          <w:noProof/>
        </w:rPr>
        <w:tab/>
      </w:r>
      <w:r>
        <w:rPr>
          <w:b w:val="0"/>
          <w:noProof/>
        </w:rPr>
        <w:t>1.3.</w:t>
      </w:r>
      <w:r>
        <w:rPr>
          <w:noProof/>
        </w:rPr>
        <w:tab/>
      </w:r>
      <w:r>
        <w:rPr>
          <w:b w:val="0"/>
          <w:noProof/>
        </w:rPr>
        <w:t xml:space="preserve">Povaha návrhu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 </w:t>
      </w:r>
    </w:p>
    <w:p>
      <w:pPr>
        <w:pStyle w:val="ManualHeading2"/>
        <w:rPr>
          <w:b w:val="0"/>
          <w:noProof/>
        </w:rPr>
      </w:pPr>
      <w:r>
        <w:rPr>
          <w:noProof/>
        </w:rPr>
        <w:tab/>
      </w:r>
      <w:r>
        <w:rPr>
          <w:b w:val="0"/>
          <w:noProof/>
        </w:rPr>
        <w:t>1.6.</w:t>
      </w:r>
      <w:r>
        <w:rPr>
          <w:noProof/>
        </w:rPr>
        <w:tab/>
      </w:r>
      <w:r>
        <w:rPr>
          <w:b w:val="0"/>
          <w:noProof/>
        </w:rPr>
        <w:t xml:space="preserve">Doba trvání a finanční dopad návrhu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 </w:t>
      </w:r>
    </w:p>
    <w:p>
      <w:pPr>
        <w:pStyle w:val="ManualHeading2"/>
        <w:rPr>
          <w:b w:val="0"/>
          <w:noProof/>
        </w:rPr>
      </w:pPr>
      <w:r>
        <w:rPr>
          <w:noProof/>
        </w:rPr>
        <w:tab/>
      </w:r>
      <w:r>
        <w:rPr>
          <w:b w:val="0"/>
          <w:noProof/>
        </w:rPr>
        <w:t>3.1.</w:t>
      </w:r>
      <w:r>
        <w:rPr>
          <w:noProof/>
        </w:rPr>
        <w:tab/>
      </w:r>
      <w:r>
        <w:rPr>
          <w:b w:val="0"/>
          <w:noProof/>
        </w:rPr>
        <w:t xml:space="preserve">Okruh víceletého finančního rámce a dotčená výdajová rozpočtová položka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b/>
          <w:noProof/>
          <w:u w:val="single"/>
        </w:rPr>
      </w:pPr>
      <w:r>
        <w:rPr>
          <w:b/>
          <w:noProof/>
          <w:u w:val="single"/>
        </w:rPr>
        <w:t>LEGISLATIVNÍ FINANČNÍ VÝKAZ</w:t>
      </w:r>
    </w:p>
    <w:p>
      <w:pPr>
        <w:pStyle w:val="ManualHeading1"/>
        <w:rPr>
          <w:noProof/>
        </w:rPr>
      </w:pPr>
      <w:r>
        <w:rPr>
          <w:noProof/>
        </w:rPr>
        <w:t>1.</w:t>
      </w:r>
      <w:r>
        <w:rPr>
          <w:noProof/>
        </w:rPr>
        <w:tab/>
        <w:t>RÁMEC NÁVRHU</w:t>
      </w:r>
    </w:p>
    <w:p>
      <w:pPr>
        <w:pStyle w:val="ManualHeading2"/>
        <w:rPr>
          <w:noProof/>
        </w:rPr>
      </w:pPr>
      <w:r>
        <w:rPr>
          <w:noProof/>
        </w:rPr>
        <w:t>1.1.</w:t>
      </w:r>
      <w:r>
        <w:rPr>
          <w:noProof/>
        </w:rPr>
        <w:tab/>
        <w:t>Název návrhu</w:t>
      </w:r>
    </w:p>
    <w:p>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o Agentuře Evropské unie pro azyl a o zrušení nařízení (EU) č. 439/2010</w:t>
      </w:r>
    </w:p>
    <w:p>
      <w:pPr>
        <w:pStyle w:val="ManualHeading2"/>
        <w:rPr>
          <w:noProof/>
          <w:szCs w:val="24"/>
        </w:rPr>
      </w:pPr>
      <w:r>
        <w:rPr>
          <w:noProof/>
        </w:rPr>
        <w:t>1.2.</w:t>
      </w:r>
      <w:r>
        <w:rPr>
          <w:noProof/>
        </w:rPr>
        <w:tab/>
        <w:t>Příslušná oblast politiky podle členění ABM/ABB</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Oblast politiky: Azyl a migrace (hlava 18)</w:t>
      </w:r>
    </w:p>
    <w:p>
      <w:pPr>
        <w:pStyle w:val="Text1"/>
        <w:pBdr>
          <w:top w:val="single" w:sz="4" w:space="1" w:color="auto"/>
          <w:left w:val="single" w:sz="4" w:space="4" w:color="auto"/>
          <w:bottom w:val="single" w:sz="4" w:space="1" w:color="auto"/>
          <w:right w:val="single" w:sz="4" w:space="4" w:color="auto"/>
        </w:pBdr>
        <w:rPr>
          <w:noProof/>
        </w:rPr>
      </w:pPr>
      <w:r>
        <w:rPr>
          <w:noProof/>
        </w:rPr>
        <w:t>Činnost: Azyl</w:t>
      </w:r>
    </w:p>
    <w:p>
      <w:pPr>
        <w:pStyle w:val="ManualHeading2"/>
        <w:rPr>
          <w:bCs/>
          <w:noProof/>
          <w:szCs w:val="24"/>
        </w:rPr>
      </w:pPr>
      <w:r>
        <w:rPr>
          <w:noProof/>
        </w:rPr>
        <w:t>1.3.</w:t>
      </w:r>
      <w:r>
        <w:rPr>
          <w:noProof/>
        </w:rPr>
        <w:tab/>
        <w:t xml:space="preserve">Povaha návrhu </w:t>
      </w:r>
    </w:p>
    <w:p>
      <w:pPr>
        <w:pStyle w:val="Text1"/>
        <w:rPr>
          <w:b/>
          <w:noProof/>
          <w:sz w:val="22"/>
        </w:rPr>
      </w:pPr>
      <w:r>
        <w:rPr>
          <w:noProof/>
          <w:sz w:val="22"/>
        </w:rPr>
        <w:sym w:font="Wingdings" w:char="F0A8"/>
      </w:r>
      <w:r>
        <w:rPr>
          <w:b/>
          <w:i/>
          <w:noProof/>
          <w:sz w:val="22"/>
        </w:rPr>
        <w:t xml:space="preserve"> </w:t>
      </w:r>
      <w:r>
        <w:rPr>
          <w:noProof/>
        </w:rPr>
        <w:t xml:space="preserve">Návrh se týká </w:t>
      </w:r>
      <w:r>
        <w:rPr>
          <w:b/>
          <w:noProof/>
        </w:rPr>
        <w:t>nové akce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 se týká </w:t>
      </w:r>
      <w:r>
        <w:rPr>
          <w:b/>
          <w:noProof/>
        </w:rPr>
        <w:t>nové akce následující po pilotním projektu / přípravné akci</w:t>
      </w:r>
      <w:r>
        <w:rPr>
          <w:rStyle w:val="FootnoteReference"/>
          <w:b/>
          <w:noProof/>
        </w:rPr>
        <w:footnoteReference w:id="8"/>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Návrh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 se týká </w:t>
      </w:r>
      <w:r>
        <w:rPr>
          <w:b/>
          <w:noProof/>
        </w:rPr>
        <w:t>akce přesměrované na jinou akci</w:t>
      </w:r>
      <w:r>
        <w:rPr>
          <w:noProof/>
        </w:rPr>
        <w:t xml:space="preserve"> </w:t>
      </w:r>
    </w:p>
    <w:p>
      <w:pPr>
        <w:pStyle w:val="ManualHeading2"/>
        <w:rPr>
          <w:bCs/>
          <w:noProof/>
          <w:szCs w:val="24"/>
        </w:rPr>
      </w:pPr>
      <w:r>
        <w:rPr>
          <w:noProof/>
        </w:rPr>
        <w:t>1.4.</w:t>
      </w:r>
      <w:r>
        <w:rPr>
          <w:noProof/>
        </w:rPr>
        <w:tab/>
        <w:t>Cíl</w:t>
      </w:r>
    </w:p>
    <w:p>
      <w:pPr>
        <w:pStyle w:val="ManualHeading3"/>
        <w:rPr>
          <w:noProof/>
        </w:rPr>
      </w:pPr>
      <w:r>
        <w:rPr>
          <w:noProof/>
        </w:rPr>
        <w:t>1.4.1.</w:t>
      </w:r>
      <w:r>
        <w:rPr>
          <w:noProof/>
        </w:rPr>
        <w:tab/>
        <w:t xml:space="preserve">Víceletý strategický cíl Komise sledovaný návrhem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Cílem tohoto návrhu je posílit úlohu úřadu EASO a vytvořit z něj plnohodnotnou agenturu, která poskytuje komplexní operativní podporu, usnadňuje provádění a zlepšuje fungování společného evropského azylového systému.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Aby návrh odrážel tento vývoj, přejmenovává úřad EASO na Agenturu Evropské unie pro azyl. </w:t>
      </w:r>
    </w:p>
    <w:p>
      <w:pPr>
        <w:pStyle w:val="ManualHeading3"/>
        <w:rPr>
          <w:bCs/>
          <w:noProof/>
          <w:szCs w:val="24"/>
        </w:rPr>
      </w:pPr>
      <w:r>
        <w:rPr>
          <w:noProof/>
        </w:rPr>
        <w:t>1.4.2.</w:t>
      </w:r>
      <w:r>
        <w:rPr>
          <w:noProof/>
        </w:rPr>
        <w:tab/>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 č. 1: Usnadňovat provádění a zlepšovat fungování společného evropského azylového systému</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Sledovat a posuzovat provádění společného evropského azylového systému</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Podporovat (podpůrnými činnostmi) provádění společného evropského azylového systému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Podporovat (podpůrnými činnostmi) praktickou spolupráci členských států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Informace o zemi původu a společná analýza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Prosazovat právní předpisy a provozní normy Unie týkající se azylu</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 č. 2: Posílení provozní a technické pomoci členským státům</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Posilovat praktickou spolupráci a výměnu informací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Činnosti v oblasti operativní podpory</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Spolupráce s partnery a zúčastněnými stranami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Provozní normy, pokyny a osvědčené postupy týkající se azylu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Komunikace, výměna informací</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VFR na období 2014–2020</w:t>
      </w:r>
    </w:p>
    <w:p>
      <w:pPr>
        <w:pStyle w:val="Text1"/>
        <w:pBdr>
          <w:top w:val="single" w:sz="4" w:space="1" w:color="auto"/>
          <w:left w:val="single" w:sz="4" w:space="4" w:color="auto"/>
          <w:bottom w:val="single" w:sz="4" w:space="1" w:color="auto"/>
          <w:right w:val="single" w:sz="4" w:space="4" w:color="auto"/>
        </w:pBdr>
        <w:rPr>
          <w:noProof/>
        </w:rPr>
      </w:pPr>
      <w:r>
        <w:rPr>
          <w:noProof/>
        </w:rPr>
        <w:t>Aktivita 18 03: Azyl a migrace</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VFR na období 2021–2027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Aktivita 10: Migrace </w:t>
      </w:r>
    </w:p>
    <w:p>
      <w:pPr>
        <w:pStyle w:val="ManualHeading3"/>
        <w:rPr>
          <w:bCs/>
          <w:noProof/>
          <w:szCs w:val="24"/>
        </w:rPr>
      </w:pPr>
      <w:r>
        <w:rPr>
          <w:noProof/>
        </w:rPr>
        <w:br w:type="page"/>
        <w:t>1.4.3.</w:t>
      </w:r>
      <w:r>
        <w:rPr>
          <w:noProof/>
        </w:rPr>
        <w:tab/>
        <w:t>Očekávané výsledky a dopady</w:t>
      </w:r>
    </w:p>
    <w:p>
      <w:pPr>
        <w:pStyle w:val="Text1"/>
        <w:rPr>
          <w:i/>
          <w:noProof/>
          <w:sz w:val="20"/>
        </w:rPr>
      </w:pPr>
      <w:r>
        <w:rPr>
          <w:i/>
          <w:noProof/>
          <w:sz w:val="20"/>
        </w:rPr>
        <w:t>Upřesněte účinky, které by návrh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Cílem je přeměnit úřad EASO na plnohodnotnou agenturu, která je schopna: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poskytovat členským státům potřebnou operativní a technickou pomoc,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zvýšit praktickou spolupráci a výměnu informací mezi členskými státy,</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podporovat udržitelné a spravedlivé rozdělování žádostí o mezinárodní ochranu,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sledovat a posuzovat provádění společného evropského azylového systému a kapacitu azylových a přijímacích systémů členských států 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umožňovat sbližování při posuzování žádostí o udělení mezinárodní ochrany v celé Unii.</w:t>
      </w:r>
    </w:p>
    <w:p>
      <w:pPr>
        <w:pStyle w:val="ManualHeading3"/>
        <w:rPr>
          <w:bCs/>
          <w:noProof/>
          <w:szCs w:val="24"/>
        </w:rPr>
      </w:pPr>
      <w:r>
        <w:rPr>
          <w:noProof/>
        </w:rPr>
        <w:t>1.4.4.</w:t>
      </w:r>
      <w:r>
        <w:rPr>
          <w:noProof/>
        </w:rPr>
        <w:tab/>
        <w:t xml:space="preserve">Ukazatele výsledků a dopadů </w:t>
      </w:r>
    </w:p>
    <w:p>
      <w:pPr>
        <w:pStyle w:val="Text1"/>
        <w:rPr>
          <w:i/>
          <w:noProof/>
          <w:sz w:val="20"/>
        </w:rPr>
      </w:pPr>
      <w:r>
        <w:rPr>
          <w:i/>
          <w:noProof/>
          <w:sz w:val="20"/>
        </w:rPr>
        <w:t xml:space="preserve">Upřesněte ukazatele, podle kterých je možno uskutečňování návrhu </w:t>
      </w:r>
      <w:r>
        <w:rPr>
          <w:i/>
          <w:noProof/>
        </w:rPr>
        <w:t>sledovat.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nedostatků zjištěných při sledování a posuzování provádění společného evropského azylového systému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činností na podporu provádění společného evropského azylového systému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činností na podporu praktické spolupráce členských států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zemí původu, pro které jsou vypracovány zprávy COI a pro které se provádí společná analýza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provozních norem, pokynů a osvědčených postupů v oblasti azylu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opatření praktické spolupráce a vytvořených sítí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ujednání o výměně informací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činností v oblasti operativní podpory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opatření a činností s partnery a zúčastněnými stranami / rok</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Počet komunikačních činností / rok</w:t>
      </w:r>
    </w:p>
    <w:p>
      <w:pPr>
        <w:pStyle w:val="ManualHeading2"/>
        <w:rPr>
          <w:bCs/>
          <w:noProof/>
          <w:szCs w:val="24"/>
        </w:rPr>
      </w:pPr>
      <w:r>
        <w:rPr>
          <w:noProof/>
        </w:rPr>
        <w:t>1.5.</w:t>
      </w:r>
      <w:r>
        <w:rPr>
          <w:noProof/>
        </w:rPr>
        <w:tab/>
        <w:t xml:space="preserve">Odůvodnění návrhu </w:t>
      </w:r>
    </w:p>
    <w:p>
      <w:pPr>
        <w:pStyle w:val="ManualHeading3"/>
        <w:rPr>
          <w:noProof/>
        </w:rPr>
      </w:pPr>
      <w:r>
        <w:rPr>
          <w:noProof/>
        </w:rPr>
        <w:t>1.5.1.</w:t>
      </w:r>
      <w:r>
        <w:rPr>
          <w:noProof/>
        </w:rPr>
        <w:tab/>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Tento návrh vychází ze současného mandátu úřadu EASO a rozšiřuje jej tak, aby přeměnil úřad EASO na plnohodnotnou agenturu vybavenou potřebnými nástroji, které jí umožní: 1) posilovat praktickou spolupráci a výměnu informací v oblasti azylu; 2) podporovat právní předpisy a provozní normy Unie s cílem zajistit vysoký stupeň jednotného uplatňování právního rámce v oblasti azylu; 3) zajistit větší sbližování při posuzování potřeby ochrany v celé Unii; 4) sledovat a posuzovat provádění společného evropského azylového systému; 5) posílit operativní a technickou pomoc poskytovanou členským státům v oblasti azylových a přijímacích systémů včetně intenzivnější podpory v oblasti postupu pro mezinárodní ochranu za účelem zajištění rychlého a včasného zpracování, aby bylo zajištěno efektivní a řádné fungování azylových a přijímacích systémů a aby se členským státům dostalo pomoci s řízením podle dublinského nařízení; 6) poskytování komplexních činností na podporu hostitelského členského státu za účelem zajištění rychlého zpracování pomocí provádění celého postupu pro mezinárodní ochranu nebo jeho části, a to i v kontrolovaných střediscích, a za účelem pomoci soudním orgánům při vyřizování odvolání. </w:t>
      </w:r>
    </w:p>
    <w:p>
      <w:pPr>
        <w:pStyle w:val="ManualHeading3"/>
        <w:rPr>
          <w:bCs/>
          <w:noProof/>
          <w:szCs w:val="24"/>
        </w:rPr>
      </w:pPr>
      <w:r>
        <w:rPr>
          <w:noProof/>
        </w:rPr>
        <w:t>1.5.2.</w:t>
      </w:r>
      <w:r>
        <w:rPr>
          <w:noProof/>
        </w:rPr>
        <w:tab/>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Cílem tohoto návrhu je usnadnit provádění a zlepšit fungování společného evropského azylového systému, posílit praktickou spolupráci a výměnu informací mezi členskými státy v otázkách azylu, prosazovat právní předpisy a provozní normy Unie s cílem zajistit vysoký stupeň jednotnosti v oblasti azylových řízení, podmínek přijímání a posouzení potřeb ochrany v celé Unii, monitorovat operativní a technické uplatňování právních předpisů a norem unie v otázkách azylu a poskytovat zvýšenou operativní a technickou podporu členským státům za účelem řízení azylových a přijímacích systémů, a to zejména těm členským státům, jejichž azylové a přijímací systémy jsou vystaveny nepřiměřenému tlaku. </w:t>
      </w:r>
    </w:p>
    <w:p>
      <w:pPr>
        <w:pStyle w:val="Text1"/>
        <w:pBdr>
          <w:top w:val="single" w:sz="4" w:space="1" w:color="auto"/>
          <w:left w:val="single" w:sz="4" w:space="4" w:color="auto"/>
          <w:bottom w:val="single" w:sz="4" w:space="1" w:color="auto"/>
          <w:right w:val="single" w:sz="4" w:space="4" w:color="auto"/>
        </w:pBdr>
        <w:rPr>
          <w:noProof/>
        </w:rPr>
      </w:pPr>
      <w:r>
        <w:rPr>
          <w:noProof/>
        </w:rPr>
        <w:t>Jelikož je společným a sdíleným zájmem zajistit řádné uplatňování právního rámce v oblasti azylu, a to prostřednictvím koordinovaných akcí mezi členskými státy s podporou Agentury Evropské unie pro azyl, s cílem upevňovat stabilitu a pořádek ve fungování společného evropského azylového systému, nemůže být cílů tohoto návrhu uspokojivě dosaženo na úrovni členských států a může jich být lépe dosaženo na úrovni Unie.</w:t>
      </w:r>
    </w:p>
    <w:p>
      <w:pPr>
        <w:pStyle w:val="ManualHeading3"/>
        <w:rPr>
          <w:bCs/>
          <w:noProof/>
          <w:szCs w:val="24"/>
        </w:rPr>
      </w:pPr>
      <w:r>
        <w:rPr>
          <w:noProof/>
        </w:rPr>
        <w:t>1.5.3.</w:t>
      </w:r>
      <w:r>
        <w:rPr>
          <w:noProof/>
        </w:rPr>
        <w:tab/>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Od zahájení své činnosti v roce 2011 úřad EASO trvale podporuje členské státy při uplatňování stávajících pravidel a při zlepšování fungování stávajících nástrojů. Agentura získala zkušenosti a zajistila důvěryhodnost své práce, pokud jde o praktickou spolupráci mezi členskými státy a poskytování podpory při plnění jejich závazků v rámci společného evropského azylového systému. Úkoly prováděné úřadem EASO se postupně vyvíjely tak, aby splňovaly rostoucí potřeby členských států a společného evropského azylového systému jako celku. Členské státy stále více spoléhají na provozní a technickou podporu agentury. Úřad získal významné znalosti a zkušenosti v oblasti azylu a je na čase jej přeměnit na samostatné odborné středisko, které se již nebude výrazně spoléhat na informace a odborné znalosti, jež mu poskytnou členské státy.</w:t>
      </w:r>
    </w:p>
    <w:p>
      <w:pPr>
        <w:pStyle w:val="Text1"/>
        <w:pBdr>
          <w:top w:val="single" w:sz="4" w:space="1" w:color="auto"/>
          <w:left w:val="single" w:sz="4" w:space="4" w:color="auto"/>
          <w:bottom w:val="single" w:sz="4" w:space="1" w:color="auto"/>
          <w:right w:val="single" w:sz="4" w:space="4" w:color="auto"/>
        </w:pBdr>
        <w:rPr>
          <w:noProof/>
        </w:rPr>
      </w:pPr>
      <w:r>
        <w:rPr>
          <w:noProof/>
        </w:rPr>
        <w:t>Podle názoru Komise je agentura jedním z nástrojů, které lze použít k účinnému řešení strukturálních nedostatků společného evropského azylového systému, které se dále prohloubily v důsledku nekontrolovaného příchodu velkého počtu migrantů a žadatelů o azyl do Evropské unie, zejména v posledních letech. Reforma společného evropského azylového systému by nebyla reálná, pokud by agentuře nebyl poskytnut mandát odpovídající požadavkům, které budou z této reformy vyplývat. Je nutné vybavit agenturu prostředky nezbytnými k tomu, aby mohla pomáhat členským státům v krizových situacích, ale ještě potřebnější je vybudovat pevný právní, operační a praktický rámec, který agentuře umožní posílit a doplnit azylové a přijímací systémy členských států.</w:t>
      </w:r>
    </w:p>
    <w:p>
      <w:pPr>
        <w:pStyle w:val="ManualHeading3"/>
        <w:rPr>
          <w:bCs/>
          <w:noProof/>
          <w:szCs w:val="24"/>
        </w:rPr>
      </w:pPr>
      <w:r>
        <w:rPr>
          <w:noProof/>
        </w:rPr>
        <w:t>1.5.4.</w:t>
      </w:r>
      <w:r>
        <w:rPr>
          <w:noProof/>
        </w:rPr>
        <w:tab/>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Tento návrh je v souladu s komplexní dlouhodobou politikou lepšího řízení migrace stanovenou Komisí v Evropském programu pro migraci, který rozvinul politické směry předsedy Junckera do souboru konzistentních a vzájemně se posilujících iniciativ založených na čtyřech pilířích. Tyto pilíře se skládají ze snižování motivace k nelegální migraci, ze zabezpečení vnějších hranic a záchrany životů, ze silné azylové politiky a z nových pravidel legální migrace. Tento návrh dále provádí Evropský program pro migraci, konkrétně pokud jde o cíl posílení azylové politiky Unie, vzhledem k tomu, že Agentura Evropské unie pro azyl zajistí úplné a soudržné provádění společného evropského azylového systému. Tento pozměněný návrh je doplněním původního návrhu Komise a je v souladu s cílem vytvořit takovou vnitřní politiku, která bude s ohledem na závěry Evropské rady z června 2018 založena na rovnováze mezi solidaritou a odpovědností. Posílená podpora Agentury Evropské unie pro azyl je zásadním prvkem solidarity. Tento návrh také posiluje prvky spolupráce mezi Agenturou Evropské unie pro azyl a Evropskou pohraniční a pobřežní stráží, tak aby byl reflektován návrh Komise na změnu nařízení o Evropské pohraniční a pobřežní stráži, zejména s ohledem na vysílání podpůrných týmů pro řízení migrace.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Doba trvání a finanční dopad návrhu </w:t>
      </w:r>
    </w:p>
    <w:p>
      <w:pPr>
        <w:pStyle w:val="Text1"/>
        <w:rPr>
          <w:noProof/>
        </w:rPr>
      </w:pPr>
      <w:r>
        <w:rPr>
          <w:noProof/>
        </w:rPr>
        <w:sym w:font="Wingdings" w:char="F0A8"/>
      </w:r>
      <w:r>
        <w:rPr>
          <w:b/>
          <w:i/>
          <w:noProof/>
        </w:rPr>
        <w:t xml:space="preserve"> </w:t>
      </w:r>
      <w:r>
        <w:rPr>
          <w:b/>
          <w:noProof/>
        </w:rPr>
        <w:t>Časově omezená doba</w:t>
      </w:r>
      <w:r>
        <w:rPr>
          <w:noProof/>
        </w:rPr>
        <w:t xml:space="preserve"> </w:t>
      </w:r>
      <w:r>
        <w:rPr>
          <w:b/>
          <w:noProof/>
        </w:rPr>
        <w:t xml:space="preserve">trvání </w:t>
      </w:r>
    </w:p>
    <w:p>
      <w:pPr>
        <w:pStyle w:val="ListDash2"/>
        <w:rPr>
          <w:noProof/>
        </w:rPr>
      </w:pPr>
      <w:r>
        <w:rPr>
          <w:noProof/>
        </w:rPr>
        <w:sym w:font="Wingdings" w:char="F0A8"/>
      </w:r>
      <w:r>
        <w:rPr>
          <w:noProof/>
        </w:rPr>
        <w:tab/>
        <w:t xml:space="preserve">s platností od [DD/MM]RRRR do [DD/MM]RRRR, </w:t>
      </w:r>
    </w:p>
    <w:p>
      <w:pPr>
        <w:pStyle w:val="ListDash2"/>
        <w:rPr>
          <w:noProof/>
        </w:rPr>
      </w:pPr>
      <w:r>
        <w:rPr>
          <w:noProof/>
        </w:rPr>
        <w:sym w:font="Wingdings" w:char="F0A8"/>
      </w:r>
      <w:r>
        <w:rPr>
          <w:noProof/>
        </w:rPr>
        <w:tab/>
        <w:t xml:space="preserve">finanční dopad od RRRR do RRRR. </w:t>
      </w:r>
    </w:p>
    <w:p>
      <w:pPr>
        <w:pStyle w:val="Text1"/>
        <w:rPr>
          <w:noProof/>
        </w:rPr>
      </w:pPr>
      <w:r>
        <w:rPr>
          <w:noProof/>
          <w:sz w:val="22"/>
        </w:rPr>
        <w:sym w:font="Wingdings" w:char="F0FE"/>
      </w:r>
      <w:r>
        <w:rPr>
          <w:b/>
          <w:i/>
          <w:noProof/>
        </w:rPr>
        <w:t xml:space="preserve"> </w:t>
      </w:r>
      <w:r>
        <w:rPr>
          <w:b/>
          <w:noProof/>
        </w:rPr>
        <w:t>Časově neomezená</w:t>
      </w:r>
      <w:r>
        <w:rPr>
          <w:noProof/>
        </w:rPr>
        <w:t xml:space="preserve"> </w:t>
      </w:r>
      <w:r>
        <w:rPr>
          <w:b/>
          <w:noProof/>
        </w:rPr>
        <w:t>doba trvání</w:t>
      </w:r>
    </w:p>
    <w:p>
      <w:pPr>
        <w:pStyle w:val="ListDash1"/>
        <w:tabs>
          <w:tab w:val="clear" w:pos="1134"/>
          <w:tab w:val="num" w:pos="992"/>
        </w:tabs>
        <w:ind w:left="992"/>
        <w:rPr>
          <w:noProof/>
        </w:rPr>
      </w:pPr>
      <w:r>
        <w:rPr>
          <w:noProof/>
        </w:rPr>
        <w:t>provádění s obdobím rozběhu od RRRR do RRRR,</w:t>
      </w:r>
    </w:p>
    <w:p>
      <w:pPr>
        <w:pStyle w:val="ListDash1"/>
        <w:tabs>
          <w:tab w:val="clear" w:pos="1134"/>
          <w:tab w:val="num" w:pos="992"/>
        </w:tabs>
        <w:ind w:left="992"/>
        <w:rPr>
          <w:noProof/>
        </w:rPr>
      </w:pPr>
      <w:r>
        <w:rPr>
          <w:noProof/>
        </w:rPr>
        <w:t>poté plné fungování.</w:t>
      </w:r>
    </w:p>
    <w:p>
      <w:pPr>
        <w:pStyle w:val="ManualHeading2"/>
        <w:rPr>
          <w:bCs/>
          <w:noProof/>
          <w:szCs w:val="24"/>
        </w:rPr>
      </w:pPr>
      <w:r>
        <w:rPr>
          <w:noProof/>
        </w:rPr>
        <w:t>1.7.</w:t>
      </w:r>
      <w:r>
        <w:rPr>
          <w:noProof/>
        </w:rPr>
        <w:tab/>
        <w:t>Předpokládaný způsob řízení</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A8"/>
      </w:r>
      <w:r>
        <w:rPr>
          <w:noProof/>
        </w:rPr>
        <w:t xml:space="preserve">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sz w:val="22"/>
        </w:rPr>
        <w:sym w:font="Wingdings" w:char="F0FE"/>
      </w:r>
      <w:r>
        <w:rPr>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EIB a Evropský investiční fond,</w:t>
      </w:r>
    </w:p>
    <w:p>
      <w:pPr>
        <w:pStyle w:val="ListDash2"/>
        <w:rPr>
          <w:noProof/>
        </w:rPr>
      </w:pPr>
      <w:r>
        <w:rPr>
          <w:noProof/>
          <w:sz w:val="22"/>
        </w:rPr>
        <w:sym w:font="Wingdings" w:char="F0FE"/>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SPRÁVNÍ OPATŘENÍ </w:t>
      </w:r>
    </w:p>
    <w:p>
      <w:pPr>
        <w:pStyle w:val="ManualHeading2"/>
        <w:rPr>
          <w:noProof/>
        </w:rPr>
      </w:pPr>
      <w:r>
        <w:rPr>
          <w:noProof/>
        </w:rPr>
        <w:t>2.1.</w:t>
      </w:r>
      <w:r>
        <w:rPr>
          <w:noProof/>
        </w:rPr>
        <w:tab/>
        <w:t xml:space="preserve">Pravidla pro sledování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Agentura Evropské unie pro azyl má povinnost podávat zprávy o své činnosti. Agentura musí vypracovat výroční zprávu o činnosti o situaci v oblasti azylu, v níž musí vyhodnotit výsledky činností, které vykonává v průběhu celého roku. Tato zpráva musí obsahovat srovnávací analýzu činnosti agentury, aby agentura mohla zlepšit kvalitu a zvýšit konzistentnost a účinnost společného evropského azylového systému. Tuto výroční zprávu o činnosti musí agentura předat správní radě, Evropskému parlamentu a Radě.</w:t>
      </w:r>
    </w:p>
    <w:p>
      <w:pPr>
        <w:pStyle w:val="Text1"/>
        <w:pBdr>
          <w:top w:val="single" w:sz="4" w:space="1" w:color="auto"/>
          <w:left w:val="single" w:sz="4" w:space="4" w:color="auto"/>
          <w:bottom w:val="single" w:sz="4" w:space="1" w:color="auto"/>
          <w:right w:val="single" w:sz="4" w:space="4" w:color="auto"/>
        </w:pBdr>
        <w:rPr>
          <w:noProof/>
        </w:rPr>
      </w:pPr>
      <w:r>
        <w:rPr>
          <w:noProof/>
        </w:rPr>
        <w:t>Komise nechá do tří let od vstupu tohoto nařízení v platnost a poté každých pět let vypracovat hodnocení, které posoudí zejména dopad, účinnost a účelnost agentury a jejích pracovních postupů. Toto hodnocení musí zahrnovat vliv agentury na praktickou spolupráci v otázkách azylu a na společný evropský azylový systém. Zprávu o hodnocení společně se svými závěry ohledně této zprávy musí Komise zaslat Evropskému parlamentu, Radě a správní radě. Závěry hodnocení musí být zveřejněny.</w:t>
      </w:r>
    </w:p>
    <w:p>
      <w:pPr>
        <w:pStyle w:val="ManualHeading2"/>
        <w:rPr>
          <w:bCs/>
          <w:noProof/>
          <w:szCs w:val="24"/>
        </w:rPr>
      </w:pPr>
      <w:r>
        <w:rPr>
          <w:noProof/>
        </w:rPr>
        <w:t>2.2.</w:t>
      </w:r>
      <w:r>
        <w:rPr>
          <w:noProof/>
        </w:rPr>
        <w:tab/>
        <w:t xml:space="preserve">Systém řízení a kontroly </w:t>
      </w:r>
    </w:p>
    <w:p>
      <w:pPr>
        <w:pStyle w:val="ManualHeading3"/>
        <w:rPr>
          <w:noProof/>
        </w:rPr>
      </w:pPr>
      <w:r>
        <w:rPr>
          <w:noProof/>
        </w:rPr>
        <w:t>2.2.1.</w:t>
      </w:r>
      <w:r>
        <w:rPr>
          <w:noProof/>
        </w:rPr>
        <w:tab/>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 Je nutné rozšířit stávající pravomoci agentury s cílem zajistit provádění společného evropského azylového systému a reformovaného dublinského systému. Je nutné zvýšit počet zaměstnanců agentury a její finanční zdroje, aby bylo zajištěno plnění jejího poslání.</w:t>
      </w:r>
      <w:r>
        <w:rPr>
          <w:noProof/>
          <w:color w:val="000000"/>
        </w:rPr>
        <w:t xml:space="preserve"> </w:t>
      </w:r>
      <w:r>
        <w:rPr>
          <w:noProof/>
        </w:rPr>
        <w:t>Bez těchto změn je společný evropský azylový systém ohrožen.</w:t>
      </w:r>
    </w:p>
    <w:p>
      <w:pPr>
        <w:pStyle w:val="Text1"/>
        <w:pBdr>
          <w:top w:val="single" w:sz="4" w:space="1" w:color="auto"/>
          <w:left w:val="single" w:sz="4" w:space="4" w:color="auto"/>
          <w:bottom w:val="single" w:sz="4" w:space="1" w:color="auto"/>
          <w:right w:val="single" w:sz="4" w:space="4" w:color="auto"/>
        </w:pBdr>
        <w:rPr>
          <w:noProof/>
        </w:rPr>
      </w:pPr>
      <w:r>
        <w:rPr>
          <w:noProof/>
        </w:rPr>
        <w:t>– Rozsáhlé a nekontrolované migrační toky, které i nadále vyvíjejí tlak na azylové a přijímací systémy, a oddalují tak přechod od nouzového režimu k řádné správě migračních a azylových systémů.</w:t>
      </w:r>
    </w:p>
    <w:p>
      <w:pPr>
        <w:pStyle w:val="Text1"/>
        <w:pBdr>
          <w:top w:val="single" w:sz="4" w:space="1" w:color="auto"/>
          <w:left w:val="single" w:sz="4" w:space="4" w:color="auto"/>
          <w:bottom w:val="single" w:sz="4" w:space="1" w:color="auto"/>
          <w:right w:val="single" w:sz="4" w:space="4" w:color="auto"/>
        </w:pBdr>
        <w:rPr>
          <w:noProof/>
        </w:rPr>
      </w:pPr>
      <w:r>
        <w:rPr>
          <w:noProof/>
        </w:rPr>
        <w:t>– Nábor pracovníků: tempo přijímání zaměstnanců může představovat riziko vzhledem k tomu, že stávající kapacita agentury je dosud omezená, nábor je relativně pomalý a objem nově vznikajících úkolů vzrůstá. GŘ HOME se snaží zmírnit tento aspekt tím, že poskytuje trvalou podporu a situaci sleduje.</w:t>
      </w:r>
    </w:p>
    <w:p>
      <w:pPr>
        <w:pStyle w:val="Text1"/>
        <w:pBdr>
          <w:top w:val="single" w:sz="4" w:space="1" w:color="auto"/>
          <w:left w:val="single" w:sz="4" w:space="4" w:color="auto"/>
          <w:bottom w:val="single" w:sz="4" w:space="1" w:color="auto"/>
          <w:right w:val="single" w:sz="4" w:space="4" w:color="auto"/>
        </w:pBdr>
        <w:rPr>
          <w:noProof/>
        </w:rPr>
      </w:pPr>
      <w:r>
        <w:rPr>
          <w:noProof/>
        </w:rPr>
        <w:t>– Zpoždění při přijímání právního základu pozměněného dublinského systému a v souvisejícím vývoji v oblasti IT, které by měly být provozovány a spravovány agenturou, by v tomto ohledu mohlo bránit plnění nových úkolů agentury.</w:t>
      </w:r>
    </w:p>
    <w:p>
      <w:pPr>
        <w:pStyle w:val="Text1"/>
        <w:pBdr>
          <w:top w:val="single" w:sz="4" w:space="1" w:color="auto"/>
          <w:left w:val="single" w:sz="4" w:space="4" w:color="auto"/>
          <w:bottom w:val="single" w:sz="4" w:space="1" w:color="auto"/>
          <w:right w:val="single" w:sz="4" w:space="4" w:color="auto"/>
        </w:pBdr>
        <w:rPr>
          <w:noProof/>
        </w:rPr>
      </w:pPr>
      <w:r>
        <w:rPr>
          <w:noProof/>
        </w:rPr>
        <w:t>– Pokračující silná závislost agentury na odborných znalostech poskytovaných členskými státy a zpoždění při vytváření své vlastní vědomostní základny, aby se mohla stát skutečným samostatným odborným střediskem.</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Poté, co Evropský účetní dvůr a Útvar interního auditu zjistily závažné nedostatky, které souvisely se řízením a kontrolou Evropského podpůrného úřadu pro otázky azylu a u nichž byla ve výroční zprávě o činnosti za rok 2017 vydána výhrada, připravilo GŘ HOME plán zmírňujících opatření. Koordinace posilování, pracovní ujednání mezi mateřským GŘ a agenturou a také pečlivé sledování by měly tuto situaci napravit a měly by zabránit dalšímu výskytu rizik.</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Komise v tomto ohledu, prostřednictvím aktivní účasti na zasedáních správní rady a na zasedáních přípravné skupiny správní rady, pečlivě sleduje fungování agentury včetně plnění rozpočtu. Za účelem dalšího posílení monitorovací funkce správní rady navíc Komise od února 2018 na základě rozhodnutí správní rady, jímž se uplatňují předběžná opatření s ohledem na výkonného ředitele, dostává a přezkoumává pravidelné (dvoutýdenní) zprávy o sledování zaměřené na získávání financí a nábor zaměstnanců. </w:t>
      </w:r>
    </w:p>
    <w:p>
      <w:pPr>
        <w:pStyle w:val="ManualHeading3"/>
        <w:rPr>
          <w:bCs/>
          <w:noProof/>
          <w:szCs w:val="24"/>
        </w:rPr>
      </w:pPr>
      <w:r>
        <w:rPr>
          <w:noProof/>
        </w:rPr>
        <w:t>2.2.2.</w:t>
      </w:r>
      <w:r>
        <w:rPr>
          <w:noProof/>
        </w:rPr>
        <w:tab/>
        <w:t>Předpokládané metody kontroly</w:t>
      </w:r>
    </w:p>
    <w:p>
      <w:pPr>
        <w:pStyle w:val="Text1"/>
        <w:pBdr>
          <w:top w:val="single" w:sz="4" w:space="1" w:color="auto"/>
          <w:left w:val="single" w:sz="4" w:space="4" w:color="auto"/>
          <w:bottom w:val="single" w:sz="4" w:space="1" w:color="auto"/>
          <w:right w:val="single" w:sz="4" w:space="4" w:color="auto"/>
        </w:pBdr>
        <w:rPr>
          <w:noProof/>
        </w:rPr>
      </w:pPr>
      <w:r>
        <w:rPr>
          <w:noProof/>
        </w:rPr>
        <w:t>Účetní závěrky agentury podléhají schválení Účetním dvorem a postupu udělování absolutoria. Útvar interního auditu Komise bude provádět audity ve spolupráci s interním auditorem agentury.</w:t>
      </w:r>
    </w:p>
    <w:p>
      <w:pPr>
        <w:pStyle w:val="Text1"/>
        <w:pBdr>
          <w:top w:val="single" w:sz="4" w:space="1" w:color="auto"/>
          <w:left w:val="single" w:sz="4" w:space="4" w:color="auto"/>
          <w:bottom w:val="single" w:sz="4" w:space="1" w:color="auto"/>
          <w:right w:val="single" w:sz="4" w:space="4" w:color="auto"/>
        </w:pBdr>
        <w:rPr>
          <w:noProof/>
        </w:rPr>
      </w:pPr>
      <w:r>
        <w:rPr>
          <w:noProof/>
        </w:rPr>
        <w:t>Kromě nezávislých kontrol prováděných Účetním dvorem a Útvarem interního auditu umožní rámec vnitřní kontroly agentury, založený na zásadách, kontrolovat zjištěná rizika. Zejména informační a komunikační složka by měla zvyšovat povědomí zaměstnanců, kteří jednají s decentralizovanými agenturami, a složka sledovacích činností umožní podávání zpráv na základě spolehlivých ukazatelů sledování a tím i předběžné zjišťování nedostatků.</w:t>
      </w:r>
    </w:p>
    <w:p>
      <w:pPr>
        <w:pStyle w:val="ManualHeading2"/>
        <w:rPr>
          <w:bCs/>
          <w:noProof/>
          <w:szCs w:val="24"/>
        </w:rPr>
      </w:pPr>
      <w:r>
        <w:rPr>
          <w:noProof/>
        </w:rPr>
        <w:t>2.3.</w:t>
      </w:r>
      <w:r>
        <w:rPr>
          <w:noProof/>
        </w:rPr>
        <w:tab/>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Agentura: Rozpočet agentury plní výkonný ředitel. Každý rok předkládá výkonný ředitel Komisi, správní radě a Účetnímu dvoru podrobné vyúčtování všech příjmů a výdajů za předchozí rozpočtový rok. Kromě toho Útvar interního auditu Komise poskytne stanovisko k výsledku následného auditu ohledně stavu provádění akcí vyplývajícího z auditu Útvaru interního auditu z roku 2016 ohledně plnění rozpočtu a plánování zadávání zakázek. Výsledek auditu by měl vedení agentury potvrdit spolehlivost zavedených kontrol a poskytnout pomoc s případným dalším nezbytným zlepšením. </w:t>
      </w:r>
    </w:p>
    <w:p>
      <w:pPr>
        <w:pStyle w:val="Text1"/>
        <w:pBdr>
          <w:top w:val="single" w:sz="4" w:space="1" w:color="auto"/>
          <w:left w:val="single" w:sz="4" w:space="4" w:color="auto"/>
          <w:bottom w:val="single" w:sz="4" w:space="1" w:color="auto"/>
          <w:right w:val="single" w:sz="4" w:space="4" w:color="auto"/>
        </w:pBdr>
        <w:rPr>
          <w:noProof/>
        </w:rPr>
      </w:pPr>
      <w:r>
        <w:rPr>
          <w:noProof/>
        </w:rPr>
        <w:t>Agentura přijme své finanční nařízení v souladu s nařízením v přenesené pravomoci č. 1271/2013 poté, co získá souhlas Komise a Účetního dvora. Agentura zavede systém interního auditu, který bude podobný systému zavedenému Komisí v rámci její vlastní restrukturalizace. Agentura zavede tentýž rámec vnitřní kontroly jako Komise, který poskytuje pevný rámec pro odhalování podvodů a předcházení podvodům, přičemž strategie GŘ Home proti podvodům bude pokrývat rizikové oblasti zjištěné agenturou.</w:t>
      </w:r>
    </w:p>
    <w:p>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 – Spolupráce s úřadem OLAF: zaměstnanci, na něž se vztahuje služební řád Komise, budou spolupracovat s úřadem OLAF při boji proti podvodům.</w:t>
      </w:r>
    </w:p>
    <w:p>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 – Účetní dvůr: Účetní dvůr přezkoumá účty v souladu s článkem 248 Smlouvy a zveřejní výroční zprávu o činnostech agentury.</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ODHADOVANÝ FINANČNÍ DOPAD NÁVRHU </w:t>
      </w:r>
    </w:p>
    <w:p>
      <w:pPr>
        <w:pStyle w:val="ManualHeading2"/>
        <w:rPr>
          <w:noProof/>
        </w:rPr>
      </w:pPr>
      <w:r>
        <w:rPr>
          <w:noProof/>
        </w:rPr>
        <w:t>3.1.</w:t>
      </w:r>
      <w:r>
        <w:rPr>
          <w:noProof/>
        </w:rPr>
        <w:tab/>
        <w:t xml:space="preserve">Okruhy víceletého finančního rámce a dotčená výdajová rozpočtová položka </w:t>
      </w:r>
    </w:p>
    <w:p>
      <w:pPr>
        <w:pStyle w:val="ListBullet1"/>
        <w:rPr>
          <w:noProof/>
        </w:rPr>
      </w:pPr>
      <w:r>
        <w:rPr>
          <w:noProof/>
        </w:rPr>
        <w:t xml:space="preserve">Stávající rozpočtové položky </w:t>
      </w:r>
    </w:p>
    <w:p>
      <w:pPr>
        <w:pStyle w:val="Text1"/>
        <w:rPr>
          <w:i/>
          <w:noProof/>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364"/>
        <w:gridCol w:w="709"/>
        <w:gridCol w:w="1411"/>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sz w:val="20"/>
                <w:szCs w:val="20"/>
              </w:rPr>
            </w:pPr>
            <w:r>
              <w:rPr>
                <w:noProof/>
                <w:sz w:val="20"/>
                <w:szCs w:val="20"/>
              </w:rPr>
              <w:t xml:space="preserve">Druh </w:t>
            </w:r>
            <w:r>
              <w:rPr>
                <w:noProof/>
                <w:sz w:val="20"/>
                <w:szCs w:val="20"/>
              </w:rPr>
              <w:br/>
              <w:t>výdaje</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sz w:val="20"/>
                <w:szCs w:val="20"/>
              </w:rPr>
            </w:pPr>
            <w:r>
              <w:rPr>
                <w:noProof/>
                <w:sz w:val="20"/>
                <w:szCs w:val="20"/>
              </w:rPr>
              <w:t>číslo</w:t>
            </w:r>
            <w:r>
              <w:rPr>
                <w:noProof/>
                <w:sz w:val="20"/>
                <w:szCs w:val="20"/>
              </w:rPr>
              <w:br/>
              <w:t>[okruh 3]</w:t>
            </w:r>
          </w:p>
        </w:tc>
        <w:tc>
          <w:tcPr>
            <w:tcW w:w="1080" w:type="dxa"/>
            <w:vAlign w:val="center"/>
          </w:tcPr>
          <w:p>
            <w:pPr>
              <w:jc w:val="center"/>
              <w:rPr>
                <w:noProof/>
              </w:rPr>
            </w:pPr>
            <w:r>
              <w:rPr>
                <w:noProof/>
                <w:sz w:val="18"/>
              </w:rPr>
              <w:t>RP/NRP</w:t>
            </w:r>
          </w:p>
        </w:tc>
        <w:tc>
          <w:tcPr>
            <w:tcW w:w="956" w:type="dxa"/>
            <w:vAlign w:val="center"/>
          </w:tcPr>
          <w:p>
            <w:pPr>
              <w:jc w:val="center"/>
              <w:rPr>
                <w:noProof/>
              </w:rPr>
            </w:pPr>
            <w:r>
              <w:rPr>
                <w:noProof/>
                <w:sz w:val="18"/>
              </w:rPr>
              <w:t>zemí ESVO</w:t>
            </w:r>
          </w:p>
          <w:p>
            <w:pPr>
              <w:spacing w:before="0" w:after="0"/>
              <w:jc w:val="center"/>
              <w:rPr>
                <w:b/>
                <w:noProof/>
                <w:sz w:val="18"/>
              </w:rPr>
            </w:pPr>
          </w:p>
        </w:tc>
        <w:tc>
          <w:tcPr>
            <w:tcW w:w="1364" w:type="dxa"/>
            <w:vAlign w:val="center"/>
          </w:tcPr>
          <w:p>
            <w:pPr>
              <w:jc w:val="center"/>
              <w:rPr>
                <w:noProof/>
              </w:rPr>
            </w:pPr>
            <w:r>
              <w:rPr>
                <w:noProof/>
                <w:sz w:val="18"/>
              </w:rPr>
              <w:t>kandidátských zemí</w:t>
            </w:r>
          </w:p>
          <w:p>
            <w:pPr>
              <w:spacing w:before="0" w:after="0"/>
              <w:jc w:val="center"/>
              <w:rPr>
                <w:noProof/>
                <w:sz w:val="18"/>
              </w:rPr>
            </w:pPr>
          </w:p>
        </w:tc>
        <w:tc>
          <w:tcPr>
            <w:tcW w:w="709" w:type="dxa"/>
            <w:vAlign w:val="center"/>
          </w:tcPr>
          <w:p>
            <w:pPr>
              <w:jc w:val="center"/>
              <w:rPr>
                <w:noProof/>
                <w:sz w:val="18"/>
                <w:szCs w:val="18"/>
              </w:rPr>
            </w:pPr>
            <w:r>
              <w:rPr>
                <w:noProof/>
                <w:sz w:val="18"/>
                <w:szCs w:val="18"/>
              </w:rPr>
              <w:t>třetích zemí</w:t>
            </w:r>
          </w:p>
        </w:tc>
        <w:tc>
          <w:tcPr>
            <w:tcW w:w="1411"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18.03.02</w:t>
            </w:r>
            <w:r>
              <w:rPr>
                <w:noProof/>
                <w:sz w:val="20"/>
              </w:rPr>
              <w:t xml:space="preserve"> Evropský podpůrný úřad pro otázky azylu (EASO)</w:t>
            </w:r>
          </w:p>
          <w:p>
            <w:pPr>
              <w:spacing w:after="60"/>
              <w:rPr>
                <w:noProof/>
              </w:rPr>
            </w:pPr>
          </w:p>
        </w:tc>
        <w:tc>
          <w:tcPr>
            <w:tcW w:w="1080" w:type="dxa"/>
            <w:vAlign w:val="center"/>
          </w:tcPr>
          <w:p>
            <w:pPr>
              <w:jc w:val="center"/>
              <w:rPr>
                <w:noProof/>
                <w:color w:val="0000FF"/>
              </w:rPr>
            </w:pPr>
            <w:r>
              <w:rPr>
                <w:noProof/>
                <w:sz w:val="22"/>
              </w:rPr>
              <w:t>RP/NRP</w:t>
            </w:r>
          </w:p>
        </w:tc>
        <w:tc>
          <w:tcPr>
            <w:tcW w:w="956" w:type="dxa"/>
            <w:vAlign w:val="center"/>
          </w:tcPr>
          <w:p>
            <w:pPr>
              <w:jc w:val="center"/>
              <w:rPr>
                <w:noProof/>
              </w:rPr>
            </w:pPr>
            <w:r>
              <w:rPr>
                <w:noProof/>
                <w:sz w:val="22"/>
              </w:rPr>
              <w:t>NE</w:t>
            </w:r>
          </w:p>
        </w:tc>
        <w:tc>
          <w:tcPr>
            <w:tcW w:w="1364" w:type="dxa"/>
            <w:vAlign w:val="center"/>
          </w:tcPr>
          <w:p>
            <w:pPr>
              <w:jc w:val="center"/>
              <w:rPr>
                <w:noProof/>
              </w:rPr>
            </w:pPr>
            <w:r>
              <w:rPr>
                <w:noProof/>
                <w:sz w:val="22"/>
              </w:rPr>
              <w:t>NE</w:t>
            </w:r>
          </w:p>
        </w:tc>
        <w:tc>
          <w:tcPr>
            <w:tcW w:w="709" w:type="dxa"/>
            <w:vAlign w:val="center"/>
          </w:tcPr>
          <w:p>
            <w:pPr>
              <w:jc w:val="center"/>
              <w:rPr>
                <w:noProof/>
              </w:rPr>
            </w:pPr>
            <w:r>
              <w:rPr>
                <w:noProof/>
                <w:sz w:val="22"/>
              </w:rPr>
              <w:t>ANO*</w:t>
            </w:r>
          </w:p>
        </w:tc>
        <w:tc>
          <w:tcPr>
            <w:tcW w:w="1411" w:type="dxa"/>
            <w:vAlign w:val="center"/>
          </w:tcPr>
          <w:p>
            <w:pPr>
              <w:jc w:val="center"/>
              <w:rPr>
                <w:noProof/>
              </w:rPr>
            </w:pPr>
            <w:r>
              <w:rPr>
                <w:noProof/>
                <w:sz w:val="22"/>
              </w:rPr>
              <w:t>NE</w:t>
            </w:r>
          </w:p>
        </w:tc>
      </w:tr>
    </w:tbl>
    <w:p>
      <w:pPr>
        <w:rPr>
          <w:noProof/>
        </w:rPr>
      </w:pPr>
      <w:r>
        <w:rPr>
          <w:noProof/>
        </w:rPr>
        <w:t>* EASO přijímá příspěvky od zemí přidružených k Schengenu.</w:t>
      </w:r>
    </w:p>
    <w:p>
      <w:pPr>
        <w:pStyle w:val="ListBullet1"/>
        <w:rPr>
          <w:noProof/>
        </w:rPr>
      </w:pPr>
      <w:r>
        <w:rPr>
          <w:noProof/>
        </w:rPr>
        <w:t>Nové rozpočtové položky, jejichž vytvoření se požaduje pro VFR na období 2021–2027.</w:t>
      </w:r>
    </w:p>
    <w:p>
      <w:pPr>
        <w:pStyle w:val="ListBullet1"/>
        <w:rPr>
          <w:noProof/>
        </w:rPr>
      </w:pPr>
      <w:r>
        <w:rPr>
          <w:noProof/>
        </w:rPr>
        <w:t xml:space="preserve">Není nutné požadovat novou rozpočtovou položku ve VRF 2014–2020, ale rozpočtová položka 18 03 02 by měla být odpovídajícím způsobem přejmenována. </w:t>
      </w:r>
    </w:p>
    <w:p>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sz w:val="20"/>
                <w:szCs w:val="20"/>
              </w:rPr>
            </w:pPr>
            <w:r>
              <w:rPr>
                <w:noProof/>
                <w:sz w:val="20"/>
                <w:szCs w:val="20"/>
              </w:rPr>
              <w:t>Druh</w:t>
            </w:r>
            <w:r>
              <w:rPr>
                <w:noProof/>
                <w:sz w:val="20"/>
                <w:szCs w:val="20"/>
              </w:rPr>
              <w:br/>
              <w:t>výdaje</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sz w:val="20"/>
                <w:szCs w:val="20"/>
              </w:rPr>
            </w:pPr>
            <w:r>
              <w:rPr>
                <w:noProof/>
                <w:sz w:val="20"/>
                <w:szCs w:val="20"/>
              </w:rPr>
              <w:t>číslo [okruh 4 Migrace a správa hranic]</w:t>
            </w:r>
          </w:p>
        </w:tc>
        <w:tc>
          <w:tcPr>
            <w:tcW w:w="1080" w:type="dxa"/>
            <w:vAlign w:val="center"/>
          </w:tcPr>
          <w:p>
            <w:pPr>
              <w:jc w:val="center"/>
              <w:rPr>
                <w:noProof/>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color w:val="0000FF"/>
              </w:rPr>
            </w:pPr>
            <w:r>
              <w:rPr>
                <w:noProof/>
                <w:color w:val="0000FF"/>
              </w:rPr>
              <w:t>4</w:t>
            </w:r>
          </w:p>
        </w:tc>
        <w:tc>
          <w:tcPr>
            <w:tcW w:w="3960" w:type="dxa"/>
            <w:vAlign w:val="center"/>
          </w:tcPr>
          <w:p>
            <w:pPr>
              <w:spacing w:before="60"/>
              <w:rPr>
                <w:noProof/>
              </w:rPr>
            </w:pPr>
            <w:r>
              <w:rPr>
                <w:noProof/>
              </w:rPr>
              <w:t xml:space="preserve">10.YY.YY </w:t>
            </w:r>
            <w:r>
              <w:rPr>
                <w:noProof/>
                <w:sz w:val="20"/>
              </w:rPr>
              <w:t xml:space="preserve">Agentura Evropské unie pro azyl </w:t>
            </w:r>
          </w:p>
          <w:p>
            <w:pPr>
              <w:spacing w:before="60"/>
              <w:rPr>
                <w:noProof/>
              </w:rPr>
            </w:pPr>
            <w:r>
              <w:rPr>
                <w:noProof/>
                <w:sz w:val="22"/>
              </w:rPr>
              <w:t xml:space="preserve"> </w:t>
            </w:r>
          </w:p>
          <w:p>
            <w:pPr>
              <w:spacing w:after="60"/>
              <w:rPr>
                <w:noProof/>
                <w:color w:val="0000FF"/>
              </w:rPr>
            </w:pPr>
          </w:p>
        </w:tc>
        <w:tc>
          <w:tcPr>
            <w:tcW w:w="1080" w:type="dxa"/>
            <w:vAlign w:val="center"/>
          </w:tcPr>
          <w:p>
            <w:pPr>
              <w:jc w:val="center"/>
              <w:rPr>
                <w:noProof/>
                <w:color w:val="0000FF"/>
              </w:rPr>
            </w:pPr>
            <w:r>
              <w:rPr>
                <w:noProof/>
                <w:sz w:val="22"/>
              </w:rPr>
              <w:t>RP/NRP</w:t>
            </w:r>
          </w:p>
        </w:tc>
        <w:tc>
          <w:tcPr>
            <w:tcW w:w="956" w:type="dxa"/>
            <w:vAlign w:val="center"/>
          </w:tcPr>
          <w:p>
            <w:pPr>
              <w:jc w:val="center"/>
              <w:rPr>
                <w:noProof/>
              </w:rPr>
            </w:pPr>
            <w:r>
              <w:rPr>
                <w:noProof/>
                <w:sz w:val="22"/>
              </w:rPr>
              <w:t>NE</w:t>
            </w:r>
          </w:p>
        </w:tc>
        <w:tc>
          <w:tcPr>
            <w:tcW w:w="1080" w:type="dxa"/>
            <w:vAlign w:val="center"/>
          </w:tcPr>
          <w:p>
            <w:pPr>
              <w:jc w:val="center"/>
              <w:rPr>
                <w:noProof/>
                <w:color w:val="0000FF"/>
                <w:sz w:val="18"/>
              </w:rPr>
            </w:pPr>
            <w:r>
              <w:rPr>
                <w:noProof/>
                <w:sz w:val="22"/>
              </w:rPr>
              <w:t>NE</w:t>
            </w:r>
          </w:p>
        </w:tc>
        <w:tc>
          <w:tcPr>
            <w:tcW w:w="956" w:type="dxa"/>
            <w:vAlign w:val="center"/>
          </w:tcPr>
          <w:p>
            <w:pPr>
              <w:jc w:val="center"/>
              <w:rPr>
                <w:noProof/>
                <w:color w:val="0000FF"/>
                <w:sz w:val="18"/>
              </w:rPr>
            </w:pPr>
            <w:r>
              <w:rPr>
                <w:noProof/>
                <w:sz w:val="22"/>
              </w:rPr>
              <w:t>ANO*</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Odhadovaný dopad na výdaje </w:t>
      </w:r>
    </w:p>
    <w:p>
      <w:pPr>
        <w:pStyle w:val="Text1"/>
        <w:rPr>
          <w:rFonts w:eastAsia="Times New Roman"/>
          <w:noProof/>
          <w:szCs w:val="24"/>
        </w:rPr>
      </w:pPr>
      <w:r>
        <w:rPr>
          <w:noProof/>
        </w:rPr>
        <w:t xml:space="preserve">Navýšení o 55 milionů EUR od roku 2019 do roku 2027 ve srovnání s legislativním finančním výkazem přiloženým k návrhu Komise COM(2016) 271 final ze dne 4. 5. 2016. </w:t>
      </w:r>
    </w:p>
    <w:p>
      <w:pPr>
        <w:pStyle w:val="Text1"/>
        <w:rPr>
          <w:rFonts w:eastAsia="Times New Roman"/>
          <w:noProof/>
          <w:szCs w:val="24"/>
        </w:rPr>
      </w:pPr>
      <w:r>
        <w:rPr>
          <w:noProof/>
        </w:rPr>
        <w:t xml:space="preserve">Účelem navýšení je zdvojnásobení finančních prostředků, které jsou k dispozici pro výdaje související s operativní podporou (rozpočtová položka 33 v rozpočtu agentury) pro následující činnosti: </w:t>
      </w:r>
    </w:p>
    <w:p>
      <w:pPr>
        <w:pStyle w:val="Text1"/>
        <w:rPr>
          <w:rFonts w:eastAsia="Times New Roman"/>
          <w:noProof/>
          <w:szCs w:val="24"/>
        </w:rPr>
      </w:pPr>
      <w:r>
        <w:rPr>
          <w:noProof/>
        </w:rPr>
        <w:t xml:space="preserve">1) Posílení operativní a technické pomoci členským státům při řízení azylových a přijímacích systémů včetně intenzivnější podpory v oblasti postupu pro mezinárodní ochranu za účelem rychlého a včasného zpracování s cílem zajistit efektivní a řádné fungování azylových a přijímacích systémů a pomoci členským státům s řízením podle dublinského nařízení. </w:t>
      </w:r>
    </w:p>
    <w:p>
      <w:pPr>
        <w:pStyle w:val="Text1"/>
        <w:rPr>
          <w:rFonts w:eastAsia="Times New Roman"/>
          <w:noProof/>
          <w:szCs w:val="24"/>
        </w:rPr>
      </w:pPr>
      <w:r>
        <w:rPr>
          <w:noProof/>
        </w:rPr>
        <w:t xml:space="preserve">2) Posílení činnosti na podporu hostitelského členského státu za účelem zajištění rychlého zpracování prostřednictvím provádění celého postupu pro mezinárodní ochranu nebo jeho části, a to i v kontrolovaných střediscích, a za účelem pomoci soudním orgánům při vyřizování odvolání. </w:t>
      </w:r>
    </w:p>
    <w:p>
      <w:pPr>
        <w:pStyle w:val="Text1"/>
        <w:rPr>
          <w:rFonts w:eastAsia="Times New Roman"/>
          <w:noProof/>
          <w:szCs w:val="24"/>
        </w:rPr>
      </w:pPr>
      <w:r>
        <w:rPr>
          <w:noProof/>
        </w:rPr>
        <w:t>Odhaduje se, že v příštím desetiletí bude ve všech zemích EU přibližně 500 000 případů (žadatelů o azyl) ročně (v současné době bylo po osmi měsících od začátku roku 2018 v EU přijato 382 000 žadatelů o azyl). V Řecku a Itálii se očekává zhruba 120 000 případů ročně, z toho 60 000 v Řecku a 60 000 v Itálii. V Řecku čeká na tamních ostrovech na zpracování 15 000 případů. Evropský podpůrný úřad pro otázky azylu v současné době řeší pouze část těchto případů na řeckých ostrovech, přičemž na pevnině zatím podobnou podporu, o kterou Řecko požádalo, neposkytuje. Obecně řečeno, pomoc úřadu EASO s řešením všech případů v členských státech, je v současné době omezená. Cílem pozměněného nařízení je rozšířit kapacitu a oblasti úřadu EASO za účelem další podpory členských států v přední linii (např. Řecka a Itálie), a to i prostřednictvím koncepce kontrolovaných středisek, jak požadují závěry Evropské rady ze dne 28. června.</w:t>
      </w:r>
    </w:p>
    <w:p>
      <w:pPr>
        <w:spacing w:before="0" w:after="200" w:line="276" w:lineRule="auto"/>
        <w:jc w:val="left"/>
        <w:rPr>
          <w:noProof/>
        </w:rPr>
      </w:pPr>
      <w:r>
        <w:rPr>
          <w:noProof/>
        </w:rPr>
        <w:br w:type="page"/>
      </w:r>
    </w:p>
    <w:p>
      <w:pPr>
        <w:pStyle w:val="Text1"/>
        <w:rPr>
          <w:noProof/>
        </w:rPr>
      </w:pPr>
    </w:p>
    <w:p>
      <w:pPr>
        <w:pStyle w:val="ManualHeading3"/>
        <w:rPr>
          <w:noProof/>
          <w:u w:val="single"/>
        </w:rPr>
      </w:pPr>
      <w:r>
        <w:rPr>
          <w:noProof/>
        </w:rPr>
        <w:t>3.2.1.</w:t>
      </w:r>
      <w:r>
        <w:rPr>
          <w:noProof/>
        </w:rPr>
        <w:tab/>
        <w:t xml:space="preserve">Odhadovaný souhrnný dopad na výdaje </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560"/>
        <w:gridCol w:w="7942"/>
      </w:tblGrid>
      <w:tr>
        <w:trPr>
          <w:jc w:val="center"/>
        </w:trPr>
        <w:tc>
          <w:tcPr>
            <w:tcW w:w="4139" w:type="dxa"/>
            <w:shd w:val="thinDiagStripe" w:color="C0C0C0" w:fill="auto"/>
            <w:vAlign w:val="center"/>
          </w:tcPr>
          <w:p>
            <w:pPr>
              <w:spacing w:before="60" w:after="60"/>
              <w:jc w:val="center"/>
              <w:rPr>
                <w:b/>
                <w:noProof/>
              </w:rPr>
            </w:pPr>
            <w:r>
              <w:rPr>
                <w:b/>
                <w:noProof/>
              </w:rPr>
              <w:t>Okruh víceletého finančního</w:t>
            </w:r>
            <w:r>
              <w:rPr>
                <w:noProof/>
                <w:sz w:val="22"/>
              </w:rPr>
              <w:br/>
            </w:r>
            <w:r>
              <w:rPr>
                <w:b/>
                <w:noProof/>
                <w:sz w:val="22"/>
              </w:rPr>
              <w:t>rámce na období 2014–2020</w:t>
            </w:r>
          </w:p>
        </w:tc>
        <w:tc>
          <w:tcPr>
            <w:tcW w:w="1560" w:type="dxa"/>
            <w:vAlign w:val="center"/>
          </w:tcPr>
          <w:p>
            <w:pPr>
              <w:spacing w:before="60" w:after="60"/>
              <w:jc w:val="center"/>
              <w:rPr>
                <w:noProof/>
              </w:rPr>
            </w:pPr>
            <w:r>
              <w:rPr>
                <w:noProof/>
                <w:sz w:val="22"/>
              </w:rPr>
              <w:t>3</w:t>
            </w:r>
          </w:p>
        </w:tc>
        <w:tc>
          <w:tcPr>
            <w:tcW w:w="7942" w:type="dxa"/>
            <w:vAlign w:val="center"/>
          </w:tcPr>
          <w:p>
            <w:pPr>
              <w:spacing w:before="60" w:after="60"/>
              <w:rPr>
                <w:noProof/>
              </w:rPr>
            </w:pPr>
            <w:r>
              <w:rPr>
                <w:noProof/>
              </w:rPr>
              <w:t>Bezpečnost a občanství</w:t>
            </w:r>
          </w:p>
        </w:tc>
      </w:tr>
    </w:tbl>
    <w:p>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048"/>
        <w:gridCol w:w="81"/>
        <w:gridCol w:w="1359"/>
        <w:gridCol w:w="152"/>
        <w:gridCol w:w="583"/>
        <w:gridCol w:w="868"/>
        <w:gridCol w:w="868"/>
        <w:gridCol w:w="868"/>
        <w:gridCol w:w="3865"/>
        <w:gridCol w:w="1116"/>
      </w:tblGrid>
      <w:tr>
        <w:trPr>
          <w:gridBefore w:val="1"/>
          <w:gridAfter w:val="1"/>
          <w:wBefore w:w="348" w:type="dxa"/>
          <w:wAfter w:w="1116" w:type="dxa"/>
        </w:trPr>
        <w:tc>
          <w:tcPr>
            <w:tcW w:w="4129" w:type="dxa"/>
            <w:gridSpan w:val="2"/>
            <w:vAlign w:val="center"/>
          </w:tcPr>
          <w:p>
            <w:pPr>
              <w:jc w:val="center"/>
              <w:rPr>
                <w:noProof/>
              </w:rPr>
            </w:pPr>
            <w:r>
              <w:rPr>
                <w:noProof/>
                <w:sz w:val="22"/>
              </w:rPr>
              <w:t>Agentura Evropské unie pro azyl</w:t>
            </w:r>
          </w:p>
        </w:tc>
        <w:tc>
          <w:tcPr>
            <w:tcW w:w="1511" w:type="dxa"/>
            <w:gridSpan w:val="2"/>
          </w:tcPr>
          <w:p>
            <w:pPr>
              <w:rPr>
                <w:noProof/>
                <w:sz w:val="20"/>
              </w:rPr>
            </w:pPr>
          </w:p>
        </w:tc>
        <w:tc>
          <w:tcPr>
            <w:tcW w:w="583"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3865" w:type="dxa"/>
            <w:vAlign w:val="center"/>
          </w:tcPr>
          <w:p>
            <w:pPr>
              <w:jc w:val="center"/>
              <w:rPr>
                <w:b/>
                <w:noProof/>
                <w:sz w:val="20"/>
              </w:rPr>
            </w:pPr>
            <w:r>
              <w:rPr>
                <w:b/>
                <w:noProof/>
                <w:sz w:val="20"/>
              </w:rPr>
              <w:t>CELKEM</w:t>
            </w:r>
          </w:p>
        </w:tc>
      </w:tr>
      <w:tr>
        <w:trPr>
          <w:gridBefore w:val="1"/>
          <w:gridAfter w:val="1"/>
          <w:wBefore w:w="348" w:type="dxa"/>
          <w:wAfter w:w="1116" w:type="dxa"/>
          <w:trHeight w:val="213"/>
        </w:trPr>
        <w:tc>
          <w:tcPr>
            <w:tcW w:w="6223" w:type="dxa"/>
            <w:gridSpan w:val="5"/>
            <w:vAlign w:val="center"/>
          </w:tcPr>
          <w:p>
            <w:pPr>
              <w:spacing w:before="20" w:after="20"/>
              <w:rPr>
                <w:noProof/>
                <w:sz w:val="21"/>
              </w:rPr>
            </w:pPr>
            <w:r>
              <w:rPr>
                <w:noProof/>
                <w:sz w:val="21"/>
              </w:rPr>
              <w:sym w:font="Wingdings" w:char="F09F"/>
            </w:r>
            <w:r>
              <w:rPr>
                <w:noProof/>
                <w:sz w:val="21"/>
              </w:rPr>
              <w:t xml:space="preserve"> Operační prostředky</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3865" w:type="dxa"/>
            <w:vAlign w:val="center"/>
          </w:tcPr>
          <w:p>
            <w:pPr>
              <w:rPr>
                <w:b/>
                <w:noProof/>
                <w:sz w:val="20"/>
              </w:rPr>
            </w:pPr>
          </w:p>
        </w:tc>
      </w:tr>
      <w:tr>
        <w:trPr>
          <w:gridBefore w:val="1"/>
          <w:gridAfter w:val="1"/>
          <w:wBefore w:w="348" w:type="dxa"/>
          <w:wAfter w:w="1116" w:type="dxa"/>
          <w:trHeight w:val="277"/>
        </w:trPr>
        <w:tc>
          <w:tcPr>
            <w:tcW w:w="4129" w:type="dxa"/>
            <w:gridSpan w:val="2"/>
            <w:vMerge w:val="restart"/>
            <w:vAlign w:val="center"/>
          </w:tcPr>
          <w:p>
            <w:pPr>
              <w:rPr>
                <w:noProof/>
              </w:rPr>
            </w:pPr>
            <w:r>
              <w:rPr>
                <w:noProof/>
                <w:sz w:val="20"/>
              </w:rPr>
              <w:t>Číslo rozpočtové položky</w:t>
            </w:r>
          </w:p>
        </w:tc>
        <w:tc>
          <w:tcPr>
            <w:tcW w:w="1511" w:type="dxa"/>
            <w:gridSpan w:val="2"/>
            <w:vAlign w:val="center"/>
          </w:tcPr>
          <w:p>
            <w:pPr>
              <w:spacing w:before="20" w:after="20"/>
              <w:rPr>
                <w:noProof/>
                <w:sz w:val="18"/>
              </w:rPr>
            </w:pPr>
            <w:r>
              <w:rPr>
                <w:noProof/>
                <w:sz w:val="18"/>
              </w:rPr>
              <w:t>Závazky</w:t>
            </w:r>
          </w:p>
        </w:tc>
        <w:tc>
          <w:tcPr>
            <w:tcW w:w="583"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Platby</w:t>
            </w:r>
          </w:p>
        </w:tc>
        <w:tc>
          <w:tcPr>
            <w:tcW w:w="583"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val="restart"/>
            <w:vAlign w:val="center"/>
          </w:tcPr>
          <w:p>
            <w:pPr>
              <w:rPr>
                <w:noProof/>
              </w:rPr>
            </w:pPr>
            <w:r>
              <w:rPr>
                <w:noProof/>
                <w:sz w:val="20"/>
              </w:rPr>
              <w:t>Číslo rozpočtové položky</w:t>
            </w:r>
          </w:p>
        </w:tc>
        <w:tc>
          <w:tcPr>
            <w:tcW w:w="1511" w:type="dxa"/>
            <w:gridSpan w:val="2"/>
            <w:vAlign w:val="center"/>
          </w:tcPr>
          <w:p>
            <w:pPr>
              <w:spacing w:before="20" w:after="20"/>
              <w:rPr>
                <w:noProof/>
                <w:sz w:val="18"/>
              </w:rPr>
            </w:pPr>
            <w:r>
              <w:rPr>
                <w:noProof/>
                <w:sz w:val="18"/>
              </w:rPr>
              <w:t>Závazky</w:t>
            </w:r>
          </w:p>
        </w:tc>
        <w:tc>
          <w:tcPr>
            <w:tcW w:w="583"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Platby</w:t>
            </w:r>
          </w:p>
        </w:tc>
        <w:tc>
          <w:tcPr>
            <w:tcW w:w="583"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Height w:val="231"/>
        </w:trPr>
        <w:tc>
          <w:tcPr>
            <w:tcW w:w="6223" w:type="dxa"/>
            <w:gridSpan w:val="5"/>
            <w:vAlign w:val="center"/>
          </w:tcPr>
          <w:p>
            <w:pPr>
              <w:spacing w:before="20" w:after="20"/>
              <w:rPr>
                <w:noProof/>
              </w:rPr>
            </w:pPr>
            <w:r>
              <w:rPr>
                <w:noProof/>
                <w:sz w:val="21"/>
              </w:rPr>
              <w:t xml:space="preserve">Prostředky správní povahy financované z rámce na zvláštní programy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3865" w:type="dxa"/>
            <w:vAlign w:val="center"/>
          </w:tcPr>
          <w:p>
            <w:pPr>
              <w:rPr>
                <w:b/>
                <w:noProof/>
                <w:sz w:val="20"/>
              </w:rPr>
            </w:pPr>
          </w:p>
        </w:tc>
      </w:tr>
      <w:tr>
        <w:trPr>
          <w:gridBefore w:val="1"/>
          <w:gridAfter w:val="1"/>
          <w:wBefore w:w="348" w:type="dxa"/>
          <w:wAfter w:w="1116" w:type="dxa"/>
          <w:trHeight w:val="319"/>
        </w:trPr>
        <w:tc>
          <w:tcPr>
            <w:tcW w:w="4129" w:type="dxa"/>
            <w:gridSpan w:val="2"/>
            <w:vAlign w:val="center"/>
          </w:tcPr>
          <w:p>
            <w:pPr>
              <w:spacing w:before="60" w:after="60"/>
              <w:rPr>
                <w:noProof/>
              </w:rPr>
            </w:pPr>
            <w:r>
              <w:rPr>
                <w:noProof/>
                <w:sz w:val="20"/>
              </w:rPr>
              <w:t>Číslo rozpočtové položky</w:t>
            </w:r>
          </w:p>
        </w:tc>
        <w:tc>
          <w:tcPr>
            <w:tcW w:w="1511" w:type="dxa"/>
            <w:gridSpan w:val="2"/>
            <w:vAlign w:val="center"/>
          </w:tcPr>
          <w:p>
            <w:pPr>
              <w:spacing w:before="40" w:after="40"/>
              <w:jc w:val="right"/>
              <w:rPr>
                <w:noProof/>
                <w:sz w:val="18"/>
              </w:rPr>
            </w:pPr>
          </w:p>
        </w:tc>
        <w:tc>
          <w:tcPr>
            <w:tcW w:w="583"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3865" w:type="dxa"/>
            <w:vAlign w:val="center"/>
          </w:tcPr>
          <w:p>
            <w:pPr>
              <w:spacing w:before="40" w:after="40"/>
              <w:jc w:val="right"/>
              <w:rPr>
                <w:b/>
                <w:noProof/>
                <w:sz w:val="20"/>
              </w:rPr>
            </w:pPr>
          </w:p>
        </w:tc>
      </w:tr>
      <w:tr>
        <w:trPr>
          <w:gridBefore w:val="1"/>
          <w:gridAfter w:val="1"/>
          <w:wBefore w:w="348" w:type="dxa"/>
          <w:wAfter w:w="1116" w:type="dxa"/>
        </w:trPr>
        <w:tc>
          <w:tcPr>
            <w:tcW w:w="4129" w:type="dxa"/>
            <w:gridSpan w:val="2"/>
            <w:vMerge w:val="restart"/>
            <w:vAlign w:val="center"/>
          </w:tcPr>
          <w:p>
            <w:pPr>
              <w:jc w:val="center"/>
              <w:rPr>
                <w:b/>
                <w:noProof/>
              </w:rPr>
            </w:pPr>
            <w:r>
              <w:rPr>
                <w:b/>
                <w:noProof/>
              </w:rPr>
              <w:t>Prostředky</w:t>
            </w:r>
            <w:r>
              <w:rPr>
                <w:noProof/>
                <w:sz w:val="22"/>
              </w:rPr>
              <w:br/>
            </w:r>
            <w:r>
              <w:rPr>
                <w:b/>
                <w:noProof/>
                <w:sz w:val="22"/>
              </w:rPr>
              <w:t>na Agenturu Evropské unie pro azyl (původní návrh COM(2016)</w:t>
            </w:r>
            <w:r>
              <w:rPr>
                <w:b/>
                <w:noProof/>
              </w:rPr>
              <w:t xml:space="preserve"> 271) CELKEM</w:t>
            </w:r>
          </w:p>
        </w:tc>
        <w:tc>
          <w:tcPr>
            <w:tcW w:w="1511" w:type="dxa"/>
            <w:gridSpan w:val="2"/>
            <w:vAlign w:val="center"/>
          </w:tcPr>
          <w:p>
            <w:pPr>
              <w:rPr>
                <w:noProof/>
                <w:sz w:val="18"/>
              </w:rPr>
            </w:pPr>
            <w:r>
              <w:rPr>
                <w:noProof/>
                <w:sz w:val="18"/>
              </w:rPr>
              <w:t>Závazky</w:t>
            </w:r>
          </w:p>
        </w:tc>
        <w:tc>
          <w:tcPr>
            <w:tcW w:w="583" w:type="dxa"/>
            <w:vAlign w:val="center"/>
          </w:tcPr>
          <w:p>
            <w:pPr>
              <w:jc w:val="center"/>
              <w:rPr>
                <w:noProof/>
                <w:sz w:val="14"/>
              </w:rPr>
            </w:pPr>
            <w:r>
              <w:rPr>
                <w:noProof/>
                <w:sz w:val="14"/>
              </w:rPr>
              <w:t>=1+1a +3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color w:val="000000"/>
                <w:sz w:val="20"/>
              </w:rPr>
              <w:t>297,757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Platby</w:t>
            </w:r>
          </w:p>
        </w:tc>
        <w:tc>
          <w:tcPr>
            <w:tcW w:w="583" w:type="dxa"/>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sz w:val="20"/>
              </w:rPr>
              <w:t>297,757</w:t>
            </w:r>
          </w:p>
        </w:tc>
      </w:tr>
      <w:tr>
        <w:trPr>
          <w:gridBefore w:val="1"/>
          <w:gridAfter w:val="1"/>
          <w:wBefore w:w="348" w:type="dxa"/>
          <w:wAfter w:w="1116" w:type="dxa"/>
        </w:trPr>
        <w:tc>
          <w:tcPr>
            <w:tcW w:w="4129" w:type="dxa"/>
            <w:gridSpan w:val="2"/>
            <w:vMerge w:val="restart"/>
          </w:tcPr>
          <w:p>
            <w:pPr>
              <w:rPr>
                <w:noProof/>
                <w:sz w:val="20"/>
              </w:rPr>
            </w:pPr>
            <w:r>
              <w:rPr>
                <w:noProof/>
                <w:sz w:val="20"/>
              </w:rPr>
              <w:t xml:space="preserve">Dodatečné zdroje související se stávajícím návrhem </w:t>
            </w:r>
          </w:p>
        </w:tc>
        <w:tc>
          <w:tcPr>
            <w:tcW w:w="1511" w:type="dxa"/>
            <w:gridSpan w:val="2"/>
            <w:vAlign w:val="center"/>
          </w:tcPr>
          <w:p>
            <w:pPr>
              <w:rPr>
                <w:noProof/>
                <w:sz w:val="18"/>
              </w:rPr>
            </w:pPr>
            <w:r>
              <w:rPr>
                <w:noProof/>
                <w:sz w:val="18"/>
              </w:rPr>
              <w:t>Závazky</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Platby</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val="restart"/>
          </w:tcPr>
          <w:p>
            <w:pPr>
              <w:jc w:val="center"/>
              <w:rPr>
                <w:noProof/>
                <w:sz w:val="20"/>
              </w:rPr>
            </w:pPr>
            <w:r>
              <w:rPr>
                <w:b/>
                <w:noProof/>
              </w:rPr>
              <w:t>Prostředky</w:t>
            </w:r>
            <w:r>
              <w:rPr>
                <w:noProof/>
                <w:sz w:val="22"/>
              </w:rPr>
              <w:br/>
            </w:r>
            <w:r>
              <w:rPr>
                <w:b/>
                <w:noProof/>
                <w:sz w:val="22"/>
              </w:rPr>
              <w:t>na Agenturu Evropské unie pro azyl CELKEM</w:t>
            </w: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blPrEx>
          <w:jc w:val="center"/>
        </w:tblPrEx>
        <w:trPr>
          <w:jc w:val="center"/>
        </w:trPr>
        <w:tc>
          <w:tcPr>
            <w:tcW w:w="4396" w:type="dxa"/>
            <w:gridSpan w:val="2"/>
            <w:shd w:val="thinDiagStripe" w:color="C0C0C0" w:fill="auto"/>
            <w:vAlign w:val="center"/>
          </w:tcPr>
          <w:p>
            <w:pPr>
              <w:spacing w:before="60" w:after="60"/>
              <w:jc w:val="center"/>
              <w:rPr>
                <w:b/>
                <w:noProof/>
              </w:rPr>
            </w:pPr>
            <w:r>
              <w:rPr>
                <w:noProof/>
              </w:rPr>
              <w:br w:type="page"/>
            </w:r>
            <w:r>
              <w:rPr>
                <w:b/>
                <w:noProof/>
              </w:rPr>
              <w:t>Okruh víceletého finančního</w:t>
            </w:r>
            <w:r>
              <w:rPr>
                <w:noProof/>
              </w:rPr>
              <w:br/>
            </w:r>
            <w:r>
              <w:rPr>
                <w:b/>
                <w:noProof/>
                <w:sz w:val="22"/>
              </w:rPr>
              <w:t>rámce na období 2014–2020</w:t>
            </w:r>
          </w:p>
        </w:tc>
        <w:tc>
          <w:tcPr>
            <w:tcW w:w="1440" w:type="dxa"/>
            <w:gridSpan w:val="2"/>
            <w:shd w:val="clear" w:color="C0C0C0" w:fill="auto"/>
            <w:vAlign w:val="center"/>
          </w:tcPr>
          <w:p>
            <w:pPr>
              <w:spacing w:before="60" w:after="60"/>
              <w:jc w:val="center"/>
              <w:rPr>
                <w:noProof/>
              </w:rPr>
            </w:pPr>
            <w:r>
              <w:rPr>
                <w:b/>
                <w:noProof/>
                <w:sz w:val="22"/>
              </w:rPr>
              <w:t>5</w:t>
            </w:r>
          </w:p>
        </w:tc>
        <w:tc>
          <w:tcPr>
            <w:tcW w:w="8320" w:type="dxa"/>
            <w:gridSpan w:val="7"/>
            <w:vAlign w:val="center"/>
          </w:tcPr>
          <w:p>
            <w:pPr>
              <w:spacing w:before="60" w:after="60"/>
              <w:rPr>
                <w:noProof/>
              </w:rPr>
            </w:pPr>
            <w:r>
              <w:rPr>
                <w:noProof/>
                <w:sz w:val="22"/>
              </w:rPr>
              <w:t>„Správní výdaje“</w:t>
            </w:r>
          </w:p>
        </w:tc>
      </w:tr>
    </w:tbl>
    <w:p>
      <w:pPr>
        <w:jc w:val="right"/>
        <w:rPr>
          <w:noProof/>
          <w:sz w:val="20"/>
        </w:rPr>
      </w:pPr>
      <w:r>
        <w:rPr>
          <w:noProof/>
          <w:sz w:val="20"/>
        </w:rPr>
        <w:t>v milionech EUR (zaokrouhleno na tři desetinná místa)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40"/>
        <w:gridCol w:w="534"/>
        <w:gridCol w:w="868"/>
        <w:gridCol w:w="868"/>
        <w:gridCol w:w="868"/>
        <w:gridCol w:w="4868"/>
      </w:tblGrid>
      <w:tr>
        <w:tc>
          <w:tcPr>
            <w:tcW w:w="432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4868" w:type="dxa"/>
            <w:vAlign w:val="center"/>
          </w:tcPr>
          <w:p>
            <w:pPr>
              <w:jc w:val="center"/>
              <w:rPr>
                <w:b/>
                <w:noProof/>
                <w:sz w:val="20"/>
              </w:rPr>
            </w:pPr>
            <w:r>
              <w:rPr>
                <w:b/>
                <w:noProof/>
                <w:sz w:val="20"/>
              </w:rPr>
              <w:t>CELKEM</w:t>
            </w:r>
          </w:p>
        </w:tc>
      </w:tr>
      <w:tr>
        <w:trPr>
          <w:gridAfter w:val="6"/>
          <w:wAfter w:w="8846" w:type="dxa"/>
        </w:trPr>
        <w:tc>
          <w:tcPr>
            <w:tcW w:w="4320" w:type="dxa"/>
            <w:vAlign w:val="center"/>
          </w:tcPr>
          <w:p>
            <w:pPr>
              <w:spacing w:before="60" w:after="60"/>
              <w:jc w:val="center"/>
              <w:rPr>
                <w:noProof/>
              </w:rPr>
            </w:pPr>
            <w:r>
              <w:rPr>
                <w:noProof/>
                <w:sz w:val="22"/>
              </w:rPr>
              <w:t>GŘ: HOME</w:t>
            </w:r>
          </w:p>
        </w:tc>
      </w:tr>
      <w:tr>
        <w:trPr>
          <w:trHeight w:val="313"/>
        </w:trPr>
        <w:tc>
          <w:tcPr>
            <w:tcW w:w="5694" w:type="dxa"/>
            <w:gridSpan w:val="3"/>
            <w:vAlign w:val="center"/>
          </w:tcPr>
          <w:p>
            <w:pPr>
              <w:spacing w:before="20" w:after="20"/>
              <w:rPr>
                <w:noProof/>
              </w:rPr>
            </w:pPr>
            <w:r>
              <w:rPr>
                <w:noProof/>
                <w:sz w:val="22"/>
              </w:rPr>
              <w:sym w:font="Wingdings" w:char="F09F"/>
            </w:r>
            <w:r>
              <w:rPr>
                <w:noProof/>
                <w:sz w:val="22"/>
              </w:rPr>
              <w:t xml:space="preserve"> Lidské zdroje </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4868" w:type="dxa"/>
            <w:vAlign w:val="center"/>
          </w:tcPr>
          <w:p>
            <w:pPr>
              <w:spacing w:before="20" w:after="20"/>
              <w:jc w:val="right"/>
              <w:rPr>
                <w:b/>
                <w:noProof/>
                <w:sz w:val="20"/>
              </w:rPr>
            </w:pPr>
            <w:r>
              <w:rPr>
                <w:b/>
                <w:noProof/>
                <w:sz w:val="20"/>
              </w:rPr>
              <w:t>1,608</w:t>
            </w:r>
          </w:p>
        </w:tc>
      </w:tr>
      <w:tr>
        <w:trPr>
          <w:trHeight w:val="351"/>
        </w:trPr>
        <w:tc>
          <w:tcPr>
            <w:tcW w:w="5694" w:type="dxa"/>
            <w:gridSpan w:val="3"/>
            <w:vAlign w:val="center"/>
          </w:tcPr>
          <w:p>
            <w:pPr>
              <w:spacing w:before="20" w:after="20"/>
              <w:rPr>
                <w:noProof/>
              </w:rPr>
            </w:pPr>
            <w:r>
              <w:rPr>
                <w:noProof/>
                <w:sz w:val="22"/>
              </w:rPr>
              <w:sym w:font="Wingdings" w:char="F09F"/>
            </w:r>
            <w:r>
              <w:rPr>
                <w:noProof/>
                <w:sz w:val="22"/>
              </w:rPr>
              <w:t xml:space="preserve"> Ostatní správní výdaje</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4868" w:type="dxa"/>
            <w:vAlign w:val="center"/>
          </w:tcPr>
          <w:p>
            <w:pPr>
              <w:spacing w:before="20" w:after="20"/>
              <w:jc w:val="right"/>
              <w:rPr>
                <w:b/>
                <w:noProof/>
                <w:sz w:val="20"/>
              </w:rPr>
            </w:pPr>
            <w:r>
              <w:rPr>
                <w:b/>
                <w:noProof/>
                <w:sz w:val="20"/>
              </w:rPr>
              <w:t>0,090</w:t>
            </w:r>
          </w:p>
        </w:tc>
      </w:tr>
      <w:tr>
        <w:tc>
          <w:tcPr>
            <w:tcW w:w="4320" w:type="dxa"/>
            <w:vAlign w:val="center"/>
          </w:tcPr>
          <w:p>
            <w:pPr>
              <w:jc w:val="center"/>
              <w:rPr>
                <w:b/>
                <w:noProof/>
              </w:rPr>
            </w:pPr>
            <w:r>
              <w:rPr>
                <w:b/>
                <w:noProof/>
                <w:sz w:val="22"/>
              </w:rPr>
              <w:t>GŘ PRO MIGRACI A VNITŘNÍ VĚCI CELKEM</w:t>
            </w:r>
          </w:p>
        </w:tc>
        <w:tc>
          <w:tcPr>
            <w:tcW w:w="1374" w:type="dxa"/>
            <w:gridSpan w:val="2"/>
            <w:vAlign w:val="center"/>
          </w:tcPr>
          <w:p>
            <w:pPr>
              <w:rPr>
                <w:noProof/>
                <w:sz w:val="14"/>
              </w:rPr>
            </w:pPr>
            <w:r>
              <w:rPr>
                <w:noProof/>
                <w:sz w:val="18"/>
              </w:rPr>
              <w:t xml:space="preserve">Prostředky </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r>
        <w:tc>
          <w:tcPr>
            <w:tcW w:w="4320" w:type="dxa"/>
            <w:shd w:val="thinDiagStripe" w:color="C0C0C0" w:fill="auto"/>
            <w:vAlign w:val="center"/>
          </w:tcPr>
          <w:p>
            <w:pPr>
              <w:jc w:val="center"/>
              <w:rPr>
                <w:b/>
                <w:noProof/>
                <w:sz w:val="22"/>
              </w:rPr>
            </w:pPr>
            <w:r>
              <w:rPr>
                <w:b/>
                <w:noProof/>
              </w:rPr>
              <w:t>Prostředky</w:t>
            </w:r>
            <w:r>
              <w:rPr>
                <w:noProof/>
                <w:sz w:val="22"/>
              </w:rPr>
              <w:br/>
            </w:r>
            <w:r>
              <w:rPr>
                <w:b/>
                <w:noProof/>
                <w:sz w:val="22"/>
              </w:rPr>
              <w:t>z OKRUHU 5</w:t>
            </w:r>
            <w:r>
              <w:rPr>
                <w:noProof/>
                <w:sz w:val="22"/>
              </w:rPr>
              <w:br/>
              <w:t xml:space="preserve">víceletého finančního rámce </w:t>
            </w:r>
            <w:r>
              <w:rPr>
                <w:b/>
                <w:noProof/>
                <w:sz w:val="22"/>
              </w:rPr>
              <w:t xml:space="preserve">CELKEM </w:t>
            </w:r>
          </w:p>
          <w:p>
            <w:pPr>
              <w:jc w:val="center"/>
              <w:rPr>
                <w:b/>
                <w:noProof/>
              </w:rPr>
            </w:pPr>
            <w:r>
              <w:rPr>
                <w:b/>
                <w:noProof/>
                <w:sz w:val="22"/>
              </w:rPr>
              <w:t>2014–2020</w:t>
            </w:r>
          </w:p>
        </w:tc>
        <w:tc>
          <w:tcPr>
            <w:tcW w:w="1374" w:type="dxa"/>
            <w:gridSpan w:val="2"/>
            <w:vAlign w:val="center"/>
          </w:tcPr>
          <w:p>
            <w:pPr>
              <w:spacing w:before="40" w:after="40"/>
              <w:rPr>
                <w:noProof/>
              </w:rPr>
            </w:pPr>
            <w:r>
              <w:rPr>
                <w:noProof/>
                <w:sz w:val="18"/>
              </w:rPr>
              <w:t>(Závazky celkem = platby celkem)</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bl>
    <w:p>
      <w:pPr>
        <w:ind w:left="10080" w:firstLine="720"/>
        <w:jc w:val="center"/>
        <w:rPr>
          <w:noProof/>
          <w:sz w:val="20"/>
        </w:rPr>
      </w:pPr>
    </w:p>
    <w:p>
      <w:pPr>
        <w:ind w:left="10080" w:firstLine="720"/>
        <w:jc w:val="center"/>
        <w:rPr>
          <w:noProof/>
          <w:sz w:val="20"/>
        </w:rPr>
      </w:pPr>
      <w:r>
        <w:rPr>
          <w:noProof/>
          <w:sz w:val="20"/>
        </w:rPr>
        <w:t>v milionech EUR (zaokrouhleno na tři desetinná místa)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74"/>
        <w:gridCol w:w="868"/>
        <w:gridCol w:w="868"/>
        <w:gridCol w:w="868"/>
        <w:gridCol w:w="4868"/>
      </w:tblGrid>
      <w:tr>
        <w:tc>
          <w:tcPr>
            <w:tcW w:w="4320" w:type="dxa"/>
            <w:tcBorders>
              <w:top w:val="nil"/>
              <w:left w:val="nil"/>
              <w:right w:val="nil"/>
            </w:tcBorders>
            <w:vAlign w:val="center"/>
          </w:tcPr>
          <w:p>
            <w:pPr>
              <w:jc w:val="center"/>
              <w:rPr>
                <w:noProof/>
              </w:rPr>
            </w:pPr>
          </w:p>
        </w:tc>
        <w:tc>
          <w:tcPr>
            <w:tcW w:w="1374" w:type="dxa"/>
            <w:tcBorders>
              <w:top w:val="nil"/>
              <w:left w:val="nil"/>
              <w:right w:val="nil"/>
            </w:tcBorders>
          </w:tcPr>
          <w:p>
            <w:pP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4868" w:type="dxa"/>
            <w:vAlign w:val="center"/>
          </w:tcPr>
          <w:p>
            <w:pPr>
              <w:jc w:val="center"/>
              <w:rPr>
                <w:b/>
                <w:noProof/>
                <w:sz w:val="20"/>
              </w:rPr>
            </w:pPr>
            <w:r>
              <w:rPr>
                <w:b/>
                <w:noProof/>
                <w:sz w:val="20"/>
              </w:rPr>
              <w:t>CELKEM</w:t>
            </w:r>
          </w:p>
        </w:tc>
      </w:tr>
      <w:tr>
        <w:tc>
          <w:tcPr>
            <w:tcW w:w="4320" w:type="dxa"/>
            <w:vMerge w:val="restart"/>
            <w:shd w:val="clear" w:color="auto" w:fill="C0C0C0"/>
            <w:vAlign w:val="center"/>
          </w:tcPr>
          <w:p>
            <w:pPr>
              <w:jc w:val="center"/>
              <w:rPr>
                <w:b/>
                <w:noProof/>
                <w:sz w:val="22"/>
              </w:rPr>
            </w:pPr>
            <w:r>
              <w:rPr>
                <w:b/>
                <w:noProof/>
              </w:rPr>
              <w:t>Prostředky</w:t>
            </w:r>
            <w:r>
              <w:rPr>
                <w:noProof/>
                <w:sz w:val="22"/>
              </w:rPr>
              <w:br/>
            </w:r>
            <w:r>
              <w:rPr>
                <w:b/>
                <w:noProof/>
                <w:sz w:val="22"/>
              </w:rPr>
              <w:t>z OKRUHŮ 1 až 5</w:t>
            </w:r>
            <w:r>
              <w:rPr>
                <w:noProof/>
                <w:sz w:val="22"/>
              </w:rPr>
              <w:br/>
              <w:t xml:space="preserve">víceletého finančního rámce </w:t>
            </w:r>
            <w:r>
              <w:rPr>
                <w:b/>
                <w:noProof/>
                <w:sz w:val="22"/>
              </w:rPr>
              <w:t xml:space="preserve">CELKEM </w:t>
            </w:r>
          </w:p>
          <w:p>
            <w:pPr>
              <w:jc w:val="center"/>
              <w:rPr>
                <w:b/>
                <w:noProof/>
              </w:rPr>
            </w:pPr>
            <w:r>
              <w:rPr>
                <w:b/>
                <w:noProof/>
                <w:sz w:val="22"/>
              </w:rPr>
              <w:t>2014</w:t>
            </w:r>
            <w:r>
              <w:rPr>
                <w:b/>
                <w:noProof/>
              </w:rPr>
              <w:t>–2020</w:t>
            </w:r>
          </w:p>
        </w:tc>
        <w:tc>
          <w:tcPr>
            <w:tcW w:w="1374" w:type="dxa"/>
            <w:vAlign w:val="center"/>
          </w:tcPr>
          <w:p>
            <w:pPr>
              <w:rPr>
                <w:noProof/>
                <w:sz w:val="14"/>
              </w:rPr>
            </w:pPr>
            <w:r>
              <w:rPr>
                <w:noProof/>
                <w:sz w:val="18"/>
              </w:rPr>
              <w:t>Závazky</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color w:val="000000"/>
                <w:sz w:val="18"/>
              </w:rPr>
              <w:t>409,455</w:t>
            </w:r>
          </w:p>
        </w:tc>
      </w:tr>
      <w:tr>
        <w:tc>
          <w:tcPr>
            <w:tcW w:w="4320" w:type="dxa"/>
            <w:vMerge/>
            <w:shd w:val="clear" w:color="auto" w:fill="C0C0C0"/>
          </w:tcPr>
          <w:p>
            <w:pPr>
              <w:rPr>
                <w:noProof/>
                <w:sz w:val="20"/>
              </w:rPr>
            </w:pPr>
          </w:p>
        </w:tc>
        <w:tc>
          <w:tcPr>
            <w:tcW w:w="1374" w:type="dxa"/>
            <w:vAlign w:val="center"/>
          </w:tcPr>
          <w:p>
            <w:pPr>
              <w:rPr>
                <w:noProof/>
                <w:sz w:val="14"/>
              </w:rPr>
            </w:pPr>
            <w:r>
              <w:rPr>
                <w:noProof/>
                <w:sz w:val="18"/>
              </w:rPr>
              <w:t>Platby</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bl>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440"/>
        <w:gridCol w:w="8062"/>
      </w:tblGrid>
      <w:tr>
        <w:trPr>
          <w:jc w:val="center"/>
        </w:trPr>
        <w:tc>
          <w:tcPr>
            <w:tcW w:w="4139" w:type="dxa"/>
            <w:shd w:val="thinDiagStripe" w:color="C0C0C0" w:fill="auto"/>
            <w:vAlign w:val="center"/>
          </w:tcPr>
          <w:p>
            <w:pPr>
              <w:spacing w:before="60" w:after="60"/>
              <w:jc w:val="center"/>
              <w:rPr>
                <w:b/>
                <w:noProof/>
              </w:rPr>
            </w:pPr>
            <w:r>
              <w:rPr>
                <w:b/>
                <w:noProof/>
              </w:rPr>
              <w:t>Okruh víceletého finančního</w:t>
            </w:r>
            <w:r>
              <w:rPr>
                <w:noProof/>
                <w:sz w:val="22"/>
              </w:rPr>
              <w:br/>
            </w:r>
            <w:r>
              <w:rPr>
                <w:b/>
                <w:noProof/>
                <w:sz w:val="22"/>
              </w:rPr>
              <w:t>rámce 2021–2027</w:t>
            </w:r>
          </w:p>
        </w:tc>
        <w:tc>
          <w:tcPr>
            <w:tcW w:w="1440" w:type="dxa"/>
            <w:vAlign w:val="center"/>
          </w:tcPr>
          <w:p>
            <w:pPr>
              <w:spacing w:before="60" w:after="60"/>
              <w:jc w:val="center"/>
              <w:rPr>
                <w:noProof/>
              </w:rPr>
            </w:pPr>
            <w:r>
              <w:rPr>
                <w:noProof/>
                <w:sz w:val="22"/>
              </w:rPr>
              <w:t>4</w:t>
            </w:r>
          </w:p>
        </w:tc>
        <w:tc>
          <w:tcPr>
            <w:tcW w:w="8062" w:type="dxa"/>
            <w:vAlign w:val="center"/>
          </w:tcPr>
          <w:p>
            <w:pPr>
              <w:spacing w:before="60" w:after="60"/>
              <w:rPr>
                <w:noProof/>
              </w:rPr>
            </w:pPr>
            <w:r>
              <w:rPr>
                <w:noProof/>
              </w:rPr>
              <w:t>Migrace a správa hranic</w:t>
            </w:r>
          </w:p>
        </w:tc>
      </w:tr>
    </w:tbl>
    <w:p>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440"/>
        <w:gridCol w:w="120"/>
        <w:gridCol w:w="534"/>
        <w:gridCol w:w="868"/>
        <w:gridCol w:w="868"/>
        <w:gridCol w:w="868"/>
        <w:gridCol w:w="868"/>
        <w:gridCol w:w="868"/>
        <w:gridCol w:w="868"/>
        <w:gridCol w:w="868"/>
        <w:gridCol w:w="2030"/>
      </w:tblGrid>
      <w:tr>
        <w:tc>
          <w:tcPr>
            <w:tcW w:w="3360" w:type="dxa"/>
            <w:vAlign w:val="center"/>
          </w:tcPr>
          <w:p>
            <w:pPr>
              <w:jc w:val="center"/>
              <w:rPr>
                <w:noProof/>
              </w:rPr>
            </w:pPr>
            <w:r>
              <w:rPr>
                <w:noProof/>
                <w:sz w:val="22"/>
              </w:rPr>
              <w:t>Agentura Evropské unie pro azyl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868" w:type="dxa"/>
            <w:vAlign w:val="center"/>
          </w:tcPr>
          <w:p>
            <w:pPr>
              <w:jc w:val="center"/>
              <w:rPr>
                <w:noProof/>
                <w:sz w:val="20"/>
              </w:rPr>
            </w:pPr>
            <w:r>
              <w:rPr>
                <w:noProof/>
                <w:sz w:val="20"/>
              </w:rPr>
              <w:t>Rok</w:t>
            </w:r>
            <w:r>
              <w:rPr>
                <w:noProof/>
                <w:sz w:val="22"/>
              </w:rPr>
              <w:br/>
            </w:r>
            <w:r>
              <w:rPr>
                <w:b/>
                <w:noProof/>
                <w:sz w:val="20"/>
              </w:rPr>
              <w:t>2024</w:t>
            </w:r>
          </w:p>
        </w:tc>
        <w:tc>
          <w:tcPr>
            <w:tcW w:w="868" w:type="dxa"/>
            <w:vAlign w:val="center"/>
          </w:tcPr>
          <w:p>
            <w:pPr>
              <w:jc w:val="center"/>
              <w:rPr>
                <w:b/>
                <w:noProof/>
                <w:sz w:val="18"/>
              </w:rPr>
            </w:pPr>
            <w:r>
              <w:rPr>
                <w:noProof/>
                <w:sz w:val="20"/>
              </w:rPr>
              <w:t>Rok</w:t>
            </w:r>
            <w:r>
              <w:rPr>
                <w:noProof/>
                <w:sz w:val="22"/>
              </w:rPr>
              <w:br/>
            </w:r>
            <w:r>
              <w:rPr>
                <w:b/>
                <w:noProof/>
                <w:sz w:val="20"/>
              </w:rPr>
              <w:t>2025</w:t>
            </w:r>
          </w:p>
        </w:tc>
        <w:tc>
          <w:tcPr>
            <w:tcW w:w="868" w:type="dxa"/>
            <w:vAlign w:val="center"/>
          </w:tcPr>
          <w:p>
            <w:pPr>
              <w:jc w:val="center"/>
              <w:rPr>
                <w:b/>
                <w:noProof/>
                <w:sz w:val="18"/>
              </w:rPr>
            </w:pPr>
            <w:r>
              <w:rPr>
                <w:noProof/>
                <w:sz w:val="20"/>
              </w:rPr>
              <w:t>Rok</w:t>
            </w:r>
            <w:r>
              <w:rPr>
                <w:noProof/>
                <w:sz w:val="22"/>
              </w:rPr>
              <w:br/>
            </w:r>
            <w:r>
              <w:rPr>
                <w:b/>
                <w:noProof/>
                <w:sz w:val="20"/>
              </w:rPr>
              <w:t>2026</w:t>
            </w:r>
          </w:p>
        </w:tc>
        <w:tc>
          <w:tcPr>
            <w:tcW w:w="868" w:type="dxa"/>
            <w:vAlign w:val="center"/>
          </w:tcPr>
          <w:p>
            <w:pPr>
              <w:jc w:val="center"/>
              <w:rPr>
                <w:b/>
                <w:noProof/>
                <w:sz w:val="18"/>
              </w:rPr>
            </w:pPr>
            <w:r>
              <w:rPr>
                <w:noProof/>
                <w:sz w:val="20"/>
              </w:rPr>
              <w:t>Rok</w:t>
            </w:r>
            <w:r>
              <w:rPr>
                <w:noProof/>
                <w:sz w:val="22"/>
              </w:rPr>
              <w:br/>
            </w:r>
            <w:r>
              <w:rPr>
                <w:b/>
                <w:noProof/>
                <w:sz w:val="20"/>
              </w:rPr>
              <w:t>2027</w:t>
            </w:r>
          </w:p>
        </w:tc>
        <w:tc>
          <w:tcPr>
            <w:tcW w:w="2030" w:type="dxa"/>
            <w:vAlign w:val="center"/>
          </w:tcPr>
          <w:p>
            <w:pPr>
              <w:jc w:val="center"/>
              <w:rPr>
                <w:b/>
                <w:noProof/>
                <w:sz w:val="20"/>
              </w:rPr>
            </w:pPr>
            <w:r>
              <w:rPr>
                <w:b/>
                <w:noProof/>
                <w:sz w:val="20"/>
              </w:rPr>
              <w:t>CELKEM</w:t>
            </w:r>
          </w:p>
        </w:tc>
      </w:tr>
      <w:tr>
        <w:trPr>
          <w:trHeight w:val="213"/>
        </w:trPr>
        <w:tc>
          <w:tcPr>
            <w:tcW w:w="5454" w:type="dxa"/>
            <w:gridSpan w:val="4"/>
            <w:vAlign w:val="center"/>
          </w:tcPr>
          <w:p>
            <w:pPr>
              <w:spacing w:before="20" w:after="20"/>
              <w:rPr>
                <w:noProof/>
                <w:sz w:val="21"/>
              </w:rPr>
            </w:pPr>
            <w:r>
              <w:rPr>
                <w:noProof/>
                <w:sz w:val="21"/>
              </w:rPr>
              <w:sym w:font="Wingdings" w:char="F09F"/>
            </w:r>
            <w:r>
              <w:rPr>
                <w:noProof/>
                <w:sz w:val="21"/>
              </w:rPr>
              <w:t xml:space="preserve"> Operační prostředky</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277"/>
        </w:trPr>
        <w:tc>
          <w:tcPr>
            <w:tcW w:w="3360" w:type="dxa"/>
            <w:vMerge w:val="restart"/>
            <w:vAlign w:val="center"/>
          </w:tcPr>
          <w:p>
            <w:pPr>
              <w:rPr>
                <w:noProof/>
              </w:rPr>
            </w:pPr>
            <w:r>
              <w:rPr>
                <w:noProof/>
                <w:sz w:val="20"/>
              </w:rPr>
              <w:t>Číslo rozpočtové položky</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val="restart"/>
            <w:vAlign w:val="center"/>
          </w:tcPr>
          <w:p>
            <w:pPr>
              <w:rPr>
                <w:noProof/>
              </w:rPr>
            </w:pPr>
            <w:r>
              <w:rPr>
                <w:noProof/>
                <w:sz w:val="20"/>
              </w:rPr>
              <w:t>Číslo rozpočtové položky</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rPr>
          <w:trHeight w:val="231"/>
        </w:trPr>
        <w:tc>
          <w:tcPr>
            <w:tcW w:w="5454" w:type="dxa"/>
            <w:gridSpan w:val="4"/>
            <w:vAlign w:val="center"/>
          </w:tcPr>
          <w:p>
            <w:pPr>
              <w:spacing w:before="20" w:after="20"/>
              <w:rPr>
                <w:noProof/>
              </w:rPr>
            </w:pPr>
            <w:r>
              <w:rPr>
                <w:noProof/>
                <w:sz w:val="21"/>
              </w:rPr>
              <w:t>Prostředky správní povahy financované z rámce na zvláštní programy</w:t>
            </w:r>
            <w:r>
              <w:rPr>
                <w:rStyle w:val="FootnoteReference"/>
                <w:noProof/>
                <w:sz w:val="21"/>
              </w:rPr>
              <w:footnoteReference w:id="10"/>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319"/>
        </w:trPr>
        <w:tc>
          <w:tcPr>
            <w:tcW w:w="3360" w:type="dxa"/>
            <w:vAlign w:val="center"/>
          </w:tcPr>
          <w:p>
            <w:pPr>
              <w:spacing w:before="60" w:after="60"/>
              <w:rPr>
                <w:noProof/>
              </w:rPr>
            </w:pPr>
            <w:r>
              <w:rPr>
                <w:noProof/>
                <w:sz w:val="20"/>
              </w:rPr>
              <w:t>Číslo rozpočtové položky</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2030" w:type="dxa"/>
            <w:vAlign w:val="center"/>
          </w:tcPr>
          <w:p>
            <w:pPr>
              <w:spacing w:before="40" w:after="40"/>
              <w:jc w:val="right"/>
              <w:rPr>
                <w:b/>
                <w:noProof/>
                <w:sz w:val="20"/>
              </w:rPr>
            </w:pPr>
          </w:p>
        </w:tc>
      </w:tr>
      <w:tr>
        <w:tc>
          <w:tcPr>
            <w:tcW w:w="3360" w:type="dxa"/>
            <w:vMerge w:val="restart"/>
            <w:vAlign w:val="center"/>
          </w:tcPr>
          <w:p>
            <w:pPr>
              <w:jc w:val="center"/>
              <w:rPr>
                <w:b/>
                <w:noProof/>
              </w:rPr>
            </w:pPr>
            <w:r>
              <w:rPr>
                <w:b/>
                <w:noProof/>
                <w:sz w:val="22"/>
              </w:rPr>
              <w:t>Prostředky</w:t>
            </w:r>
            <w:r>
              <w:rPr>
                <w:noProof/>
                <w:sz w:val="22"/>
              </w:rPr>
              <w:br/>
            </w:r>
            <w:r>
              <w:rPr>
                <w:b/>
                <w:noProof/>
                <w:sz w:val="22"/>
              </w:rPr>
              <w:t>na Agenturu Evropské unie pro azyl CELKEM</w:t>
            </w:r>
          </w:p>
        </w:tc>
        <w:tc>
          <w:tcPr>
            <w:tcW w:w="1440" w:type="dxa"/>
            <w:vAlign w:val="center"/>
          </w:tcPr>
          <w:p>
            <w:pPr>
              <w:rPr>
                <w:noProof/>
                <w:sz w:val="18"/>
              </w:rPr>
            </w:pPr>
            <w:r>
              <w:rPr>
                <w:noProof/>
                <w:sz w:val="18"/>
              </w:rPr>
              <w:t>Závazky</w:t>
            </w:r>
          </w:p>
        </w:tc>
        <w:tc>
          <w:tcPr>
            <w:tcW w:w="654" w:type="dxa"/>
            <w:gridSpan w:val="2"/>
            <w:vAlign w:val="center"/>
          </w:tcPr>
          <w:p>
            <w:pPr>
              <w:jc w:val="center"/>
              <w:rPr>
                <w:noProof/>
                <w:sz w:val="14"/>
              </w:rPr>
            </w:pPr>
            <w:r>
              <w:rPr>
                <w:noProof/>
                <w:sz w:val="14"/>
              </w:rPr>
              <w:t>=1+1a +3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r>
        <w:tc>
          <w:tcPr>
            <w:tcW w:w="33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rPr>
              <w:t>Okruh víceletého finančního</w:t>
            </w:r>
            <w:r>
              <w:rPr>
                <w:noProof/>
                <w:sz w:val="22"/>
              </w:rPr>
              <w:br/>
            </w:r>
            <w:r>
              <w:rPr>
                <w:b/>
                <w:noProof/>
                <w:sz w:val="22"/>
              </w:rPr>
              <w:t>rámce 2021–2027</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„Evropská veřejná správa“</w:t>
            </w:r>
          </w:p>
        </w:tc>
      </w:tr>
    </w:tbl>
    <w:p>
      <w:pPr>
        <w:jc w:val="right"/>
        <w:rPr>
          <w:noProof/>
          <w:sz w:val="20"/>
        </w:rPr>
      </w:pPr>
      <w:r>
        <w:rPr>
          <w:noProof/>
          <w:sz w:val="20"/>
        </w:rPr>
        <w:t>v milionech EUR (zaokrouhleno na tři desetinná místa)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840"/>
        <w:gridCol w:w="534"/>
        <w:gridCol w:w="868"/>
        <w:gridCol w:w="868"/>
        <w:gridCol w:w="868"/>
        <w:gridCol w:w="868"/>
        <w:gridCol w:w="914"/>
        <w:gridCol w:w="960"/>
        <w:gridCol w:w="960"/>
        <w:gridCol w:w="1920"/>
      </w:tblGrid>
      <w:tr>
        <w:tc>
          <w:tcPr>
            <w:tcW w:w="420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868" w:type="dxa"/>
            <w:vAlign w:val="center"/>
          </w:tcPr>
          <w:p>
            <w:pPr>
              <w:jc w:val="center"/>
              <w:rPr>
                <w:noProof/>
                <w:sz w:val="20"/>
              </w:rPr>
            </w:pPr>
            <w:r>
              <w:rPr>
                <w:noProof/>
                <w:sz w:val="20"/>
              </w:rPr>
              <w:t>Rok</w:t>
            </w:r>
            <w:r>
              <w:rPr>
                <w:noProof/>
                <w:sz w:val="22"/>
              </w:rPr>
              <w:br/>
            </w:r>
            <w:r>
              <w:rPr>
                <w:b/>
                <w:noProof/>
                <w:sz w:val="20"/>
              </w:rPr>
              <w:t>2024</w:t>
            </w:r>
          </w:p>
        </w:tc>
        <w:tc>
          <w:tcPr>
            <w:tcW w:w="914" w:type="dxa"/>
            <w:vAlign w:val="center"/>
          </w:tcPr>
          <w:p>
            <w:pPr>
              <w:jc w:val="center"/>
              <w:rPr>
                <w:b/>
                <w:noProof/>
                <w:sz w:val="20"/>
              </w:rPr>
            </w:pPr>
            <w:r>
              <w:rPr>
                <w:noProof/>
                <w:sz w:val="20"/>
              </w:rPr>
              <w:t>Rok</w:t>
            </w:r>
            <w:r>
              <w:rPr>
                <w:noProof/>
                <w:sz w:val="22"/>
              </w:rPr>
              <w:br/>
            </w:r>
            <w:r>
              <w:rPr>
                <w:b/>
                <w:noProof/>
                <w:sz w:val="20"/>
              </w:rPr>
              <w:t>2025</w:t>
            </w:r>
          </w:p>
        </w:tc>
        <w:tc>
          <w:tcPr>
            <w:tcW w:w="960" w:type="dxa"/>
            <w:vAlign w:val="center"/>
          </w:tcPr>
          <w:p>
            <w:pPr>
              <w:jc w:val="center"/>
              <w:rPr>
                <w:b/>
                <w:noProof/>
                <w:sz w:val="20"/>
              </w:rPr>
            </w:pPr>
            <w:r>
              <w:rPr>
                <w:noProof/>
                <w:sz w:val="20"/>
              </w:rPr>
              <w:t>Rok</w:t>
            </w:r>
            <w:r>
              <w:rPr>
                <w:noProof/>
                <w:sz w:val="22"/>
              </w:rPr>
              <w:br/>
            </w:r>
            <w:r>
              <w:rPr>
                <w:b/>
                <w:noProof/>
                <w:sz w:val="20"/>
              </w:rPr>
              <w:t>2026</w:t>
            </w:r>
          </w:p>
        </w:tc>
        <w:tc>
          <w:tcPr>
            <w:tcW w:w="960" w:type="dxa"/>
            <w:vAlign w:val="center"/>
          </w:tcPr>
          <w:p>
            <w:pPr>
              <w:jc w:val="center"/>
              <w:rPr>
                <w:b/>
                <w:noProof/>
                <w:sz w:val="20"/>
              </w:rPr>
            </w:pPr>
            <w:r>
              <w:rPr>
                <w:noProof/>
                <w:sz w:val="20"/>
              </w:rPr>
              <w:t>Rok</w:t>
            </w:r>
            <w:r>
              <w:rPr>
                <w:noProof/>
                <w:sz w:val="22"/>
              </w:rPr>
              <w:br/>
            </w:r>
            <w:r>
              <w:rPr>
                <w:b/>
                <w:noProof/>
                <w:sz w:val="20"/>
              </w:rPr>
              <w:t>2027</w:t>
            </w:r>
          </w:p>
        </w:tc>
        <w:tc>
          <w:tcPr>
            <w:tcW w:w="1920" w:type="dxa"/>
            <w:vAlign w:val="center"/>
          </w:tcPr>
          <w:p>
            <w:pPr>
              <w:jc w:val="center"/>
              <w:rPr>
                <w:b/>
                <w:noProof/>
                <w:sz w:val="20"/>
              </w:rPr>
            </w:pPr>
            <w:r>
              <w:rPr>
                <w:b/>
                <w:noProof/>
                <w:sz w:val="20"/>
              </w:rPr>
              <w:t>CELKEM</w:t>
            </w:r>
          </w:p>
        </w:tc>
      </w:tr>
      <w:tr>
        <w:trPr>
          <w:gridAfter w:val="10"/>
          <w:wAfter w:w="9600" w:type="dxa"/>
        </w:trPr>
        <w:tc>
          <w:tcPr>
            <w:tcW w:w="4200" w:type="dxa"/>
            <w:vAlign w:val="center"/>
          </w:tcPr>
          <w:p>
            <w:pPr>
              <w:spacing w:before="60" w:after="60"/>
              <w:jc w:val="center"/>
              <w:rPr>
                <w:noProof/>
              </w:rPr>
            </w:pPr>
            <w:r>
              <w:rPr>
                <w:noProof/>
                <w:sz w:val="22"/>
              </w:rPr>
              <w:t>GŘ: HOME</w:t>
            </w:r>
          </w:p>
        </w:tc>
      </w:tr>
      <w:tr>
        <w:trPr>
          <w:trHeight w:val="313"/>
        </w:trPr>
        <w:tc>
          <w:tcPr>
            <w:tcW w:w="5574" w:type="dxa"/>
            <w:gridSpan w:val="3"/>
            <w:vAlign w:val="center"/>
          </w:tcPr>
          <w:p>
            <w:pPr>
              <w:spacing w:before="20" w:after="20"/>
              <w:rPr>
                <w:noProof/>
              </w:rPr>
            </w:pPr>
            <w:r>
              <w:rPr>
                <w:noProof/>
                <w:sz w:val="22"/>
              </w:rPr>
              <w:sym w:font="Wingdings" w:char="F09F"/>
            </w:r>
            <w:r>
              <w:rPr>
                <w:noProof/>
                <w:sz w:val="22"/>
              </w:rPr>
              <w:t xml:space="preserve"> Lidské zdroje </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914"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1920" w:type="dxa"/>
          </w:tcPr>
          <w:p>
            <w:pPr>
              <w:spacing w:before="20" w:after="20"/>
              <w:jc w:val="right"/>
              <w:rPr>
                <w:b/>
                <w:noProof/>
                <w:sz w:val="20"/>
                <w:szCs w:val="20"/>
              </w:rPr>
            </w:pPr>
            <w:r>
              <w:rPr>
                <w:noProof/>
                <w:sz w:val="20"/>
              </w:rPr>
              <w:t>3,752</w:t>
            </w:r>
          </w:p>
        </w:tc>
      </w:tr>
      <w:tr>
        <w:trPr>
          <w:trHeight w:val="351"/>
        </w:trPr>
        <w:tc>
          <w:tcPr>
            <w:tcW w:w="5574" w:type="dxa"/>
            <w:gridSpan w:val="3"/>
            <w:vAlign w:val="center"/>
          </w:tcPr>
          <w:p>
            <w:pPr>
              <w:spacing w:before="20" w:after="20"/>
              <w:rPr>
                <w:noProof/>
              </w:rPr>
            </w:pPr>
            <w:r>
              <w:rPr>
                <w:noProof/>
                <w:sz w:val="22"/>
              </w:rPr>
              <w:sym w:font="Wingdings" w:char="F09F"/>
            </w:r>
            <w:r>
              <w:rPr>
                <w:noProof/>
                <w:sz w:val="22"/>
              </w:rPr>
              <w:t xml:space="preserve"> Ostatní správní výdaje</w:t>
            </w:r>
          </w:p>
        </w:tc>
        <w:tc>
          <w:tcPr>
            <w:tcW w:w="868" w:type="dxa"/>
          </w:tcPr>
          <w:p>
            <w:pPr>
              <w:spacing w:before="20" w:after="20"/>
              <w:jc w:val="right"/>
              <w:rPr>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914"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1920" w:type="dxa"/>
          </w:tcPr>
          <w:p>
            <w:pPr>
              <w:spacing w:before="20" w:after="20"/>
              <w:jc w:val="right"/>
              <w:rPr>
                <w:b/>
                <w:noProof/>
                <w:sz w:val="20"/>
                <w:szCs w:val="20"/>
              </w:rPr>
            </w:pPr>
            <w:r>
              <w:rPr>
                <w:noProof/>
                <w:sz w:val="20"/>
              </w:rPr>
              <w:t>0,210</w:t>
            </w:r>
          </w:p>
        </w:tc>
      </w:tr>
      <w:tr>
        <w:tc>
          <w:tcPr>
            <w:tcW w:w="4200" w:type="dxa"/>
            <w:vAlign w:val="center"/>
          </w:tcPr>
          <w:p>
            <w:pPr>
              <w:jc w:val="center"/>
              <w:rPr>
                <w:b/>
                <w:noProof/>
              </w:rPr>
            </w:pPr>
            <w:r>
              <w:rPr>
                <w:b/>
                <w:noProof/>
              </w:rPr>
              <w:t>GŘ PRO MIGRACI A VNITŘNÍ VĚCI CELKEM</w:t>
            </w:r>
          </w:p>
        </w:tc>
        <w:tc>
          <w:tcPr>
            <w:tcW w:w="1374" w:type="dxa"/>
            <w:gridSpan w:val="2"/>
            <w:vAlign w:val="center"/>
          </w:tcPr>
          <w:p>
            <w:pPr>
              <w:rPr>
                <w:noProof/>
                <w:sz w:val="14"/>
              </w:rPr>
            </w:pPr>
            <w:r>
              <w:rPr>
                <w:noProof/>
                <w:sz w:val="18"/>
              </w:rPr>
              <w:t xml:space="preserve">Prostředky </w:t>
            </w:r>
          </w:p>
        </w:tc>
        <w:tc>
          <w:tcPr>
            <w:tcW w:w="868" w:type="dxa"/>
          </w:tcPr>
          <w:p>
            <w:pPr>
              <w:spacing w:before="60" w:after="6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rPr>
          <w:noProo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74"/>
        <w:gridCol w:w="868"/>
        <w:gridCol w:w="868"/>
        <w:gridCol w:w="868"/>
        <w:gridCol w:w="868"/>
        <w:gridCol w:w="914"/>
        <w:gridCol w:w="960"/>
        <w:gridCol w:w="960"/>
        <w:gridCol w:w="1920"/>
      </w:tblGrid>
      <w:tr>
        <w:tc>
          <w:tcPr>
            <w:tcW w:w="4200" w:type="dxa"/>
            <w:shd w:val="thinDiagStripe" w:color="C0C0C0" w:fill="auto"/>
            <w:vAlign w:val="center"/>
          </w:tcPr>
          <w:p>
            <w:pPr>
              <w:jc w:val="center"/>
              <w:rPr>
                <w:b/>
                <w:noProof/>
              </w:rPr>
            </w:pPr>
            <w:r>
              <w:rPr>
                <w:b/>
                <w:noProof/>
              </w:rPr>
              <w:t xml:space="preserve">Prostředky </w:t>
            </w:r>
            <w:r>
              <w:rPr>
                <w:noProof/>
                <w:sz w:val="22"/>
              </w:rPr>
              <w:br/>
            </w:r>
            <w:r>
              <w:rPr>
                <w:b/>
                <w:noProof/>
                <w:sz w:val="22"/>
              </w:rPr>
              <w:t>z OKRUHU 7</w:t>
            </w:r>
            <w:r>
              <w:rPr>
                <w:noProof/>
                <w:sz w:val="22"/>
              </w:rPr>
              <w:br/>
              <w:t>víceletého finančního rámce</w:t>
            </w:r>
            <w:r>
              <w:rPr>
                <w:b/>
                <w:noProof/>
                <w:sz w:val="22"/>
              </w:rPr>
              <w:t xml:space="preserve"> 2021–2027</w:t>
            </w:r>
            <w:r>
              <w:rPr>
                <w:noProof/>
                <w:sz w:val="22"/>
              </w:rPr>
              <w:t xml:space="preserve"> </w:t>
            </w:r>
            <w:r>
              <w:rPr>
                <w:b/>
                <w:noProof/>
                <w:sz w:val="22"/>
              </w:rPr>
              <w:t>CELKEM</w:t>
            </w:r>
          </w:p>
        </w:tc>
        <w:tc>
          <w:tcPr>
            <w:tcW w:w="1374" w:type="dxa"/>
            <w:vAlign w:val="center"/>
          </w:tcPr>
          <w:p>
            <w:pPr>
              <w:spacing w:before="40" w:after="40"/>
              <w:rPr>
                <w:noProof/>
              </w:rPr>
            </w:pPr>
            <w:r>
              <w:rPr>
                <w:noProof/>
                <w:sz w:val="18"/>
              </w:rPr>
              <w:t>(Závazky celkem = platby celkem)</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r>
        <w:rPr>
          <w:noProof/>
          <w:sz w:val="20"/>
        </w:rPr>
        <w:t>v milionech EUR (zaokrouhleno na tři desetinná místa)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720"/>
        <w:gridCol w:w="534"/>
        <w:gridCol w:w="868"/>
        <w:gridCol w:w="868"/>
        <w:gridCol w:w="868"/>
        <w:gridCol w:w="868"/>
        <w:gridCol w:w="914"/>
        <w:gridCol w:w="960"/>
        <w:gridCol w:w="960"/>
        <w:gridCol w:w="1920"/>
      </w:tblGrid>
      <w:tr>
        <w:tc>
          <w:tcPr>
            <w:tcW w:w="4320" w:type="dxa"/>
            <w:tcBorders>
              <w:top w:val="nil"/>
              <w:left w:val="nil"/>
              <w:right w:val="nil"/>
            </w:tcBorders>
            <w:vAlign w:val="center"/>
          </w:tcPr>
          <w:p>
            <w:pPr>
              <w:jc w:val="center"/>
              <w:rPr>
                <w:noProof/>
              </w:rPr>
            </w:pPr>
          </w:p>
        </w:tc>
        <w:tc>
          <w:tcPr>
            <w:tcW w:w="72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68" w:type="dxa"/>
            <w:vAlign w:val="center"/>
          </w:tcPr>
          <w:p>
            <w:pPr>
              <w:jc w:val="center"/>
              <w:rPr>
                <w:noProof/>
                <w:sz w:val="20"/>
              </w:rPr>
            </w:pPr>
            <w:r>
              <w:rPr>
                <w:noProof/>
                <w:sz w:val="20"/>
              </w:rPr>
              <w:t>Rok</w:t>
            </w:r>
            <w:r>
              <w:rPr>
                <w:noProof/>
                <w:sz w:val="22"/>
              </w:rPr>
              <w:br/>
            </w:r>
            <w:r>
              <w:rPr>
                <w:b/>
                <w:noProof/>
                <w:sz w:val="20"/>
              </w:rPr>
              <w:t>2023</w:t>
            </w:r>
          </w:p>
        </w:tc>
        <w:tc>
          <w:tcPr>
            <w:tcW w:w="868" w:type="dxa"/>
            <w:vAlign w:val="center"/>
          </w:tcPr>
          <w:p>
            <w:pPr>
              <w:jc w:val="center"/>
              <w:rPr>
                <w:noProof/>
                <w:sz w:val="20"/>
              </w:rPr>
            </w:pPr>
            <w:r>
              <w:rPr>
                <w:noProof/>
                <w:sz w:val="20"/>
              </w:rPr>
              <w:t>Rok</w:t>
            </w:r>
            <w:r>
              <w:rPr>
                <w:noProof/>
                <w:sz w:val="22"/>
              </w:rPr>
              <w:br/>
            </w:r>
            <w:r>
              <w:rPr>
                <w:b/>
                <w:noProof/>
                <w:sz w:val="20"/>
              </w:rPr>
              <w:t>2024</w:t>
            </w:r>
          </w:p>
        </w:tc>
        <w:tc>
          <w:tcPr>
            <w:tcW w:w="914" w:type="dxa"/>
            <w:vAlign w:val="center"/>
          </w:tcPr>
          <w:p>
            <w:pPr>
              <w:jc w:val="center"/>
              <w:rPr>
                <w:b/>
                <w:noProof/>
                <w:sz w:val="20"/>
              </w:rPr>
            </w:pPr>
            <w:r>
              <w:rPr>
                <w:noProof/>
                <w:sz w:val="20"/>
              </w:rPr>
              <w:t>Rok</w:t>
            </w:r>
            <w:r>
              <w:rPr>
                <w:noProof/>
                <w:sz w:val="22"/>
              </w:rPr>
              <w:br/>
            </w:r>
            <w:r>
              <w:rPr>
                <w:b/>
                <w:noProof/>
                <w:sz w:val="20"/>
              </w:rPr>
              <w:t>2025</w:t>
            </w:r>
          </w:p>
        </w:tc>
        <w:tc>
          <w:tcPr>
            <w:tcW w:w="960" w:type="dxa"/>
            <w:vAlign w:val="center"/>
          </w:tcPr>
          <w:p>
            <w:pPr>
              <w:jc w:val="center"/>
              <w:rPr>
                <w:b/>
                <w:noProof/>
                <w:sz w:val="20"/>
              </w:rPr>
            </w:pPr>
            <w:r>
              <w:rPr>
                <w:noProof/>
                <w:sz w:val="20"/>
              </w:rPr>
              <w:t>Rok</w:t>
            </w:r>
            <w:r>
              <w:rPr>
                <w:noProof/>
                <w:sz w:val="22"/>
              </w:rPr>
              <w:br/>
            </w:r>
            <w:r>
              <w:rPr>
                <w:b/>
                <w:noProof/>
                <w:sz w:val="20"/>
              </w:rPr>
              <w:t>2026</w:t>
            </w:r>
          </w:p>
        </w:tc>
        <w:tc>
          <w:tcPr>
            <w:tcW w:w="960" w:type="dxa"/>
            <w:vAlign w:val="center"/>
          </w:tcPr>
          <w:p>
            <w:pPr>
              <w:jc w:val="center"/>
              <w:rPr>
                <w:b/>
                <w:noProof/>
                <w:sz w:val="20"/>
              </w:rPr>
            </w:pPr>
            <w:r>
              <w:rPr>
                <w:noProof/>
                <w:sz w:val="20"/>
              </w:rPr>
              <w:t>Rok</w:t>
            </w:r>
            <w:r>
              <w:rPr>
                <w:noProof/>
                <w:sz w:val="22"/>
              </w:rPr>
              <w:br/>
            </w:r>
            <w:r>
              <w:rPr>
                <w:b/>
                <w:noProof/>
                <w:sz w:val="20"/>
              </w:rPr>
              <w:t>2027</w:t>
            </w:r>
          </w:p>
        </w:tc>
        <w:tc>
          <w:tcPr>
            <w:tcW w:w="1920" w:type="dxa"/>
            <w:vAlign w:val="center"/>
          </w:tcPr>
          <w:p>
            <w:pPr>
              <w:jc w:val="center"/>
              <w:rPr>
                <w:b/>
                <w:noProof/>
                <w:sz w:val="20"/>
              </w:rPr>
            </w:pPr>
            <w:r>
              <w:rPr>
                <w:b/>
                <w:noProof/>
                <w:sz w:val="20"/>
              </w:rPr>
              <w:t>CELKEM</w:t>
            </w:r>
          </w:p>
        </w:tc>
      </w:tr>
      <w:tr>
        <w:tc>
          <w:tcPr>
            <w:tcW w:w="4320" w:type="dxa"/>
            <w:vMerge w:val="restart"/>
            <w:shd w:val="clear" w:color="auto" w:fill="C0C0C0"/>
            <w:vAlign w:val="center"/>
          </w:tcPr>
          <w:p>
            <w:pPr>
              <w:jc w:val="center"/>
              <w:rPr>
                <w:b/>
                <w:noProof/>
              </w:rPr>
            </w:pPr>
            <w:r>
              <w:rPr>
                <w:b/>
                <w:noProof/>
                <w:sz w:val="22"/>
              </w:rPr>
              <w:t>Prostředky</w:t>
            </w:r>
            <w:r>
              <w:rPr>
                <w:noProof/>
                <w:sz w:val="22"/>
              </w:rPr>
              <w:br/>
            </w:r>
            <w:r>
              <w:rPr>
                <w:b/>
                <w:noProof/>
                <w:sz w:val="22"/>
              </w:rPr>
              <w:t>z OKRUHŮ 1 až 7</w:t>
            </w:r>
            <w:r>
              <w:rPr>
                <w:noProof/>
                <w:sz w:val="22"/>
              </w:rPr>
              <w:br/>
              <w:t xml:space="preserve">víceletého finančního rámce </w:t>
            </w:r>
            <w:r>
              <w:rPr>
                <w:b/>
                <w:noProof/>
                <w:sz w:val="22"/>
              </w:rPr>
              <w:t xml:space="preserve">CELKEM </w:t>
            </w:r>
          </w:p>
        </w:tc>
        <w:tc>
          <w:tcPr>
            <w:tcW w:w="1254" w:type="dxa"/>
            <w:gridSpan w:val="2"/>
            <w:vAlign w:val="center"/>
          </w:tcPr>
          <w:p>
            <w:pPr>
              <w:rPr>
                <w:noProof/>
                <w:sz w:val="14"/>
              </w:rPr>
            </w:pPr>
            <w:r>
              <w:rPr>
                <w:noProof/>
                <w:sz w:val="18"/>
              </w:rPr>
              <w:t>Závazky</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rPr>
                <w:bCs/>
                <w:noProof/>
                <w:color w:val="000000"/>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r>
        <w:tc>
          <w:tcPr>
            <w:tcW w:w="4320" w:type="dxa"/>
            <w:vMerge/>
            <w:shd w:val="clear" w:color="auto" w:fill="C0C0C0"/>
          </w:tcPr>
          <w:p>
            <w:pPr>
              <w:rPr>
                <w:noProof/>
                <w:sz w:val="20"/>
              </w:rPr>
            </w:pPr>
          </w:p>
        </w:tc>
        <w:tc>
          <w:tcPr>
            <w:tcW w:w="1254" w:type="dxa"/>
            <w:gridSpan w:val="2"/>
            <w:vAlign w:val="center"/>
          </w:tcPr>
          <w:p>
            <w:pPr>
              <w:rPr>
                <w:noProof/>
                <w:sz w:val="14"/>
              </w:rPr>
            </w:pPr>
            <w:r>
              <w:rPr>
                <w:noProof/>
                <w:sz w:val="18"/>
              </w:rPr>
              <w:t>Platby</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jc w:val="right"/>
              <w:rPr>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Odhadovaný dopad na prostředky Agentury Evropské unie pro azyl</w:t>
      </w:r>
    </w:p>
    <w:p>
      <w:pPr>
        <w:pStyle w:val="ListDash1"/>
        <w:tabs>
          <w:tab w:val="clear" w:pos="1134"/>
          <w:tab w:val="num" w:pos="992"/>
        </w:tabs>
        <w:ind w:left="992"/>
        <w:rPr>
          <w:noProof/>
        </w:rPr>
      </w:pPr>
      <w:r>
        <w:rPr>
          <w:noProof/>
        </w:rPr>
        <w:sym w:font="Wingdings" w:char="F0A8"/>
      </w:r>
      <w:r>
        <w:rPr>
          <w:noProof/>
        </w:rPr>
        <w:tab/>
        <w:t xml:space="preserve">Návrh nevyžaduje využití operačních prostředků </w:t>
      </w:r>
    </w:p>
    <w:p>
      <w:pPr>
        <w:pStyle w:val="ListDash1"/>
        <w:tabs>
          <w:tab w:val="clear" w:pos="1134"/>
          <w:tab w:val="num" w:pos="992"/>
        </w:tabs>
        <w:ind w:left="992"/>
        <w:rPr>
          <w:noProof/>
        </w:rPr>
      </w:pPr>
      <w:r>
        <w:rPr>
          <w:noProof/>
          <w:sz w:val="22"/>
        </w:rPr>
        <w:sym w:font="Wingdings" w:char="F0FE"/>
      </w:r>
      <w:r>
        <w:rPr>
          <w:noProof/>
        </w:rPr>
        <w:tab/>
        <w:t>Návrh vyžaduje využití operačních prostředků, jak je vysvětleno dále:</w:t>
      </w:r>
    </w:p>
    <w:p>
      <w:pPr>
        <w:rPr>
          <w:b/>
          <w:noProof/>
        </w:rPr>
      </w:pPr>
    </w:p>
    <w:p>
      <w:pPr>
        <w:rPr>
          <w:b/>
          <w:noProof/>
        </w:rPr>
      </w:pPr>
      <w:r>
        <w:rPr>
          <w:b/>
          <w:noProof/>
        </w:rPr>
        <w:t xml:space="preserve">VFR na období 2014–2020* </w:t>
      </w:r>
      <w:r>
        <w:rPr>
          <w:noProof/>
        </w:rPr>
        <w:t>(</w:t>
      </w:r>
      <w:r>
        <w:rPr>
          <w:noProof/>
          <w:sz w:val="20"/>
        </w:rPr>
        <w:t>Prostředky na závazky v EUR)</w:t>
      </w:r>
    </w:p>
    <w:p>
      <w:pPr>
        <w:rPr>
          <w:b/>
          <w:noProof/>
        </w:rPr>
      </w:pPr>
      <w:r>
        <w:rPr>
          <w:noProof/>
          <w:lang w:val="en-US"/>
        </w:rPr>
        <w:drawing>
          <wp:inline distT="0" distB="0" distL="0" distR="0">
            <wp:extent cx="7615123" cy="397421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111" cy="3976813"/>
                    </a:xfrm>
                    <a:prstGeom prst="rect">
                      <a:avLst/>
                    </a:prstGeom>
                    <a:noFill/>
                    <a:ln>
                      <a:noFill/>
                    </a:ln>
                  </pic:spPr>
                </pic:pic>
              </a:graphicData>
            </a:graphic>
          </wp:inline>
        </w:drawing>
      </w:r>
    </w:p>
    <w:p>
      <w:pPr>
        <w:rPr>
          <w:noProof/>
        </w:rPr>
      </w:pPr>
      <w:r>
        <w:rPr>
          <w:noProof/>
        </w:rPr>
        <w:t>* Tato tabulka uvádí pouze provozní výdaje podle hlavy 3</w:t>
      </w:r>
      <w:r>
        <w:rPr>
          <w:noProof/>
        </w:rPr>
        <w:tab/>
      </w:r>
    </w:p>
    <w:p>
      <w:pPr>
        <w:rPr>
          <w:b/>
          <w:noProof/>
          <w:szCs w:val="24"/>
        </w:rPr>
      </w:pPr>
      <w:r>
        <w:rPr>
          <w:b/>
          <w:noProof/>
        </w:rPr>
        <w:t>VFR na období 2021–2027*</w:t>
      </w:r>
    </w:p>
    <w:p>
      <w:pPr>
        <w:jc w:val="right"/>
        <w:rPr>
          <w:b/>
          <w:noProof/>
          <w:szCs w:val="24"/>
          <w:highlight w:val="cyan"/>
        </w:rPr>
      </w:pPr>
      <w:r>
        <w:rPr>
          <w:noProof/>
          <w:sz w:val="20"/>
        </w:rPr>
        <w:t xml:space="preserve">Prostředky na závazky v EUR </w:t>
      </w:r>
    </w:p>
    <w:p>
      <w:pPr>
        <w:rPr>
          <w:b/>
          <w:noProof/>
          <w:szCs w:val="24"/>
          <w:highlight w:val="cyan"/>
        </w:rPr>
      </w:pPr>
      <w:r>
        <w:rPr>
          <w:noProof/>
          <w:lang w:val="en-US"/>
        </w:rPr>
        <w:drawing>
          <wp:inline distT="0" distB="0" distL="0" distR="0">
            <wp:extent cx="8892540" cy="470636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4706364"/>
                    </a:xfrm>
                    <a:prstGeom prst="rect">
                      <a:avLst/>
                    </a:prstGeom>
                    <a:noFill/>
                    <a:ln>
                      <a:noFill/>
                    </a:ln>
                  </pic:spPr>
                </pic:pic>
              </a:graphicData>
            </a:graphic>
          </wp:inline>
        </w:drawing>
      </w:r>
    </w:p>
    <w:p>
      <w:pPr>
        <w:rPr>
          <w:noProof/>
          <w:sz w:val="20"/>
          <w:szCs w:val="20"/>
        </w:rPr>
      </w:pPr>
      <w:r>
        <w:rPr>
          <w:noProof/>
          <w:sz w:val="20"/>
        </w:rPr>
        <w:t>* Tato tabulka uvádí pouze provozní výdaje podle hlavy 3</w:t>
      </w:r>
      <w:r>
        <w:rPr>
          <w:noProof/>
        </w:rPr>
        <w:tab/>
      </w:r>
    </w:p>
    <w:p>
      <w:pPr>
        <w:rPr>
          <w:noProof/>
          <w:sz w:val="20"/>
          <w:szCs w:val="20"/>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Odhadovaný dopad na prostředky správní povahy</w:t>
      </w:r>
    </w:p>
    <w:p>
      <w:pPr>
        <w:pStyle w:val="ManualHeading4"/>
        <w:rPr>
          <w:noProof/>
        </w:rPr>
      </w:pPr>
      <w:r>
        <w:rPr>
          <w:noProof/>
        </w:rPr>
        <w:t>3.2.3.1.</w:t>
      </w:r>
      <w:r>
        <w:rPr>
          <w:noProof/>
        </w:rPr>
        <w:tab/>
        <w:t xml:space="preserve">Shrnutí </w:t>
      </w:r>
    </w:p>
    <w:p>
      <w:pPr>
        <w:pStyle w:val="ListDash1"/>
        <w:tabs>
          <w:tab w:val="clear" w:pos="1134"/>
          <w:tab w:val="num" w:pos="992"/>
        </w:tabs>
        <w:ind w:left="992"/>
        <w:rPr>
          <w:noProof/>
        </w:rPr>
      </w:pPr>
      <w:r>
        <w:rPr>
          <w:noProof/>
        </w:rPr>
        <w:sym w:font="Wingdings" w:char="F0A8"/>
      </w:r>
      <w:r>
        <w:rPr>
          <w:noProof/>
        </w:rPr>
        <w:tab/>
        <w:t xml:space="preserve">Návrh nevyžaduje využití prostředků správní povahy </w:t>
      </w:r>
    </w:p>
    <w:p>
      <w:pPr>
        <w:pStyle w:val="ListDash1"/>
        <w:tabs>
          <w:tab w:val="clear" w:pos="1134"/>
          <w:tab w:val="num" w:pos="992"/>
        </w:tabs>
        <w:ind w:left="992"/>
        <w:rPr>
          <w:noProof/>
        </w:rPr>
      </w:pPr>
      <w:r>
        <w:rPr>
          <w:noProof/>
        </w:rPr>
        <w:sym w:font="Wingdings" w:char="F0FE"/>
      </w:r>
      <w:r>
        <w:rPr>
          <w:noProof/>
        </w:rPr>
        <w:tab/>
        <w:t>Návrh vyžaduje využití prostředků správní povahy, jak je vysvětleno dále:</w:t>
      </w:r>
    </w:p>
    <w:p>
      <w:pPr>
        <w:rPr>
          <w:noProof/>
          <w:sz w:val="20"/>
        </w:rPr>
      </w:pPr>
    </w:p>
    <w:p>
      <w:pPr>
        <w:rPr>
          <w:noProof/>
          <w:sz w:val="20"/>
        </w:rPr>
      </w:pPr>
      <w:r>
        <w:rPr>
          <w:noProof/>
          <w:sz w:val="20"/>
        </w:rPr>
        <w:t>Požadovaný počet pracovníků agentury zůstává podle požadavku původního návrhu Komise ze dne 4. května 2016, tj. postupné zvýšení na 500 ekvivalentů plného pracovního úvazku v roce 2020.</w:t>
      </w:r>
    </w:p>
    <w:p>
      <w:pPr>
        <w:rPr>
          <w:noProof/>
          <w:sz w:val="20"/>
        </w:rPr>
      </w:pPr>
      <w:r>
        <w:rPr>
          <w:noProof/>
          <w:sz w:val="20"/>
        </w:rPr>
        <w:t>v milionech EUR (zaokrouhleno na tři desetinná místa)</w:t>
      </w:r>
    </w:p>
    <w:tbl>
      <w:tblPr>
        <w:tblW w:w="73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4"/>
        <w:gridCol w:w="758"/>
        <w:gridCol w:w="1516"/>
        <w:gridCol w:w="758"/>
        <w:gridCol w:w="760"/>
        <w:gridCol w:w="1520"/>
      </w:tblGrid>
      <w:tr>
        <w:trPr>
          <w:trHeight w:val="585"/>
          <w:jc w:val="center"/>
        </w:trPr>
        <w:tc>
          <w:tcPr>
            <w:tcW w:w="1316" w:type="dxa"/>
          </w:tcPr>
          <w:p>
            <w:pPr>
              <w:spacing w:before="60" w:after="60"/>
              <w:rPr>
                <w:b/>
                <w:noProof/>
                <w:sz w:val="20"/>
              </w:rPr>
            </w:pPr>
            <w:r>
              <w:rPr>
                <w:b/>
                <w:noProof/>
                <w:sz w:val="20"/>
              </w:rPr>
              <w:t>Lidské zdroje (*)</w:t>
            </w:r>
          </w:p>
        </w:tc>
        <w:tc>
          <w:tcPr>
            <w:tcW w:w="758" w:type="dxa"/>
            <w:vAlign w:val="center"/>
          </w:tcPr>
          <w:p>
            <w:pPr>
              <w:spacing w:before="60" w:after="60"/>
              <w:jc w:val="center"/>
              <w:rPr>
                <w:b/>
                <w:noProof/>
                <w:sz w:val="20"/>
              </w:rPr>
            </w:pPr>
            <w:r>
              <w:rPr>
                <w:b/>
                <w:noProof/>
                <w:sz w:val="20"/>
              </w:rPr>
              <w:t>2018</w:t>
            </w:r>
          </w:p>
        </w:tc>
        <w:tc>
          <w:tcPr>
            <w:tcW w:w="1516" w:type="dxa"/>
            <w:vAlign w:val="center"/>
          </w:tcPr>
          <w:p>
            <w:pPr>
              <w:spacing w:before="60" w:after="60"/>
              <w:jc w:val="center"/>
              <w:rPr>
                <w:b/>
                <w:noProof/>
                <w:sz w:val="20"/>
              </w:rPr>
            </w:pPr>
            <w:r>
              <w:rPr>
                <w:b/>
                <w:noProof/>
                <w:sz w:val="20"/>
              </w:rPr>
              <w:t xml:space="preserve">2019 </w:t>
            </w:r>
          </w:p>
        </w:tc>
        <w:tc>
          <w:tcPr>
            <w:tcW w:w="758" w:type="dxa"/>
            <w:vAlign w:val="center"/>
          </w:tcPr>
          <w:p>
            <w:pPr>
              <w:spacing w:before="60" w:after="60"/>
              <w:jc w:val="center"/>
              <w:rPr>
                <w:b/>
                <w:noProof/>
                <w:sz w:val="20"/>
              </w:rPr>
            </w:pPr>
            <w:r>
              <w:rPr>
                <w:b/>
                <w:noProof/>
                <w:sz w:val="20"/>
              </w:rPr>
              <w:t>2020</w:t>
            </w:r>
          </w:p>
        </w:tc>
        <w:tc>
          <w:tcPr>
            <w:tcW w:w="760" w:type="dxa"/>
          </w:tcPr>
          <w:p>
            <w:pPr>
              <w:spacing w:before="60" w:after="60"/>
              <w:jc w:val="center"/>
              <w:rPr>
                <w:b/>
                <w:noProof/>
                <w:sz w:val="20"/>
              </w:rPr>
            </w:pPr>
            <w:r>
              <w:rPr>
                <w:b/>
                <w:noProof/>
                <w:sz w:val="20"/>
              </w:rPr>
              <w:t>2021–2027</w:t>
            </w:r>
          </w:p>
        </w:tc>
        <w:tc>
          <w:tcPr>
            <w:tcW w:w="1520" w:type="dxa"/>
            <w:vAlign w:val="center"/>
          </w:tcPr>
          <w:p>
            <w:pPr>
              <w:spacing w:before="60" w:after="60"/>
              <w:jc w:val="center"/>
              <w:rPr>
                <w:b/>
                <w:noProof/>
                <w:sz w:val="20"/>
              </w:rPr>
            </w:pPr>
            <w:r>
              <w:rPr>
                <w:b/>
                <w:noProof/>
                <w:sz w:val="20"/>
              </w:rPr>
              <w:t>CELKEM</w:t>
            </w:r>
          </w:p>
        </w:tc>
      </w:tr>
      <w:tr>
        <w:trPr>
          <w:trHeight w:val="585"/>
          <w:jc w:val="center"/>
        </w:trPr>
        <w:tc>
          <w:tcPr>
            <w:tcW w:w="2074" w:type="dxa"/>
            <w:shd w:val="clear" w:color="auto" w:fill="CCCCCC"/>
            <w:vAlign w:val="center"/>
          </w:tcPr>
          <w:p>
            <w:pPr>
              <w:spacing w:before="60" w:after="60"/>
              <w:jc w:val="center"/>
              <w:rPr>
                <w:noProof/>
                <w:sz w:val="18"/>
              </w:rPr>
            </w:pPr>
            <w:r>
              <w:rPr>
                <w:noProof/>
                <w:sz w:val="18"/>
              </w:rPr>
              <w:t>C(2013) 519 – základní hodnota</w:t>
            </w:r>
          </w:p>
        </w:tc>
        <w:tc>
          <w:tcPr>
            <w:tcW w:w="758" w:type="dxa"/>
            <w:vAlign w:val="center"/>
          </w:tcPr>
          <w:p>
            <w:pPr>
              <w:spacing w:before="60" w:after="60"/>
              <w:jc w:val="center"/>
              <w:rPr>
                <w:b/>
                <w:noProof/>
                <w:color w:val="000000"/>
              </w:rPr>
            </w:pPr>
            <w:r>
              <w:rPr>
                <w:b/>
                <w:noProof/>
                <w:color w:val="000000"/>
                <w:sz w:val="22"/>
              </w:rPr>
              <w:t>51</w:t>
            </w:r>
          </w:p>
        </w:tc>
        <w:tc>
          <w:tcPr>
            <w:tcW w:w="1516" w:type="dxa"/>
            <w:vAlign w:val="center"/>
          </w:tcPr>
          <w:p>
            <w:pPr>
              <w:spacing w:before="60" w:after="60"/>
              <w:jc w:val="center"/>
              <w:rPr>
                <w:b/>
                <w:noProof/>
                <w:color w:val="000000"/>
              </w:rPr>
            </w:pPr>
            <w:r>
              <w:rPr>
                <w:b/>
                <w:noProof/>
                <w:color w:val="000000"/>
                <w:sz w:val="22"/>
              </w:rPr>
              <w:t>51</w:t>
            </w:r>
          </w:p>
        </w:tc>
        <w:tc>
          <w:tcPr>
            <w:tcW w:w="758" w:type="dxa"/>
            <w:vAlign w:val="center"/>
          </w:tcPr>
          <w:p>
            <w:pPr>
              <w:spacing w:before="60" w:after="60"/>
              <w:jc w:val="center"/>
              <w:rPr>
                <w:b/>
                <w:noProof/>
                <w:color w:val="000000"/>
              </w:rPr>
            </w:pPr>
            <w:r>
              <w:rPr>
                <w:b/>
                <w:noProof/>
                <w:color w:val="000000"/>
                <w:sz w:val="22"/>
              </w:rPr>
              <w:t>51</w:t>
            </w:r>
          </w:p>
        </w:tc>
        <w:tc>
          <w:tcPr>
            <w:tcW w:w="760" w:type="dxa"/>
            <w:vAlign w:val="center"/>
          </w:tcPr>
          <w:p>
            <w:pPr>
              <w:spacing w:before="60" w:after="60"/>
              <w:jc w:val="center"/>
              <w:rPr>
                <w:b/>
                <w:noProof/>
                <w:color w:val="000000"/>
              </w:rPr>
            </w:pPr>
            <w:r>
              <w:rPr>
                <w:b/>
                <w:noProof/>
                <w:color w:val="000000"/>
                <w:sz w:val="22"/>
              </w:rPr>
              <w:t>51</w:t>
            </w:r>
          </w:p>
        </w:tc>
        <w:tc>
          <w:tcPr>
            <w:tcW w:w="1520" w:type="dxa"/>
            <w:vAlign w:val="center"/>
          </w:tcPr>
          <w:p>
            <w:pPr>
              <w:spacing w:before="60" w:after="60"/>
              <w:jc w:val="center"/>
              <w:rPr>
                <w:b/>
                <w:noProof/>
                <w:sz w:val="20"/>
              </w:rPr>
            </w:pPr>
            <w:r>
              <w:rPr>
                <w:b/>
                <w:noProof/>
                <w:color w:val="000000"/>
                <w:sz w:val="22"/>
              </w:rPr>
              <w:t>51</w:t>
            </w:r>
          </w:p>
        </w:tc>
      </w:tr>
      <w:tr>
        <w:trPr>
          <w:trHeight w:val="585"/>
          <w:jc w:val="center"/>
        </w:trPr>
        <w:tc>
          <w:tcPr>
            <w:tcW w:w="2074" w:type="dxa"/>
            <w:shd w:val="clear" w:color="auto" w:fill="FFFFFF"/>
            <w:vAlign w:val="center"/>
          </w:tcPr>
          <w:p>
            <w:pPr>
              <w:spacing w:before="60" w:after="60"/>
              <w:jc w:val="center"/>
              <w:rPr>
                <w:noProof/>
                <w:sz w:val="18"/>
              </w:rPr>
            </w:pPr>
            <w:r>
              <w:rPr>
                <w:noProof/>
                <w:sz w:val="18"/>
              </w:rPr>
              <w:t xml:space="preserve">Změny </w:t>
            </w:r>
          </w:p>
        </w:tc>
        <w:tc>
          <w:tcPr>
            <w:tcW w:w="758" w:type="dxa"/>
            <w:shd w:val="clear" w:color="auto" w:fill="FFFFFF"/>
            <w:vAlign w:val="center"/>
          </w:tcPr>
          <w:p>
            <w:pPr>
              <w:jc w:val="center"/>
              <w:rPr>
                <w:noProof/>
                <w:color w:val="000000"/>
              </w:rPr>
            </w:pPr>
            <w:r>
              <w:rPr>
                <w:noProof/>
                <w:color w:val="000000"/>
                <w:sz w:val="22"/>
              </w:rPr>
              <w:t>40</w:t>
            </w:r>
          </w:p>
        </w:tc>
        <w:tc>
          <w:tcPr>
            <w:tcW w:w="1516" w:type="dxa"/>
            <w:shd w:val="clear" w:color="auto" w:fill="FFFFFF"/>
            <w:vAlign w:val="center"/>
          </w:tcPr>
          <w:p>
            <w:pPr>
              <w:jc w:val="center"/>
              <w:rPr>
                <w:noProof/>
                <w:color w:val="000000"/>
                <w:sz w:val="22"/>
              </w:rPr>
            </w:pPr>
            <w:r>
              <w:rPr>
                <w:noProof/>
                <w:color w:val="000000"/>
                <w:sz w:val="22"/>
              </w:rPr>
              <w:t>40</w:t>
            </w:r>
          </w:p>
        </w:tc>
        <w:tc>
          <w:tcPr>
            <w:tcW w:w="758" w:type="dxa"/>
            <w:shd w:val="clear" w:color="auto" w:fill="FFFFFF"/>
            <w:vAlign w:val="center"/>
          </w:tcPr>
          <w:p>
            <w:pPr>
              <w:jc w:val="center"/>
              <w:rPr>
                <w:noProof/>
                <w:color w:val="000000"/>
              </w:rPr>
            </w:pPr>
            <w:r>
              <w:rPr>
                <w:noProof/>
                <w:color w:val="000000"/>
                <w:sz w:val="22"/>
              </w:rPr>
              <w:t>40</w:t>
            </w:r>
          </w:p>
        </w:tc>
        <w:tc>
          <w:tcPr>
            <w:tcW w:w="760" w:type="dxa"/>
            <w:shd w:val="clear" w:color="auto" w:fill="FFFFFF"/>
            <w:vAlign w:val="center"/>
          </w:tcPr>
          <w:p>
            <w:pPr>
              <w:jc w:val="center"/>
              <w:rPr>
                <w:noProof/>
                <w:color w:val="000000"/>
                <w:sz w:val="22"/>
              </w:rPr>
            </w:pPr>
            <w:r>
              <w:rPr>
                <w:noProof/>
                <w:color w:val="000000"/>
                <w:sz w:val="22"/>
              </w:rPr>
              <w:t>40</w:t>
            </w:r>
          </w:p>
        </w:tc>
        <w:tc>
          <w:tcPr>
            <w:tcW w:w="1520" w:type="dxa"/>
            <w:shd w:val="clear" w:color="auto" w:fill="FFFFFF"/>
            <w:vAlign w:val="center"/>
          </w:tcPr>
          <w:p>
            <w:pPr>
              <w:jc w:val="center"/>
              <w:rPr>
                <w:noProof/>
                <w:color w:val="000000"/>
              </w:rPr>
            </w:pPr>
            <w:r>
              <w:rPr>
                <w:noProof/>
                <w:color w:val="000000"/>
                <w:sz w:val="22"/>
              </w:rPr>
              <w:t>40</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Změněná základní hodnota</w:t>
            </w:r>
          </w:p>
        </w:tc>
        <w:tc>
          <w:tcPr>
            <w:tcW w:w="758" w:type="dxa"/>
            <w:vAlign w:val="center"/>
          </w:tcPr>
          <w:p>
            <w:pPr>
              <w:spacing w:before="60" w:after="60"/>
              <w:jc w:val="center"/>
              <w:rPr>
                <w:noProof/>
                <w:color w:val="000000"/>
              </w:rPr>
            </w:pPr>
            <w:r>
              <w:rPr>
                <w:noProof/>
                <w:color w:val="000000"/>
                <w:sz w:val="22"/>
              </w:rPr>
              <w:t>91</w:t>
            </w:r>
          </w:p>
        </w:tc>
        <w:tc>
          <w:tcPr>
            <w:tcW w:w="1516" w:type="dxa"/>
            <w:vAlign w:val="center"/>
          </w:tcPr>
          <w:p>
            <w:pPr>
              <w:spacing w:before="60" w:after="60"/>
              <w:jc w:val="center"/>
              <w:rPr>
                <w:noProof/>
                <w:color w:val="000000"/>
              </w:rPr>
            </w:pPr>
            <w:r>
              <w:rPr>
                <w:noProof/>
                <w:color w:val="000000"/>
                <w:sz w:val="22"/>
              </w:rPr>
              <w:t>91</w:t>
            </w:r>
          </w:p>
        </w:tc>
        <w:tc>
          <w:tcPr>
            <w:tcW w:w="758" w:type="dxa"/>
            <w:vAlign w:val="center"/>
          </w:tcPr>
          <w:p>
            <w:pPr>
              <w:spacing w:before="60" w:after="60"/>
              <w:jc w:val="center"/>
              <w:rPr>
                <w:noProof/>
                <w:color w:val="000000"/>
              </w:rPr>
            </w:pPr>
            <w:r>
              <w:rPr>
                <w:noProof/>
                <w:color w:val="000000"/>
                <w:sz w:val="22"/>
              </w:rPr>
              <w:t>91</w:t>
            </w:r>
          </w:p>
        </w:tc>
        <w:tc>
          <w:tcPr>
            <w:tcW w:w="760" w:type="dxa"/>
            <w:vAlign w:val="center"/>
          </w:tcPr>
          <w:p>
            <w:pPr>
              <w:spacing w:before="60" w:after="60"/>
              <w:jc w:val="center"/>
              <w:rPr>
                <w:noProof/>
                <w:color w:val="000000"/>
              </w:rPr>
            </w:pPr>
            <w:r>
              <w:rPr>
                <w:noProof/>
                <w:color w:val="000000"/>
                <w:sz w:val="22"/>
              </w:rPr>
              <w:t>91</w:t>
            </w:r>
          </w:p>
        </w:tc>
        <w:tc>
          <w:tcPr>
            <w:tcW w:w="1520" w:type="dxa"/>
            <w:vAlign w:val="center"/>
          </w:tcPr>
          <w:p>
            <w:pPr>
              <w:spacing w:before="60" w:after="60"/>
              <w:jc w:val="center"/>
              <w:rPr>
                <w:noProof/>
                <w:color w:val="000000"/>
                <w:sz w:val="22"/>
              </w:rPr>
            </w:pPr>
            <w:r>
              <w:rPr>
                <w:noProof/>
                <w:color w:val="000000"/>
                <w:sz w:val="22"/>
              </w:rPr>
              <w:t>91</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Požadovaná dodatečná pracovní místa*</w:t>
            </w:r>
          </w:p>
        </w:tc>
        <w:tc>
          <w:tcPr>
            <w:tcW w:w="758" w:type="dxa"/>
            <w:vAlign w:val="center"/>
          </w:tcPr>
          <w:p>
            <w:pPr>
              <w:spacing w:before="60" w:after="60"/>
              <w:jc w:val="center"/>
              <w:rPr>
                <w:noProof/>
                <w:color w:val="000000"/>
              </w:rPr>
            </w:pPr>
            <w:r>
              <w:rPr>
                <w:noProof/>
                <w:color w:val="000000"/>
                <w:sz w:val="22"/>
              </w:rPr>
              <w:t>59</w:t>
            </w:r>
          </w:p>
        </w:tc>
        <w:tc>
          <w:tcPr>
            <w:tcW w:w="1516" w:type="dxa"/>
            <w:vAlign w:val="center"/>
          </w:tcPr>
          <w:p>
            <w:pPr>
              <w:spacing w:before="60" w:after="60"/>
              <w:jc w:val="center"/>
              <w:rPr>
                <w:noProof/>
                <w:color w:val="000000"/>
              </w:rPr>
            </w:pPr>
            <w:r>
              <w:rPr>
                <w:noProof/>
                <w:color w:val="000000"/>
                <w:sz w:val="22"/>
              </w:rPr>
              <w:t>70</w:t>
            </w:r>
          </w:p>
        </w:tc>
        <w:tc>
          <w:tcPr>
            <w:tcW w:w="758" w:type="dxa"/>
            <w:vAlign w:val="center"/>
          </w:tcPr>
          <w:p>
            <w:pPr>
              <w:spacing w:before="60" w:after="60"/>
              <w:jc w:val="center"/>
              <w:rPr>
                <w:noProof/>
                <w:color w:val="000000"/>
              </w:rPr>
            </w:pPr>
            <w:r>
              <w:rPr>
                <w:noProof/>
                <w:color w:val="000000"/>
                <w:sz w:val="22"/>
              </w:rPr>
              <w:t>82</w:t>
            </w:r>
          </w:p>
        </w:tc>
        <w:tc>
          <w:tcPr>
            <w:tcW w:w="760" w:type="dxa"/>
            <w:vAlign w:val="center"/>
          </w:tcPr>
          <w:p>
            <w:pPr>
              <w:spacing w:before="60" w:after="60"/>
              <w:jc w:val="center"/>
              <w:rPr>
                <w:noProof/>
                <w:color w:val="000000"/>
              </w:rPr>
            </w:pPr>
            <w:r>
              <w:rPr>
                <w:noProof/>
                <w:color w:val="000000"/>
                <w:sz w:val="22"/>
              </w:rPr>
              <w:t>0</w:t>
            </w:r>
          </w:p>
        </w:tc>
        <w:tc>
          <w:tcPr>
            <w:tcW w:w="1520" w:type="dxa"/>
            <w:vAlign w:val="center"/>
          </w:tcPr>
          <w:p>
            <w:pPr>
              <w:spacing w:before="60" w:after="60"/>
              <w:jc w:val="center"/>
              <w:rPr>
                <w:noProof/>
                <w:color w:val="000000"/>
                <w:sz w:val="22"/>
              </w:rPr>
            </w:pPr>
            <w:r>
              <w:rPr>
                <w:noProof/>
                <w:color w:val="000000"/>
                <w:sz w:val="22"/>
              </w:rPr>
              <w:t>0</w:t>
            </w:r>
          </w:p>
        </w:tc>
      </w:tr>
      <w:tr>
        <w:trPr>
          <w:trHeight w:val="585"/>
          <w:jc w:val="center"/>
        </w:trPr>
        <w:tc>
          <w:tcPr>
            <w:tcW w:w="2074" w:type="dxa"/>
            <w:shd w:val="clear" w:color="auto" w:fill="CCCCCC"/>
            <w:vAlign w:val="center"/>
          </w:tcPr>
          <w:p>
            <w:pPr>
              <w:spacing w:before="60" w:after="60"/>
              <w:jc w:val="center"/>
              <w:rPr>
                <w:b/>
                <w:noProof/>
                <w:sz w:val="18"/>
              </w:rPr>
            </w:pPr>
            <w:r>
              <w:rPr>
                <w:b/>
                <w:noProof/>
                <w:sz w:val="18"/>
              </w:rPr>
              <w:t xml:space="preserve">Pracovní místa podle plánu pracovních míst </w:t>
            </w:r>
          </w:p>
        </w:tc>
        <w:tc>
          <w:tcPr>
            <w:tcW w:w="758" w:type="dxa"/>
          </w:tcPr>
          <w:p>
            <w:pPr>
              <w:spacing w:before="60" w:after="60"/>
              <w:jc w:val="center"/>
              <w:rPr>
                <w:b/>
                <w:noProof/>
                <w:color w:val="000000"/>
              </w:rPr>
            </w:pPr>
            <w:r>
              <w:rPr>
                <w:b/>
                <w:noProof/>
              </w:rPr>
              <w:t>214</w:t>
            </w:r>
          </w:p>
        </w:tc>
        <w:tc>
          <w:tcPr>
            <w:tcW w:w="1516" w:type="dxa"/>
          </w:tcPr>
          <w:p>
            <w:pPr>
              <w:spacing w:before="60" w:after="60"/>
              <w:jc w:val="center"/>
              <w:rPr>
                <w:b/>
                <w:noProof/>
                <w:color w:val="000000"/>
              </w:rPr>
            </w:pPr>
            <w:r>
              <w:rPr>
                <w:b/>
                <w:noProof/>
              </w:rPr>
              <w:t>284</w:t>
            </w:r>
          </w:p>
        </w:tc>
        <w:tc>
          <w:tcPr>
            <w:tcW w:w="758" w:type="dxa"/>
          </w:tcPr>
          <w:p>
            <w:pPr>
              <w:spacing w:before="60" w:after="60"/>
              <w:jc w:val="center"/>
              <w:rPr>
                <w:b/>
                <w:noProof/>
                <w:color w:val="000000"/>
              </w:rPr>
            </w:pPr>
            <w:r>
              <w:rPr>
                <w:b/>
                <w:noProof/>
              </w:rPr>
              <w:t>366</w:t>
            </w:r>
          </w:p>
        </w:tc>
        <w:tc>
          <w:tcPr>
            <w:tcW w:w="760" w:type="dxa"/>
          </w:tcPr>
          <w:p>
            <w:pPr>
              <w:spacing w:before="60" w:after="60"/>
              <w:jc w:val="center"/>
              <w:rPr>
                <w:b/>
                <w:noProof/>
                <w:color w:val="000000"/>
              </w:rPr>
            </w:pPr>
            <w:r>
              <w:rPr>
                <w:b/>
                <w:noProof/>
              </w:rPr>
              <w:t>366</w:t>
            </w:r>
          </w:p>
        </w:tc>
        <w:tc>
          <w:tcPr>
            <w:tcW w:w="1520" w:type="dxa"/>
          </w:tcPr>
          <w:p>
            <w:pPr>
              <w:spacing w:before="60" w:after="60"/>
              <w:jc w:val="center"/>
              <w:rPr>
                <w:b/>
                <w:noProof/>
                <w:color w:val="000000"/>
                <w:sz w:val="22"/>
              </w:rPr>
            </w:pPr>
            <w:r>
              <w:rPr>
                <w:b/>
                <w:noProof/>
              </w:rPr>
              <w:t>366</w:t>
            </w:r>
          </w:p>
        </w:tc>
      </w:tr>
      <w:tr>
        <w:trPr>
          <w:trHeight w:val="585"/>
          <w:jc w:val="center"/>
        </w:trPr>
        <w:tc>
          <w:tcPr>
            <w:tcW w:w="2074" w:type="dxa"/>
            <w:shd w:val="clear" w:color="auto" w:fill="FFFFFF"/>
            <w:vAlign w:val="center"/>
          </w:tcPr>
          <w:p>
            <w:pPr>
              <w:spacing w:before="60" w:after="60"/>
              <w:jc w:val="center"/>
              <w:rPr>
                <w:noProof/>
              </w:rPr>
            </w:pPr>
            <w:r>
              <w:rPr>
                <w:noProof/>
                <w:sz w:val="18"/>
              </w:rPr>
              <w:t>Z toho AD</w:t>
            </w:r>
          </w:p>
        </w:tc>
        <w:tc>
          <w:tcPr>
            <w:tcW w:w="758" w:type="dxa"/>
            <w:shd w:val="clear" w:color="auto" w:fill="FFFFFF"/>
          </w:tcPr>
          <w:p>
            <w:pPr>
              <w:spacing w:before="60" w:after="60"/>
              <w:jc w:val="center"/>
              <w:rPr>
                <w:noProof/>
                <w:color w:val="000000"/>
              </w:rPr>
            </w:pPr>
            <w:r>
              <w:rPr>
                <w:noProof/>
              </w:rPr>
              <w:t>135</w:t>
            </w:r>
          </w:p>
        </w:tc>
        <w:tc>
          <w:tcPr>
            <w:tcW w:w="1516" w:type="dxa"/>
            <w:shd w:val="clear" w:color="auto" w:fill="FFFFFF"/>
          </w:tcPr>
          <w:p>
            <w:pPr>
              <w:spacing w:before="60" w:after="60"/>
              <w:jc w:val="center"/>
              <w:rPr>
                <w:noProof/>
                <w:color w:val="000000"/>
              </w:rPr>
            </w:pPr>
            <w:r>
              <w:rPr>
                <w:noProof/>
              </w:rPr>
              <w:t>179</w:t>
            </w:r>
          </w:p>
        </w:tc>
        <w:tc>
          <w:tcPr>
            <w:tcW w:w="758" w:type="dxa"/>
            <w:shd w:val="clear" w:color="auto" w:fill="FFFFFF"/>
          </w:tcPr>
          <w:p>
            <w:pPr>
              <w:spacing w:before="60" w:after="60"/>
              <w:jc w:val="center"/>
              <w:rPr>
                <w:noProof/>
                <w:color w:val="000000"/>
              </w:rPr>
            </w:pPr>
            <w:r>
              <w:rPr>
                <w:noProof/>
              </w:rPr>
              <w:t>231</w:t>
            </w:r>
          </w:p>
        </w:tc>
        <w:tc>
          <w:tcPr>
            <w:tcW w:w="760" w:type="dxa"/>
            <w:shd w:val="clear" w:color="auto" w:fill="FFFFFF"/>
          </w:tcPr>
          <w:p>
            <w:pPr>
              <w:spacing w:before="60" w:after="60"/>
              <w:jc w:val="center"/>
              <w:rPr>
                <w:noProof/>
                <w:color w:val="000000"/>
              </w:rPr>
            </w:pPr>
            <w:r>
              <w:rPr>
                <w:noProof/>
              </w:rPr>
              <w:t>231</w:t>
            </w:r>
          </w:p>
        </w:tc>
        <w:tc>
          <w:tcPr>
            <w:tcW w:w="1520" w:type="dxa"/>
            <w:shd w:val="clear" w:color="auto" w:fill="FFFFFF"/>
          </w:tcPr>
          <w:p>
            <w:pPr>
              <w:spacing w:before="60" w:after="60"/>
              <w:jc w:val="center"/>
              <w:rPr>
                <w:noProof/>
                <w:color w:val="000000"/>
                <w:sz w:val="22"/>
              </w:rPr>
            </w:pPr>
            <w:r>
              <w:rPr>
                <w:noProof/>
              </w:rPr>
              <w:t>231</w:t>
            </w:r>
          </w:p>
        </w:tc>
      </w:tr>
      <w:tr>
        <w:trPr>
          <w:trHeight w:val="585"/>
          <w:jc w:val="center"/>
        </w:trPr>
        <w:tc>
          <w:tcPr>
            <w:tcW w:w="2074" w:type="dxa"/>
            <w:vAlign w:val="center"/>
          </w:tcPr>
          <w:p>
            <w:pPr>
              <w:spacing w:before="60" w:after="60"/>
              <w:ind w:left="72"/>
              <w:rPr>
                <w:noProof/>
              </w:rPr>
            </w:pPr>
            <w:r>
              <w:rPr>
                <w:noProof/>
                <w:sz w:val="20"/>
              </w:rPr>
              <w:t>Z toho AST</w:t>
            </w:r>
          </w:p>
        </w:tc>
        <w:tc>
          <w:tcPr>
            <w:tcW w:w="758" w:type="dxa"/>
          </w:tcPr>
          <w:p>
            <w:pPr>
              <w:spacing w:before="60" w:after="60"/>
              <w:jc w:val="center"/>
              <w:rPr>
                <w:noProof/>
                <w:color w:val="000000"/>
              </w:rPr>
            </w:pPr>
            <w:r>
              <w:rPr>
                <w:noProof/>
              </w:rPr>
              <w:t>79</w:t>
            </w:r>
          </w:p>
        </w:tc>
        <w:tc>
          <w:tcPr>
            <w:tcW w:w="1516" w:type="dxa"/>
          </w:tcPr>
          <w:p>
            <w:pPr>
              <w:spacing w:before="60" w:after="60"/>
              <w:jc w:val="center"/>
              <w:rPr>
                <w:noProof/>
                <w:color w:val="000000"/>
              </w:rPr>
            </w:pPr>
            <w:r>
              <w:rPr>
                <w:noProof/>
              </w:rPr>
              <w:t>105</w:t>
            </w:r>
          </w:p>
        </w:tc>
        <w:tc>
          <w:tcPr>
            <w:tcW w:w="758" w:type="dxa"/>
          </w:tcPr>
          <w:p>
            <w:pPr>
              <w:spacing w:before="60" w:after="60"/>
              <w:jc w:val="center"/>
              <w:rPr>
                <w:noProof/>
                <w:color w:val="000000"/>
              </w:rPr>
            </w:pPr>
            <w:r>
              <w:rPr>
                <w:noProof/>
              </w:rPr>
              <w:t>135</w:t>
            </w:r>
          </w:p>
        </w:tc>
        <w:tc>
          <w:tcPr>
            <w:tcW w:w="760" w:type="dxa"/>
          </w:tcPr>
          <w:p>
            <w:pPr>
              <w:spacing w:before="60" w:after="60"/>
              <w:jc w:val="center"/>
              <w:rPr>
                <w:noProof/>
                <w:color w:val="000000"/>
              </w:rPr>
            </w:pPr>
            <w:r>
              <w:rPr>
                <w:noProof/>
              </w:rPr>
              <w:t>135</w:t>
            </w:r>
          </w:p>
        </w:tc>
        <w:tc>
          <w:tcPr>
            <w:tcW w:w="1520" w:type="dxa"/>
          </w:tcPr>
          <w:p>
            <w:pPr>
              <w:spacing w:before="60" w:after="60"/>
              <w:jc w:val="center"/>
              <w:rPr>
                <w:noProof/>
                <w:color w:val="000000"/>
                <w:sz w:val="22"/>
              </w:rPr>
            </w:pPr>
            <w:r>
              <w:rPr>
                <w:noProof/>
              </w:rPr>
              <w:t>135</w:t>
            </w:r>
          </w:p>
        </w:tc>
      </w:tr>
      <w:tr>
        <w:trPr>
          <w:trHeight w:val="585"/>
          <w:jc w:val="center"/>
        </w:trPr>
        <w:tc>
          <w:tcPr>
            <w:tcW w:w="2074" w:type="dxa"/>
            <w:shd w:val="clear" w:color="auto" w:fill="CCCCCC"/>
            <w:vAlign w:val="center"/>
          </w:tcPr>
          <w:p>
            <w:pPr>
              <w:spacing w:before="60" w:after="60"/>
              <w:jc w:val="center"/>
              <w:rPr>
                <w:b/>
                <w:noProof/>
              </w:rPr>
            </w:pPr>
            <w:r>
              <w:rPr>
                <w:b/>
                <w:noProof/>
                <w:sz w:val="18"/>
              </w:rPr>
              <w:t xml:space="preserve">Externí pracovníci (ekvivalent plného pracovního úvazku) </w:t>
            </w:r>
          </w:p>
        </w:tc>
        <w:tc>
          <w:tcPr>
            <w:tcW w:w="758" w:type="dxa"/>
          </w:tcPr>
          <w:p>
            <w:pPr>
              <w:spacing w:before="60" w:after="60"/>
              <w:jc w:val="center"/>
              <w:rPr>
                <w:noProof/>
                <w:color w:val="000000"/>
              </w:rPr>
            </w:pPr>
            <w:r>
              <w:rPr>
                <w:b/>
                <w:noProof/>
              </w:rPr>
              <w:t>83</w:t>
            </w:r>
          </w:p>
        </w:tc>
        <w:tc>
          <w:tcPr>
            <w:tcW w:w="1516" w:type="dxa"/>
          </w:tcPr>
          <w:p>
            <w:pPr>
              <w:spacing w:before="60" w:after="60"/>
              <w:jc w:val="center"/>
              <w:rPr>
                <w:noProof/>
                <w:color w:val="000000"/>
              </w:rPr>
            </w:pPr>
            <w:r>
              <w:rPr>
                <w:b/>
                <w:noProof/>
              </w:rPr>
              <w:t>106</w:t>
            </w:r>
          </w:p>
        </w:tc>
        <w:tc>
          <w:tcPr>
            <w:tcW w:w="758" w:type="dxa"/>
          </w:tcPr>
          <w:p>
            <w:pPr>
              <w:spacing w:before="60" w:after="60"/>
              <w:jc w:val="center"/>
              <w:rPr>
                <w:noProof/>
                <w:color w:val="000000"/>
              </w:rPr>
            </w:pPr>
            <w:r>
              <w:rPr>
                <w:b/>
                <w:noProof/>
              </w:rPr>
              <w:t>134</w:t>
            </w:r>
          </w:p>
        </w:tc>
        <w:tc>
          <w:tcPr>
            <w:tcW w:w="760" w:type="dxa"/>
          </w:tcPr>
          <w:p>
            <w:pPr>
              <w:spacing w:before="60" w:after="60"/>
              <w:jc w:val="center"/>
              <w:rPr>
                <w:noProof/>
                <w:color w:val="000000"/>
              </w:rPr>
            </w:pPr>
            <w:r>
              <w:rPr>
                <w:b/>
                <w:noProof/>
              </w:rPr>
              <w:t>134</w:t>
            </w:r>
          </w:p>
        </w:tc>
        <w:tc>
          <w:tcPr>
            <w:tcW w:w="1520" w:type="dxa"/>
          </w:tcPr>
          <w:p>
            <w:pPr>
              <w:spacing w:before="60" w:after="60"/>
              <w:jc w:val="center"/>
              <w:rPr>
                <w:noProof/>
                <w:color w:val="000000"/>
                <w:sz w:val="22"/>
              </w:rPr>
            </w:pPr>
            <w:r>
              <w:rPr>
                <w:b/>
                <w:noProof/>
              </w:rPr>
              <w:t>134</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Z toho smluvní zaměstnanci</w:t>
            </w:r>
          </w:p>
        </w:tc>
        <w:tc>
          <w:tcPr>
            <w:tcW w:w="758" w:type="dxa"/>
          </w:tcPr>
          <w:p>
            <w:pPr>
              <w:spacing w:before="60" w:after="60"/>
              <w:jc w:val="center"/>
              <w:rPr>
                <w:noProof/>
                <w:color w:val="000000"/>
              </w:rPr>
            </w:pPr>
            <w:r>
              <w:rPr>
                <w:noProof/>
              </w:rPr>
              <w:t>72</w:t>
            </w:r>
          </w:p>
        </w:tc>
        <w:tc>
          <w:tcPr>
            <w:tcW w:w="1516" w:type="dxa"/>
          </w:tcPr>
          <w:p>
            <w:pPr>
              <w:spacing w:before="60" w:after="60"/>
              <w:jc w:val="center"/>
              <w:rPr>
                <w:noProof/>
                <w:color w:val="000000"/>
              </w:rPr>
            </w:pPr>
            <w:r>
              <w:rPr>
                <w:noProof/>
              </w:rPr>
              <w:t>95</w:t>
            </w:r>
          </w:p>
        </w:tc>
        <w:tc>
          <w:tcPr>
            <w:tcW w:w="758" w:type="dxa"/>
          </w:tcPr>
          <w:p>
            <w:pPr>
              <w:spacing w:before="60" w:after="60"/>
              <w:jc w:val="center"/>
              <w:rPr>
                <w:noProof/>
                <w:color w:val="000000"/>
              </w:rPr>
            </w:pPr>
            <w:r>
              <w:rPr>
                <w:noProof/>
              </w:rPr>
              <w:t>123</w:t>
            </w:r>
          </w:p>
        </w:tc>
        <w:tc>
          <w:tcPr>
            <w:tcW w:w="760" w:type="dxa"/>
          </w:tcPr>
          <w:p>
            <w:pPr>
              <w:spacing w:before="60" w:after="60"/>
              <w:jc w:val="center"/>
              <w:rPr>
                <w:noProof/>
                <w:color w:val="000000"/>
              </w:rPr>
            </w:pPr>
            <w:r>
              <w:rPr>
                <w:noProof/>
              </w:rPr>
              <w:t>123</w:t>
            </w:r>
          </w:p>
        </w:tc>
        <w:tc>
          <w:tcPr>
            <w:tcW w:w="1520" w:type="dxa"/>
          </w:tcPr>
          <w:p>
            <w:pPr>
              <w:spacing w:before="60" w:after="60"/>
              <w:jc w:val="center"/>
              <w:rPr>
                <w:noProof/>
                <w:color w:val="000000"/>
                <w:sz w:val="22"/>
              </w:rPr>
            </w:pPr>
            <w:r>
              <w:rPr>
                <w:noProof/>
              </w:rPr>
              <w:t>123</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Z toho vyslaní národní odborníci</w:t>
            </w:r>
          </w:p>
        </w:tc>
        <w:tc>
          <w:tcPr>
            <w:tcW w:w="758" w:type="dxa"/>
          </w:tcPr>
          <w:p>
            <w:pPr>
              <w:spacing w:before="60" w:after="60"/>
              <w:jc w:val="center"/>
              <w:rPr>
                <w:noProof/>
                <w:color w:val="000000"/>
              </w:rPr>
            </w:pPr>
            <w:r>
              <w:rPr>
                <w:noProof/>
              </w:rPr>
              <w:t>11</w:t>
            </w:r>
          </w:p>
        </w:tc>
        <w:tc>
          <w:tcPr>
            <w:tcW w:w="1516" w:type="dxa"/>
          </w:tcPr>
          <w:p>
            <w:pPr>
              <w:spacing w:before="60" w:after="60"/>
              <w:jc w:val="center"/>
              <w:rPr>
                <w:noProof/>
                <w:color w:val="000000"/>
              </w:rPr>
            </w:pPr>
            <w:r>
              <w:rPr>
                <w:noProof/>
              </w:rPr>
              <w:t>11</w:t>
            </w:r>
          </w:p>
        </w:tc>
        <w:tc>
          <w:tcPr>
            <w:tcW w:w="758" w:type="dxa"/>
          </w:tcPr>
          <w:p>
            <w:pPr>
              <w:spacing w:before="60" w:after="60"/>
              <w:jc w:val="center"/>
              <w:rPr>
                <w:noProof/>
                <w:color w:val="000000"/>
              </w:rPr>
            </w:pPr>
            <w:r>
              <w:rPr>
                <w:noProof/>
              </w:rPr>
              <w:t>11</w:t>
            </w:r>
          </w:p>
        </w:tc>
        <w:tc>
          <w:tcPr>
            <w:tcW w:w="760" w:type="dxa"/>
          </w:tcPr>
          <w:p>
            <w:pPr>
              <w:spacing w:before="60" w:after="60"/>
              <w:jc w:val="center"/>
              <w:rPr>
                <w:noProof/>
                <w:color w:val="000000"/>
              </w:rPr>
            </w:pPr>
            <w:r>
              <w:rPr>
                <w:noProof/>
              </w:rPr>
              <w:t>11</w:t>
            </w:r>
          </w:p>
        </w:tc>
        <w:tc>
          <w:tcPr>
            <w:tcW w:w="1520" w:type="dxa"/>
          </w:tcPr>
          <w:p>
            <w:pPr>
              <w:spacing w:before="60" w:after="60"/>
              <w:jc w:val="center"/>
              <w:rPr>
                <w:noProof/>
                <w:color w:val="000000"/>
                <w:sz w:val="22"/>
              </w:rPr>
            </w:pPr>
            <w:r>
              <w:rPr>
                <w:noProof/>
              </w:rPr>
              <w:t>11</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CELKEM</w:t>
            </w:r>
          </w:p>
        </w:tc>
        <w:tc>
          <w:tcPr>
            <w:tcW w:w="758" w:type="dxa"/>
          </w:tcPr>
          <w:p>
            <w:pPr>
              <w:spacing w:before="60" w:after="60"/>
              <w:jc w:val="center"/>
              <w:rPr>
                <w:noProof/>
                <w:color w:val="000000"/>
                <w:sz w:val="22"/>
              </w:rPr>
            </w:pPr>
            <w:r>
              <w:rPr>
                <w:b/>
                <w:noProof/>
              </w:rPr>
              <w:t>297</w:t>
            </w:r>
          </w:p>
        </w:tc>
        <w:tc>
          <w:tcPr>
            <w:tcW w:w="1516" w:type="dxa"/>
          </w:tcPr>
          <w:p>
            <w:pPr>
              <w:spacing w:before="60" w:after="60"/>
              <w:jc w:val="center"/>
              <w:rPr>
                <w:noProof/>
                <w:color w:val="000000"/>
                <w:sz w:val="22"/>
              </w:rPr>
            </w:pPr>
            <w:r>
              <w:rPr>
                <w:b/>
                <w:noProof/>
              </w:rPr>
              <w:t>390</w:t>
            </w:r>
          </w:p>
        </w:tc>
        <w:tc>
          <w:tcPr>
            <w:tcW w:w="758" w:type="dxa"/>
          </w:tcPr>
          <w:p>
            <w:pPr>
              <w:spacing w:before="60" w:after="60"/>
              <w:jc w:val="center"/>
              <w:rPr>
                <w:noProof/>
                <w:color w:val="000000"/>
                <w:sz w:val="22"/>
              </w:rPr>
            </w:pPr>
            <w:r>
              <w:rPr>
                <w:b/>
                <w:noProof/>
              </w:rPr>
              <w:t>500</w:t>
            </w:r>
          </w:p>
        </w:tc>
        <w:tc>
          <w:tcPr>
            <w:tcW w:w="760" w:type="dxa"/>
          </w:tcPr>
          <w:p>
            <w:pPr>
              <w:spacing w:before="60" w:after="60"/>
              <w:jc w:val="center"/>
              <w:rPr>
                <w:noProof/>
                <w:color w:val="000000"/>
                <w:sz w:val="22"/>
              </w:rPr>
            </w:pPr>
            <w:r>
              <w:rPr>
                <w:b/>
                <w:noProof/>
              </w:rPr>
              <w:t>500</w:t>
            </w:r>
          </w:p>
        </w:tc>
        <w:tc>
          <w:tcPr>
            <w:tcW w:w="1520" w:type="dxa"/>
          </w:tcPr>
          <w:p>
            <w:pPr>
              <w:spacing w:before="60" w:after="60"/>
              <w:jc w:val="center"/>
              <w:rPr>
                <w:noProof/>
                <w:color w:val="000000"/>
                <w:sz w:val="22"/>
              </w:rPr>
            </w:pPr>
            <w:r>
              <w:rPr>
                <w:b/>
                <w:noProof/>
              </w:rPr>
              <w:t>500</w:t>
            </w:r>
          </w:p>
        </w:tc>
      </w:tr>
    </w:tbl>
    <w:p>
      <w:pPr>
        <w:rPr>
          <w:bCs/>
          <w:noProof/>
        </w:rPr>
      </w:pPr>
      <w:r>
        <w:rPr>
          <w:noProof/>
          <w:sz w:val="20"/>
        </w:rPr>
        <w:t xml:space="preserve">* </w:t>
      </w:r>
      <w:r>
        <w:rPr>
          <w:noProof/>
          <w:sz w:val="20"/>
          <w:szCs w:val="20"/>
        </w:rPr>
        <w:t>V této tabulce je uveden počet zaměstnanců požadovaných již v návrhu Komise COM(2016) 271 final ze dne 4. května 2016. Od roku 2021 dále nebudou požadováni žádní další zaměstnanci.</w:t>
      </w:r>
    </w:p>
    <w:tbl>
      <w:tblPr>
        <w:tblW w:w="9287" w:type="dxa"/>
        <w:jc w:val="center"/>
        <w:tblLook w:val="04A0" w:firstRow="1" w:lastRow="0" w:firstColumn="1" w:lastColumn="0" w:noHBand="0" w:noVBand="1"/>
      </w:tblPr>
      <w:tblGrid>
        <w:gridCol w:w="2147"/>
        <w:gridCol w:w="1691"/>
        <w:gridCol w:w="1691"/>
        <w:gridCol w:w="1691"/>
        <w:gridCol w:w="2067"/>
      </w:tblGrid>
      <w:tr>
        <w:trPr>
          <w:trHeight w:val="300"/>
          <w:jc w:val="center"/>
        </w:trPr>
        <w:tc>
          <w:tcPr>
            <w:tcW w:w="11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Výdaje na zaměstnance</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2018</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2019</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2020</w:t>
            </w:r>
          </w:p>
        </w:tc>
        <w:tc>
          <w:tcPr>
            <w:tcW w:w="2067" w:type="dxa"/>
            <w:tcBorders>
              <w:top w:val="single" w:sz="4" w:space="0" w:color="auto"/>
              <w:left w:val="nil"/>
              <w:bottom w:val="single" w:sz="4" w:space="0" w:color="auto"/>
              <w:right w:val="single" w:sz="4" w:space="0" w:color="auto"/>
            </w:tcBorders>
            <w:shd w:val="clear" w:color="auto" w:fill="BFBFBF"/>
          </w:tcPr>
          <w:p>
            <w:pPr>
              <w:spacing w:before="60" w:after="60"/>
              <w:ind w:left="72"/>
              <w:rPr>
                <w:b/>
                <w:noProof/>
                <w:sz w:val="20"/>
              </w:rPr>
            </w:pPr>
            <w:r>
              <w:rPr>
                <w:b/>
                <w:noProof/>
                <w:sz w:val="20"/>
              </w:rPr>
              <w:t>2021–2027 (za každý rok)</w:t>
            </w: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sz w:val="20"/>
              </w:rPr>
            </w:pPr>
            <w:r>
              <w:rPr>
                <w:noProof/>
                <w:sz w:val="20"/>
              </w:rPr>
              <w:t>Pracovní místa podle plánu pracovních míst</w:t>
            </w:r>
            <w:r>
              <w:rPr>
                <w:noProof/>
                <w:sz w:val="20"/>
              </w:rPr>
              <w:br/>
              <w:t>(počet zaměstnanců)</w:t>
            </w:r>
          </w:p>
        </w:tc>
        <w:tc>
          <w:tcPr>
            <w:tcW w:w="16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szCs w:val="20"/>
              </w:rPr>
              <w:t>28</w:t>
            </w:r>
            <w:r>
              <w:rPr>
                <w:noProof/>
                <w:sz w:val="20"/>
                <w:szCs w:val="20"/>
              </w:rPr>
              <w:t xml:space="preserve"> 676 000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szCs w:val="20"/>
              </w:rPr>
              <w:t>38</w:t>
            </w:r>
            <w:r>
              <w:rPr>
                <w:noProof/>
                <w:sz w:val="20"/>
                <w:szCs w:val="20"/>
              </w:rPr>
              <w:t> 056 000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szCs w:val="20"/>
              </w:rPr>
              <w:t>49</w:t>
            </w:r>
            <w:r>
              <w:rPr>
                <w:noProof/>
                <w:sz w:val="20"/>
                <w:szCs w:val="20"/>
              </w:rPr>
              <w:t xml:space="preserve"> 044 000</w:t>
            </w:r>
          </w:p>
        </w:tc>
        <w:tc>
          <w:tcPr>
            <w:tcW w:w="2067" w:type="dxa"/>
            <w:tcBorders>
              <w:top w:val="single" w:sz="4" w:space="0" w:color="auto"/>
              <w:left w:val="single" w:sz="4" w:space="0" w:color="auto"/>
              <w:bottom w:val="single" w:sz="4" w:space="0" w:color="auto"/>
              <w:right w:val="single" w:sz="4" w:space="0" w:color="auto"/>
            </w:tcBorders>
            <w:shd w:val="clear" w:color="000000" w:fill="D9D9D9"/>
            <w:vAlign w:val="bottom"/>
          </w:tcPr>
          <w:p>
            <w:pPr>
              <w:spacing w:before="60" w:after="60"/>
              <w:ind w:left="72"/>
              <w:jc w:val="center"/>
              <w:rPr>
                <w:noProof/>
                <w:sz w:val="20"/>
                <w:szCs w:val="20"/>
              </w:rPr>
            </w:pPr>
            <w:r>
              <w:rPr>
                <w:noProof/>
                <w:color w:val="000000"/>
                <w:sz w:val="20"/>
                <w:szCs w:val="20"/>
              </w:rPr>
              <w:t>49</w:t>
            </w:r>
            <w:r>
              <w:rPr>
                <w:noProof/>
                <w:sz w:val="20"/>
                <w:szCs w:val="20"/>
              </w:rPr>
              <w:t xml:space="preserve"> 044000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xml:space="preserve"> – Z toho AD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18</w:t>
            </w:r>
            <w:r>
              <w:rPr>
                <w:noProof/>
                <w:sz w:val="20"/>
                <w:szCs w:val="20"/>
              </w:rPr>
              <w:t xml:space="preserve"> 090 000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23</w:t>
            </w:r>
            <w:r>
              <w:rPr>
                <w:noProof/>
                <w:sz w:val="20"/>
                <w:szCs w:val="20"/>
              </w:rPr>
              <w:t xml:space="preserve"> 986 000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30</w:t>
            </w:r>
            <w:r>
              <w:rPr>
                <w:noProof/>
                <w:sz w:val="20"/>
                <w:szCs w:val="20"/>
              </w:rPr>
              <w:t xml:space="preserve"> 954 000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szCs w:val="20"/>
              </w:rPr>
              <w:t>30</w:t>
            </w:r>
            <w:r>
              <w:rPr>
                <w:noProof/>
                <w:sz w:val="20"/>
                <w:szCs w:val="20"/>
              </w:rPr>
              <w:t xml:space="preserve"> 954 000</w:t>
            </w:r>
          </w:p>
          <w:p>
            <w:pPr>
              <w:spacing w:before="60" w:after="60"/>
              <w:ind w:left="72"/>
              <w:jc w:val="center"/>
              <w:rPr>
                <w:noProof/>
                <w:sz w:val="20"/>
                <w:szCs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xml:space="preserve"> – Z toho AST</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10</w:t>
            </w:r>
            <w:r>
              <w:rPr>
                <w:noProof/>
                <w:sz w:val="20"/>
                <w:szCs w:val="20"/>
              </w:rPr>
              <w:t xml:space="preserve"> 586 000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14</w:t>
            </w:r>
            <w:r>
              <w:rPr>
                <w:noProof/>
                <w:sz w:val="20"/>
                <w:szCs w:val="20"/>
              </w:rPr>
              <w:t xml:space="preserve"> 070 000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18</w:t>
            </w:r>
            <w:r>
              <w:rPr>
                <w:noProof/>
                <w:sz w:val="20"/>
                <w:szCs w:val="20"/>
              </w:rPr>
              <w:t xml:space="preserve"> 090 000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szCs w:val="20"/>
              </w:rPr>
              <w:t>18</w:t>
            </w:r>
            <w:r>
              <w:rPr>
                <w:noProof/>
                <w:sz w:val="20"/>
                <w:szCs w:val="20"/>
              </w:rPr>
              <w:t xml:space="preserve"> 090 000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rPr>
            </w:pPr>
            <w:r>
              <w:rPr>
                <w:noProof/>
                <w:sz w:val="22"/>
              </w:rPr>
              <w:t>Externí pracovníci (ekvivalent plného pracovního úvazku)</w:t>
            </w:r>
          </w:p>
        </w:tc>
        <w:tc>
          <w:tcPr>
            <w:tcW w:w="1691" w:type="dxa"/>
            <w:tcBorders>
              <w:top w:val="nil"/>
              <w:left w:val="single" w:sz="4" w:space="0" w:color="auto"/>
              <w:bottom w:val="single" w:sz="4" w:space="0" w:color="auto"/>
              <w:right w:val="single" w:sz="4" w:space="0" w:color="auto"/>
            </w:tcBorders>
            <w:shd w:val="clear" w:color="000000" w:fill="D9D9D9"/>
            <w:noWrap/>
            <w:vAlign w:val="bottom"/>
            <w:hideMark/>
          </w:tcPr>
          <w:p>
            <w:pPr>
              <w:jc w:val="center"/>
              <w:rPr>
                <w:noProof/>
                <w:sz w:val="20"/>
                <w:szCs w:val="20"/>
              </w:rPr>
            </w:pPr>
            <w:r>
              <w:rPr>
                <w:noProof/>
                <w:color w:val="000000"/>
                <w:sz w:val="20"/>
                <w:szCs w:val="20"/>
              </w:rPr>
              <w:t>5 898 000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sz w:val="20"/>
                <w:szCs w:val="20"/>
              </w:rPr>
            </w:pPr>
            <w:r>
              <w:rPr>
                <w:noProof/>
                <w:color w:val="000000"/>
                <w:sz w:val="20"/>
                <w:szCs w:val="20"/>
              </w:rPr>
              <w:t>7 508 000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sz w:val="20"/>
                <w:szCs w:val="20"/>
              </w:rPr>
            </w:pPr>
            <w:r>
              <w:rPr>
                <w:noProof/>
                <w:color w:val="000000"/>
                <w:sz w:val="20"/>
                <w:szCs w:val="20"/>
              </w:rPr>
              <w:t>9 468 000</w:t>
            </w:r>
          </w:p>
        </w:tc>
        <w:tc>
          <w:tcPr>
            <w:tcW w:w="2067" w:type="dxa"/>
            <w:tcBorders>
              <w:top w:val="nil"/>
              <w:left w:val="single" w:sz="4" w:space="0" w:color="auto"/>
              <w:bottom w:val="single" w:sz="4" w:space="0" w:color="auto"/>
              <w:right w:val="single" w:sz="4" w:space="0" w:color="auto"/>
            </w:tcBorders>
            <w:shd w:val="clear" w:color="000000" w:fill="D9D9D9"/>
            <w:vAlign w:val="bottom"/>
          </w:tcPr>
          <w:p>
            <w:pPr>
              <w:jc w:val="center"/>
              <w:rPr>
                <w:noProof/>
                <w:sz w:val="20"/>
                <w:szCs w:val="20"/>
              </w:rPr>
            </w:pPr>
            <w:r>
              <w:rPr>
                <w:noProof/>
                <w:color w:val="000000"/>
                <w:sz w:val="20"/>
                <w:szCs w:val="20"/>
              </w:rPr>
              <w:t>9 468 000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Z toho smluvní zaměstnanci</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5 040 000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6 650 000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8 610 000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szCs w:val="20"/>
              </w:rPr>
              <w:t>8 610 000</w:t>
            </w:r>
          </w:p>
          <w:p>
            <w:pPr>
              <w:spacing w:before="60" w:after="60"/>
              <w:ind w:left="72"/>
              <w:jc w:val="center"/>
              <w:rPr>
                <w:noProof/>
                <w:sz w:val="20"/>
                <w:szCs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Z toho vyslaní národní odborníci (VNO)</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szCs w:val="20"/>
              </w:rPr>
              <w:t>858 000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szCs w:val="20"/>
              </w:rPr>
              <w:t>858 000</w:t>
            </w:r>
          </w:p>
          <w:p>
            <w:pPr>
              <w:spacing w:before="60" w:after="60"/>
              <w:ind w:left="72"/>
              <w:jc w:val="center"/>
              <w:rPr>
                <w:noProof/>
                <w:sz w:val="20"/>
                <w:szCs w:val="20"/>
              </w:rPr>
            </w:pP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szCs w:val="20"/>
              </w:rPr>
            </w:pPr>
            <w:r>
              <w:rPr>
                <w:b/>
                <w:noProof/>
                <w:sz w:val="20"/>
                <w:szCs w:val="20"/>
              </w:rPr>
              <w:t>Zaměstnanci celkem</w:t>
            </w:r>
          </w:p>
        </w:tc>
        <w:tc>
          <w:tcPr>
            <w:tcW w:w="16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pPr>
              <w:jc w:val="center"/>
              <w:rPr>
                <w:b/>
                <w:noProof/>
                <w:color w:val="000000"/>
                <w:sz w:val="20"/>
                <w:szCs w:val="20"/>
              </w:rPr>
            </w:pPr>
            <w:r>
              <w:rPr>
                <w:noProof/>
                <w:color w:val="000000"/>
                <w:sz w:val="20"/>
                <w:szCs w:val="20"/>
              </w:rPr>
              <w:t>34 574 000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sz w:val="20"/>
                <w:szCs w:val="20"/>
              </w:rPr>
            </w:pPr>
            <w:r>
              <w:rPr>
                <w:noProof/>
                <w:color w:val="000000"/>
                <w:sz w:val="20"/>
                <w:szCs w:val="20"/>
              </w:rPr>
              <w:t>45 564 000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sz w:val="20"/>
                <w:szCs w:val="20"/>
              </w:rPr>
            </w:pPr>
            <w:r>
              <w:rPr>
                <w:noProof/>
                <w:color w:val="000000"/>
                <w:sz w:val="20"/>
                <w:szCs w:val="20"/>
              </w:rPr>
              <w:t>58</w:t>
            </w:r>
            <w:r>
              <w:rPr>
                <w:noProof/>
                <w:sz w:val="20"/>
                <w:szCs w:val="20"/>
              </w:rPr>
              <w:t xml:space="preserve"> 512 000</w:t>
            </w:r>
          </w:p>
        </w:tc>
        <w:tc>
          <w:tcPr>
            <w:tcW w:w="2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pPr>
              <w:jc w:val="center"/>
              <w:rPr>
                <w:b/>
                <w:noProof/>
                <w:color w:val="000000"/>
                <w:sz w:val="20"/>
                <w:szCs w:val="20"/>
              </w:rPr>
            </w:pPr>
            <w:r>
              <w:rPr>
                <w:noProof/>
                <w:color w:val="000000"/>
                <w:sz w:val="20"/>
                <w:szCs w:val="20"/>
              </w:rPr>
              <w:t>58</w:t>
            </w:r>
            <w:r>
              <w:rPr>
                <w:noProof/>
                <w:sz w:val="20"/>
                <w:szCs w:val="20"/>
              </w:rPr>
              <w:t xml:space="preserve"> 512 000</w:t>
            </w:r>
          </w:p>
        </w:tc>
      </w:tr>
    </w:tbl>
    <w:p>
      <w:pPr>
        <w:rPr>
          <w:bCs/>
          <w:noProof/>
        </w:rPr>
      </w:pPr>
    </w:p>
    <w:p>
      <w:pPr>
        <w:pStyle w:val="ManualHeading4"/>
        <w:rPr>
          <w:bCs/>
          <w:noProof/>
          <w:szCs w:val="24"/>
        </w:rPr>
      </w:pPr>
      <w:r>
        <w:rPr>
          <w:noProof/>
        </w:rPr>
        <w:t>3.2.3.2.</w:t>
      </w:r>
      <w:r>
        <w:rPr>
          <w:noProof/>
        </w:rPr>
        <w:tab/>
        <w:t>Odhadované potřeby v oblasti lidských zdrojů</w:t>
      </w:r>
    </w:p>
    <w:p>
      <w:pPr>
        <w:pStyle w:val="ListDash1"/>
        <w:tabs>
          <w:tab w:val="clear" w:pos="1134"/>
          <w:tab w:val="num" w:pos="992"/>
        </w:tabs>
        <w:ind w:left="992"/>
        <w:rPr>
          <w:noProof/>
        </w:rPr>
      </w:pPr>
      <w:r>
        <w:rPr>
          <w:noProof/>
        </w:rPr>
        <w:sym w:font="Wingdings" w:char="F0A8"/>
      </w:r>
      <w:r>
        <w:rPr>
          <w:noProof/>
        </w:rPr>
        <w:tab/>
        <w:t xml:space="preserve">Návrh nevyžaduje využití lidských zdrojů. </w:t>
      </w:r>
    </w:p>
    <w:p>
      <w:pPr>
        <w:pStyle w:val="ListDash1"/>
        <w:tabs>
          <w:tab w:val="clear" w:pos="1134"/>
          <w:tab w:val="num" w:pos="992"/>
        </w:tabs>
        <w:ind w:left="992"/>
        <w:rPr>
          <w:noProof/>
        </w:rPr>
      </w:pPr>
      <w:r>
        <w:rPr>
          <w:noProof/>
        </w:rPr>
        <w:sym w:font="Wingdings" w:char="F0FE"/>
      </w:r>
      <w:r>
        <w:rPr>
          <w:noProof/>
        </w:rPr>
        <w:tab/>
        <w:t>Návrh vyžaduje využití lidských zdrojů, jak je vysvětleno dále:</w:t>
      </w:r>
    </w:p>
    <w:p>
      <w:pPr>
        <w:spacing w:after="60"/>
        <w:jc w:val="right"/>
        <w:rPr>
          <w:i/>
          <w:noProof/>
          <w:sz w:val="20"/>
        </w:rPr>
      </w:pPr>
      <w:r>
        <w:rPr>
          <w:i/>
          <w:noProof/>
          <w:sz w:val="20"/>
        </w:rPr>
        <w:t>Odhad vyjádřete v přepočtu na plné pracovní úvazky</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74"/>
        <w:gridCol w:w="2411"/>
        <w:gridCol w:w="575"/>
        <w:gridCol w:w="1826"/>
        <w:gridCol w:w="8"/>
        <w:gridCol w:w="1679"/>
        <w:gridCol w:w="15"/>
        <w:gridCol w:w="585"/>
        <w:gridCol w:w="236"/>
        <w:gridCol w:w="475"/>
      </w:tblGrid>
      <w:tr>
        <w:trPr>
          <w:trHeight w:val="289"/>
          <w:jc w:val="center"/>
        </w:trPr>
        <w:tc>
          <w:tcPr>
            <w:tcW w:w="2212" w:type="pct"/>
            <w:gridSpan w:val="2"/>
            <w:shd w:val="clear" w:color="auto" w:fill="auto"/>
          </w:tcPr>
          <w:p>
            <w:pPr>
              <w:spacing w:before="20" w:after="20"/>
              <w:jc w:val="center"/>
              <w:rPr>
                <w:noProof/>
                <w:sz w:val="16"/>
              </w:rPr>
            </w:pPr>
          </w:p>
        </w:tc>
        <w:tc>
          <w:tcPr>
            <w:tcW w:w="297" w:type="pct"/>
            <w:shd w:val="clear" w:color="auto" w:fill="auto"/>
            <w:vAlign w:val="center"/>
          </w:tcPr>
          <w:p>
            <w:pPr>
              <w:spacing w:before="20" w:after="20"/>
              <w:jc w:val="center"/>
              <w:rPr>
                <w:noProof/>
                <w:sz w:val="16"/>
                <w:szCs w:val="16"/>
              </w:rPr>
            </w:pPr>
            <w:r>
              <w:rPr>
                <w:noProof/>
                <w:sz w:val="16"/>
              </w:rPr>
              <w:t>2018</w:t>
            </w:r>
          </w:p>
        </w:tc>
        <w:tc>
          <w:tcPr>
            <w:tcW w:w="943" w:type="pct"/>
            <w:shd w:val="clear" w:color="auto" w:fill="auto"/>
            <w:vAlign w:val="center"/>
          </w:tcPr>
          <w:p>
            <w:pPr>
              <w:spacing w:before="20" w:after="20"/>
              <w:jc w:val="center"/>
              <w:rPr>
                <w:noProof/>
                <w:sz w:val="16"/>
                <w:szCs w:val="16"/>
              </w:rPr>
            </w:pPr>
            <w:r>
              <w:rPr>
                <w:noProof/>
                <w:sz w:val="16"/>
              </w:rPr>
              <w:t>2019</w:t>
            </w:r>
          </w:p>
        </w:tc>
        <w:tc>
          <w:tcPr>
            <w:tcW w:w="871" w:type="pct"/>
            <w:gridSpan w:val="2"/>
            <w:shd w:val="clear" w:color="auto" w:fill="auto"/>
            <w:vAlign w:val="center"/>
          </w:tcPr>
          <w:p>
            <w:pPr>
              <w:spacing w:before="20" w:after="20"/>
              <w:jc w:val="center"/>
              <w:rPr>
                <w:noProof/>
                <w:sz w:val="16"/>
                <w:szCs w:val="16"/>
              </w:rPr>
            </w:pPr>
            <w:r>
              <w:rPr>
                <w:noProof/>
                <w:sz w:val="16"/>
              </w:rPr>
              <w:t>2020</w:t>
            </w:r>
          </w:p>
        </w:tc>
        <w:tc>
          <w:tcPr>
            <w:tcW w:w="676" w:type="pct"/>
            <w:gridSpan w:val="4"/>
            <w:shd w:val="clear" w:color="auto" w:fill="auto"/>
            <w:vAlign w:val="center"/>
          </w:tcPr>
          <w:p>
            <w:pPr>
              <w:jc w:val="center"/>
              <w:rPr>
                <w:b/>
                <w:noProof/>
                <w:sz w:val="16"/>
                <w:szCs w:val="16"/>
              </w:rPr>
            </w:pPr>
            <w:r>
              <w:rPr>
                <w:noProof/>
                <w:sz w:val="16"/>
              </w:rPr>
              <w:t>Vložit počet let podle trvání finančního dopadu (viz bod 1.6)</w:t>
            </w:r>
          </w:p>
        </w:tc>
      </w:tr>
      <w:tr>
        <w:trPr>
          <w:trHeight w:val="289"/>
          <w:jc w:val="center"/>
        </w:trPr>
        <w:tc>
          <w:tcPr>
            <w:tcW w:w="3456" w:type="pct"/>
            <w:gridSpan w:val="5"/>
            <w:shd w:val="clear" w:color="auto" w:fill="auto"/>
          </w:tcPr>
          <w:p>
            <w:pPr>
              <w:spacing w:before="20" w:after="20"/>
              <w:rPr>
                <w:noProof/>
                <w:sz w:val="16"/>
                <w:szCs w:val="16"/>
              </w:rPr>
            </w:pPr>
            <w:r>
              <w:rPr>
                <w:b/>
                <w:noProof/>
                <w:sz w:val="16"/>
                <w:szCs w:val="16"/>
              </w:rPr>
              <w:sym w:font="Wingdings" w:char="F09F"/>
            </w:r>
            <w:r>
              <w:rPr>
                <w:noProof/>
                <w:sz w:val="16"/>
                <w:szCs w:val="16"/>
              </w:rPr>
              <w:t xml:space="preserve"> </w:t>
            </w:r>
            <w:r>
              <w:rPr>
                <w:b/>
                <w:noProof/>
                <w:sz w:val="16"/>
                <w:szCs w:val="16"/>
              </w:rPr>
              <w:t>Pracovní místa podle plánu pracovních míst (místa úředníků a dočasných zaměstnanců)</w:t>
            </w:r>
          </w:p>
        </w:tc>
        <w:tc>
          <w:tcPr>
            <w:tcW w:w="875" w:type="pct"/>
            <w:gridSpan w:val="2"/>
            <w:shd w:val="clear" w:color="auto" w:fill="auto"/>
            <w:vAlign w:val="center"/>
          </w:tcPr>
          <w:p>
            <w:pPr>
              <w:spacing w:before="20" w:after="20"/>
              <w:jc w:val="center"/>
              <w:rPr>
                <w:noProof/>
                <w:sz w:val="16"/>
                <w:szCs w:val="16"/>
              </w:rPr>
            </w:pPr>
          </w:p>
        </w:tc>
        <w:tc>
          <w:tcPr>
            <w:tcW w:w="669" w:type="pct"/>
            <w:gridSpan w:val="3"/>
            <w:shd w:val="clear" w:color="auto" w:fill="auto"/>
            <w:vAlign w:val="center"/>
          </w:tcPr>
          <w:p>
            <w:pPr>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 ústředí a v zastoupeních Komise)</w:t>
            </w:r>
          </w:p>
        </w:tc>
        <w:tc>
          <w:tcPr>
            <w:tcW w:w="297" w:type="pct"/>
            <w:shd w:val="clear" w:color="auto" w:fill="auto"/>
            <w:vAlign w:val="center"/>
          </w:tcPr>
          <w:p>
            <w:pPr>
              <w:spacing w:beforeLines="20" w:before="48" w:afterLines="20" w:after="48"/>
              <w:jc w:val="center"/>
              <w:rPr>
                <w:noProof/>
                <w:sz w:val="16"/>
                <w:szCs w:val="16"/>
              </w:rPr>
            </w:pPr>
            <w:r>
              <w:rPr>
                <w:noProof/>
                <w:sz w:val="16"/>
              </w:rPr>
              <w:t>4</w:t>
            </w:r>
          </w:p>
        </w:tc>
        <w:tc>
          <w:tcPr>
            <w:tcW w:w="943" w:type="pct"/>
            <w:shd w:val="clear" w:color="auto" w:fill="auto"/>
            <w:vAlign w:val="center"/>
          </w:tcPr>
          <w:p>
            <w:pPr>
              <w:spacing w:beforeLines="20" w:before="48" w:afterLines="20" w:after="48"/>
              <w:jc w:val="center"/>
              <w:rPr>
                <w:noProof/>
                <w:sz w:val="16"/>
                <w:szCs w:val="16"/>
              </w:rPr>
            </w:pPr>
            <w:r>
              <w:rPr>
                <w:noProof/>
                <w:sz w:val="16"/>
              </w:rPr>
              <w:t>4</w:t>
            </w:r>
          </w:p>
        </w:tc>
        <w:tc>
          <w:tcPr>
            <w:tcW w:w="871" w:type="pct"/>
            <w:gridSpan w:val="2"/>
            <w:shd w:val="clear" w:color="auto" w:fill="auto"/>
            <w:vAlign w:val="center"/>
          </w:tcPr>
          <w:p>
            <w:pPr>
              <w:spacing w:beforeLines="20" w:before="48" w:afterLines="20" w:after="48"/>
              <w:jc w:val="center"/>
              <w:rPr>
                <w:noProof/>
                <w:sz w:val="16"/>
                <w:szCs w:val="16"/>
              </w:rPr>
            </w:pPr>
            <w:r>
              <w:rPr>
                <w:noProof/>
                <w:sz w:val="16"/>
              </w:rPr>
              <w:t>4</w:t>
            </w: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(v přímém výzkumu)</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gridAfter w:val="5"/>
          <w:wAfter w:w="1544" w:type="pct"/>
          <w:trHeight w:val="248"/>
          <w:jc w:val="center"/>
        </w:trPr>
        <w:tc>
          <w:tcPr>
            <w:tcW w:w="3456" w:type="pct"/>
            <w:gridSpan w:val="5"/>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noProof/>
                <w:sz w:val="16"/>
                <w:szCs w:val="16"/>
              </w:rPr>
              <w:t xml:space="preserve"> </w:t>
            </w:r>
            <w:r>
              <w:rPr>
                <w:b/>
                <w:noProof/>
                <w:sz w:val="16"/>
                <w:szCs w:val="16"/>
              </w:rPr>
              <w:t>Externí zaměstnanci (v přepočtu na plné pracovní úvazky: FTE)</w:t>
            </w:r>
            <w:r>
              <w:rPr>
                <w:rStyle w:val="FootnoteReference"/>
                <w:b/>
                <w:noProof/>
                <w:sz w:val="16"/>
                <w:szCs w:val="16"/>
              </w:rPr>
              <w:footnoteReference w:id="11"/>
            </w:r>
          </w:p>
          <w:p>
            <w:pPr>
              <w:pStyle w:val="Text1"/>
              <w:spacing w:before="0" w:after="0"/>
              <w:ind w:left="0"/>
              <w:jc w:val="left"/>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(SZ, VNO, ZAP z celkového rámce)</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2"/>
            </w:r>
          </w:p>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 v ústředí</w:t>
            </w:r>
          </w:p>
          <w:p>
            <w:pPr>
              <w:pStyle w:val="Text1"/>
              <w:spacing w:beforeLines="20" w:before="48" w:afterLines="20" w:after="48"/>
              <w:ind w:left="136"/>
              <w:jc w:val="left"/>
              <w:rPr>
                <w:b/>
                <w:noProof/>
                <w:sz w:val="16"/>
                <w:szCs w:val="16"/>
              </w:rPr>
            </w:pP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shd w:val="clear" w:color="auto" w:fill="auto"/>
            <w:vAlign w:val="center"/>
          </w:tcPr>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 při delegacích </w:t>
            </w: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VNO, ZAP v přímém výzkumu)</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Jiné rozpočtové položky (upřesněte)</w:t>
            </w:r>
          </w:p>
        </w:tc>
        <w:tc>
          <w:tcPr>
            <w:tcW w:w="29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7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29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9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87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31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je oblast politiky nebo dotčená hlava rozpočtu.</w:t>
      </w:r>
    </w:p>
    <w:p>
      <w:pPr>
        <w:pStyle w:val="Text1"/>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řídicímu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Zastupují Komisi ve správní radě agentury. Vypracovávají stanoviska Komise k ročnímu pracovnímu programu a sledují jeho provádění. Dohlížejí na přípravu rozpočtu agentury a sledují plnění rozpočtu. Napomáhají agentuře při rozvoji jejích činností v souladu s politikami EU, a to i prostřednictvím účasti na setkáních odborníků.</w:t>
            </w:r>
          </w:p>
        </w:tc>
      </w:tr>
      <w:tr>
        <w:tc>
          <w:tcPr>
            <w:tcW w:w="3240" w:type="dxa"/>
          </w:tcPr>
          <w:p>
            <w:pPr>
              <w:spacing w:before="60" w:after="60"/>
              <w:rPr>
                <w:noProof/>
                <w:sz w:val="20"/>
              </w:rPr>
            </w:pPr>
            <w:r>
              <w:rPr>
                <w:noProof/>
                <w:sz w:val="20"/>
              </w:rPr>
              <w:t>Externí zaměstnanci</w:t>
            </w:r>
          </w:p>
        </w:tc>
        <w:tc>
          <w:tcPr>
            <w:tcW w:w="7200" w:type="dxa"/>
          </w:tcPr>
          <w:p>
            <w:pPr>
              <w:rPr>
                <w:noProof/>
                <w:sz w:val="20"/>
              </w:rPr>
            </w:pPr>
          </w:p>
        </w:tc>
      </w:tr>
    </w:tbl>
    <w:p>
      <w:pPr>
        <w:rPr>
          <w:noProof/>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Soulad se stávajícím víceletým finančním rámcem </w:t>
      </w:r>
    </w:p>
    <w:p>
      <w:pPr>
        <w:pStyle w:val="ListDash1"/>
        <w:tabs>
          <w:tab w:val="clear" w:pos="1134"/>
          <w:tab w:val="num" w:pos="992"/>
        </w:tabs>
        <w:ind w:left="992"/>
        <w:rPr>
          <w:noProof/>
        </w:rPr>
      </w:pPr>
      <w:r>
        <w:rPr>
          <w:noProof/>
        </w:rPr>
        <w:sym w:font="Wingdings" w:char="F0FE"/>
      </w:r>
      <w:r>
        <w:rPr>
          <w:noProof/>
        </w:rPr>
        <w:tab/>
        <w:t>Návrh je v souladu se stávajícím víceletým finančním rámcem, ale může vyžadovat využití zvláštních nástrojů definovaných v nařízení o VFR.</w:t>
      </w:r>
    </w:p>
    <w:p>
      <w:pPr>
        <w:pStyle w:val="ListDash1"/>
        <w:tabs>
          <w:tab w:val="clear" w:pos="1134"/>
          <w:tab w:val="num" w:pos="992"/>
        </w:tabs>
        <w:ind w:left="992"/>
        <w:rPr>
          <w:noProof/>
        </w:rPr>
      </w:pPr>
      <w:r>
        <w:rPr>
          <w:noProof/>
        </w:rPr>
        <w:sym w:font="Wingdings" w:char="F0A8"/>
      </w:r>
      <w:r>
        <w:rPr>
          <w:noProof/>
        </w:rPr>
        <w:tab/>
        <w:t>Návrh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rPr>
      </w:pPr>
    </w:p>
    <w:p>
      <w:pPr>
        <w:pStyle w:val="ListDash1"/>
        <w:tabs>
          <w:tab w:val="clear" w:pos="1134"/>
          <w:tab w:val="num" w:pos="992"/>
        </w:tabs>
        <w:ind w:left="992"/>
        <w:rPr>
          <w:noProof/>
        </w:rPr>
      </w:pPr>
      <w:r>
        <w:rPr>
          <w:noProof/>
        </w:rPr>
        <w:sym w:font="Wingdings" w:char="F0A8"/>
      </w:r>
      <w:r>
        <w:rPr>
          <w:noProof/>
        </w:rPr>
        <w:tab/>
        <w:t>Návrh vyžaduje použití nástroje pružnosti nebo změnu víceletého finančního rámce</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Příspěvky třetích stran </w:t>
      </w:r>
    </w:p>
    <w:p>
      <w:pPr>
        <w:pStyle w:val="ListDash1"/>
        <w:tabs>
          <w:tab w:val="clear" w:pos="1134"/>
          <w:tab w:val="num" w:pos="992"/>
        </w:tabs>
        <w:ind w:left="992"/>
        <w:rPr>
          <w:noProof/>
        </w:rPr>
      </w:pPr>
      <w:r>
        <w:rPr>
          <w:noProof/>
        </w:rPr>
        <w:sym w:font="Wingdings" w:char="F0A8"/>
      </w:r>
      <w:r>
        <w:rPr>
          <w:noProof/>
        </w:rPr>
        <w:t xml:space="preserve"> Návrh nepočítá se spolufinancováním od třetích stran. </w:t>
      </w:r>
    </w:p>
    <w:p>
      <w:pPr>
        <w:pStyle w:val="ListDash1"/>
        <w:tabs>
          <w:tab w:val="clear" w:pos="1134"/>
          <w:tab w:val="num" w:pos="992"/>
        </w:tabs>
        <w:ind w:left="992"/>
        <w:rPr>
          <w:noProof/>
        </w:rPr>
      </w:pPr>
      <w:r>
        <w:rPr>
          <w:noProof/>
        </w:rPr>
        <w:sym w:font="Wingdings" w:char="F0FE"/>
      </w:r>
      <w:r>
        <w:rPr>
          <w:noProof/>
        </w:rPr>
        <w:t xml:space="preserve"> Návrh počítá se spolufinancováním podle následujícího odhadu:</w:t>
      </w:r>
    </w:p>
    <w:p>
      <w:pPr>
        <w:jc w:val="right"/>
        <w:rPr>
          <w:noProof/>
          <w:sz w:val="20"/>
        </w:rPr>
      </w:pPr>
      <w:r>
        <w:rPr>
          <w:noProof/>
          <w:sz w:val="20"/>
        </w:rPr>
        <w:t>Prostředky v milionech EUR (zaokrouhleno na tři desetinná místa)</w:t>
      </w:r>
    </w:p>
    <w:tbl>
      <w:tblPr>
        <w:tblW w:w="928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793"/>
        <w:gridCol w:w="793"/>
        <w:gridCol w:w="793"/>
        <w:gridCol w:w="793"/>
        <w:gridCol w:w="793"/>
        <w:gridCol w:w="793"/>
        <w:gridCol w:w="1884"/>
      </w:tblGrid>
      <w:tr>
        <w:trPr>
          <w:cantSplit/>
        </w:trPr>
        <w:tc>
          <w:tcPr>
            <w:tcW w:w="2640" w:type="dxa"/>
          </w:tcPr>
          <w:p>
            <w:pPr>
              <w:jc w:val="center"/>
              <w:rPr>
                <w:noProof/>
                <w:sz w:val="20"/>
              </w:rPr>
            </w:pPr>
          </w:p>
        </w:tc>
        <w:tc>
          <w:tcPr>
            <w:tcW w:w="793" w:type="dxa"/>
            <w:vAlign w:val="center"/>
          </w:tcPr>
          <w:p>
            <w:pPr>
              <w:jc w:val="center"/>
              <w:rPr>
                <w:noProof/>
                <w:sz w:val="20"/>
              </w:rPr>
            </w:pPr>
            <w:r>
              <w:rPr>
                <w:noProof/>
                <w:sz w:val="20"/>
              </w:rPr>
              <w:t>2018</w:t>
            </w:r>
          </w:p>
        </w:tc>
        <w:tc>
          <w:tcPr>
            <w:tcW w:w="793" w:type="dxa"/>
            <w:vAlign w:val="center"/>
          </w:tcPr>
          <w:p>
            <w:pPr>
              <w:jc w:val="center"/>
              <w:rPr>
                <w:noProof/>
                <w:sz w:val="20"/>
              </w:rPr>
            </w:pPr>
            <w:r>
              <w:rPr>
                <w:noProof/>
                <w:sz w:val="20"/>
              </w:rPr>
              <w:t>2019</w:t>
            </w:r>
          </w:p>
        </w:tc>
        <w:tc>
          <w:tcPr>
            <w:tcW w:w="793" w:type="dxa"/>
            <w:vAlign w:val="center"/>
          </w:tcPr>
          <w:p>
            <w:pPr>
              <w:jc w:val="center"/>
              <w:rPr>
                <w:noProof/>
                <w:sz w:val="20"/>
              </w:rPr>
            </w:pPr>
            <w:r>
              <w:rPr>
                <w:noProof/>
                <w:sz w:val="20"/>
              </w:rPr>
              <w:t>2020</w:t>
            </w:r>
          </w:p>
        </w:tc>
        <w:tc>
          <w:tcPr>
            <w:tcW w:w="793" w:type="dxa"/>
            <w:vAlign w:val="center"/>
          </w:tcPr>
          <w:p>
            <w:pPr>
              <w:jc w:val="center"/>
              <w:rPr>
                <w:b/>
                <w:noProof/>
                <w:sz w:val="20"/>
                <w:szCs w:val="20"/>
              </w:rPr>
            </w:pPr>
            <w:r>
              <w:rPr>
                <w:noProof/>
                <w:sz w:val="20"/>
                <w:szCs w:val="20"/>
              </w:rPr>
              <w:t>2021–2027</w:t>
            </w:r>
          </w:p>
        </w:tc>
        <w:tc>
          <w:tcPr>
            <w:tcW w:w="1586" w:type="dxa"/>
            <w:gridSpan w:val="2"/>
            <w:vAlign w:val="center"/>
          </w:tcPr>
          <w:p>
            <w:pPr>
              <w:jc w:val="center"/>
              <w:rPr>
                <w:b/>
                <w:noProof/>
                <w:sz w:val="20"/>
              </w:rPr>
            </w:pPr>
            <w:r>
              <w:rPr>
                <w:noProof/>
                <w:sz w:val="20"/>
              </w:rPr>
              <w:t>Vložit počet let podle trvání finančního dopadu (viz bod 1.6)</w:t>
            </w:r>
          </w:p>
        </w:tc>
        <w:tc>
          <w:tcPr>
            <w:tcW w:w="1884" w:type="dxa"/>
            <w:vAlign w:val="center"/>
          </w:tcPr>
          <w:p>
            <w:pPr>
              <w:spacing w:before="60" w:after="60"/>
              <w:jc w:val="center"/>
              <w:rPr>
                <w:noProof/>
                <w:sz w:val="20"/>
              </w:rPr>
            </w:pPr>
            <w:r>
              <w:rPr>
                <w:noProof/>
                <w:sz w:val="20"/>
              </w:rPr>
              <w:t>Celkem</w:t>
            </w:r>
          </w:p>
        </w:tc>
      </w:tr>
      <w:tr>
        <w:trPr>
          <w:cantSplit/>
        </w:trPr>
        <w:tc>
          <w:tcPr>
            <w:tcW w:w="2640" w:type="dxa"/>
          </w:tcPr>
          <w:p>
            <w:pPr>
              <w:rPr>
                <w:noProof/>
              </w:rPr>
            </w:pPr>
            <w:r>
              <w:rPr>
                <w:noProof/>
                <w:sz w:val="20"/>
              </w:rPr>
              <w:t>Příspěvek zemí přidružených k Schengenu</w:t>
            </w:r>
            <w:r>
              <w:rPr>
                <w:i/>
                <w:noProof/>
                <w:sz w:val="20"/>
              </w:rPr>
              <w:t xml:space="preserve"> </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vAlign w:val="center"/>
          </w:tcPr>
          <w:p>
            <w:pPr>
              <w:rPr>
                <w:noProof/>
                <w:sz w:val="20"/>
              </w:rPr>
            </w:pPr>
            <w:r>
              <w:rPr>
                <w:noProof/>
                <w:sz w:val="20"/>
              </w:rPr>
              <w:t>pm</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r>
        <w:trPr>
          <w:cantSplit/>
        </w:trPr>
        <w:tc>
          <w:tcPr>
            <w:tcW w:w="2640" w:type="dxa"/>
          </w:tcPr>
          <w:p>
            <w:pPr>
              <w:spacing w:before="60" w:after="60"/>
              <w:jc w:val="left"/>
              <w:rPr>
                <w:noProof/>
                <w:sz w:val="20"/>
              </w:rPr>
            </w:pPr>
            <w:r>
              <w:rPr>
                <w:noProof/>
                <w:sz w:val="20"/>
              </w:rPr>
              <w:t xml:space="preserve">Spolufinancované prostředky CELKEM </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bl>
    <w:p>
      <w:pPr>
        <w:rPr>
          <w:noProof/>
        </w:rPr>
      </w:pPr>
      <w:r>
        <w:rPr>
          <w:noProof/>
        </w:rPr>
        <w:br/>
      </w:r>
      <w:r>
        <w:rPr>
          <w:noProof/>
        </w:rPr>
        <w:br w:type="page"/>
        <w:t xml:space="preserve">Odhadovaný dopad na příjmy </w:t>
      </w:r>
    </w:p>
    <w:p>
      <w:pPr>
        <w:pStyle w:val="ListDash1"/>
        <w:tabs>
          <w:tab w:val="clear" w:pos="1134"/>
          <w:tab w:val="num" w:pos="992"/>
        </w:tabs>
        <w:ind w:left="992"/>
        <w:rPr>
          <w:noProof/>
        </w:rPr>
      </w:pPr>
      <w:r>
        <w:rPr>
          <w:noProof/>
          <w:sz w:val="22"/>
        </w:rPr>
        <w:sym w:font="Wingdings" w:char="F0FE"/>
      </w:r>
      <w:r>
        <w:rPr>
          <w:noProof/>
        </w:rPr>
        <w:tab/>
        <w:t>Návrh nemá žádný finanční dopad na příjmy.</w:t>
      </w:r>
    </w:p>
    <w:p>
      <w:pPr>
        <w:pStyle w:val="ListDash1"/>
        <w:tabs>
          <w:tab w:val="clear" w:pos="1134"/>
          <w:tab w:val="num" w:pos="992"/>
        </w:tabs>
        <w:ind w:left="992"/>
        <w:rPr>
          <w:noProof/>
        </w:rPr>
      </w:pPr>
      <w:r>
        <w:rPr>
          <w:noProof/>
        </w:rPr>
        <w:sym w:font="Wingdings" w:char="F0A8"/>
      </w:r>
      <w:r>
        <w:rPr>
          <w:noProof/>
        </w:rPr>
        <w:tab/>
        <w:t>Návrh má tento finanční dopad:</w:t>
      </w:r>
    </w:p>
    <w:p>
      <w:pPr>
        <w:pStyle w:val="ListNumberLevel3"/>
        <w:rPr>
          <w:noProof/>
        </w:rPr>
      </w:pPr>
      <w:r>
        <w:rPr>
          <w:noProof/>
        </w:rPr>
        <w:sym w:font="Wingdings" w:char="F0A8"/>
      </w:r>
      <w:r>
        <w:rPr>
          <w:noProof/>
        </w:rPr>
        <w:tab/>
        <w:t xml:space="preserve">na vlastní zdroje </w:t>
      </w:r>
    </w:p>
    <w:p>
      <w:pPr>
        <w:pStyle w:val="ListNumberLevel3"/>
        <w:rPr>
          <w:noProof/>
        </w:rPr>
      </w:pPr>
      <w:r>
        <w:rPr>
          <w:noProof/>
        </w:rPr>
        <w:sym w:font="Wingdings" w:char="F0A8"/>
      </w:r>
      <w:r>
        <w:rPr>
          <w:noProof/>
        </w:rPr>
        <w:tab/>
        <w:t xml:space="preserve">na různé příjmy </w:t>
      </w:r>
    </w:p>
    <w:p>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w:t>
            </w:r>
            <w:r>
              <w:rPr>
                <w:rStyle w:val="FootnoteReference"/>
                <w:noProof/>
                <w:sz w:val="18"/>
              </w:rPr>
              <w:footnoteReference w:id="1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EUCO 28.06.2018.</w:t>
      </w:r>
    </w:p>
  </w:footnote>
  <w:footnote w:id="3">
    <w:p>
      <w:pPr>
        <w:pStyle w:val="FootnoteText"/>
      </w:pPr>
      <w:r>
        <w:rPr>
          <w:rStyle w:val="FootnoteReference"/>
        </w:rPr>
        <w:footnoteRef/>
      </w:r>
      <w:r>
        <w:tab/>
        <w:t>Francouzsko-německé prohlášení z Mesebergu „Obnova slibů Evropy ohledně bezpečnosti a prosperity“ ze dne 19. června 2018.</w:t>
      </w:r>
    </w:p>
  </w:footnote>
  <w:footnote w:id="4">
    <w:p>
      <w:pPr>
        <w:pStyle w:val="FootnoteText"/>
      </w:pPr>
      <w:r>
        <w:rPr>
          <w:rStyle w:val="FootnoteReference"/>
        </w:rPr>
        <w:footnoteRef/>
      </w:r>
      <w:r>
        <w:tab/>
        <w:t>COM(2016) 271 final.</w:t>
      </w:r>
    </w:p>
  </w:footnote>
  <w:footnote w:id="5">
    <w:p>
      <w:pPr>
        <w:pStyle w:val="FootnoteText"/>
      </w:pPr>
      <w:r>
        <w:rPr>
          <w:rStyle w:val="FootnoteReference"/>
        </w:rPr>
        <w:footnoteRef/>
      </w:r>
      <w:r>
        <w:tab/>
        <w:t>EUCO 19.02.2016.</w:t>
      </w:r>
    </w:p>
  </w:footnote>
  <w:footnote w:id="6">
    <w:p>
      <w:pPr>
        <w:pStyle w:val="FootnoteText"/>
      </w:pPr>
      <w:r>
        <w:rPr>
          <w:rStyle w:val="FootnoteReference"/>
        </w:rPr>
        <w:footnoteRef/>
      </w:r>
      <w:r>
        <w:tab/>
        <w:t>[Odkazy budou přidány po přijetí rámcového finančního nařízení (aktu v přenesené pravomoci); přijetí se předpokládá do konce roku.]</w:t>
      </w:r>
    </w:p>
  </w:footnote>
  <w:footnote w:id="7">
    <w:p>
      <w:pPr>
        <w:pStyle w:val="FootnoteText"/>
        <w:rPr>
          <w:szCs w:val="24"/>
        </w:rPr>
      </w:pPr>
      <w:r>
        <w:rPr>
          <w:rStyle w:val="FootnoteReference"/>
        </w:rPr>
        <w:footnoteRef/>
      </w:r>
      <w:r>
        <w:tab/>
        <w:t>ABM: řízení podle činností (Activity-Based Management); ABB: sestavování rozpočtu podle činností (Activity-Based Budgeting).</w:t>
      </w:r>
    </w:p>
  </w:footnote>
  <w:footnote w:id="8">
    <w:p>
      <w:pPr>
        <w:pStyle w:val="FootnoteText"/>
        <w:rPr>
          <w:szCs w:val="24"/>
        </w:rPr>
      </w:pPr>
      <w:r>
        <w:rPr>
          <w:rStyle w:val="FootnoteReference"/>
        </w:rPr>
        <w:footnoteRef/>
      </w:r>
      <w:r>
        <w:tab/>
        <w:t>Uvedené v čl. 54 odst. 2 písm. a) nebo b) finančního nařízení.</w:t>
      </w:r>
    </w:p>
  </w:footnote>
  <w:footnote w:id="9">
    <w:p>
      <w:pPr>
        <w:pStyle w:val="FootnoteText"/>
        <w:rPr>
          <w:szCs w:val="24"/>
        </w:rPr>
      </w:pPr>
      <w:r>
        <w:rPr>
          <w:rStyle w:val="FootnoteReference"/>
        </w:rPr>
        <w:footnoteRef/>
      </w:r>
      <w:r>
        <w:tab/>
        <w:t xml:space="preserve">Vysvětlení způsobů řízení spolu s odkazem na finanční nařízení jsou k dispozici na stránkách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11">
    <w:p>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12">
    <w:p>
      <w:pPr>
        <w:pStyle w:val="FootnoteText"/>
        <w:rPr>
          <w:szCs w:val="24"/>
        </w:rPr>
      </w:pPr>
      <w:r>
        <w:rPr>
          <w:rStyle w:val="FootnoteReference"/>
        </w:rPr>
        <w:footnoteRef/>
      </w:r>
      <w:r>
        <w:tab/>
        <w:t>Dílčí strop na externí zaměstnance financované z operačních prostředků (bývalé položky „BA“).</w:t>
      </w:r>
    </w:p>
  </w:footnote>
  <w:footnote w:id="13">
    <w:p>
      <w:pPr>
        <w:pStyle w:val="FootnoteText"/>
      </w:pPr>
      <w:r>
        <w:rPr>
          <w:rStyle w:val="FootnoteReference"/>
        </w:rPr>
        <w:footnoteRef/>
      </w:r>
      <w:r>
        <w:tab/>
        <w:t>Viz články 11 a 17 nařízení Rady (EU, EURATOM) č. 1311/2013, kterým se stanoví víceletý finanční rámec na období 2014–2020.</w:t>
      </w:r>
    </w:p>
  </w:footnote>
  <w:footnote w:id="14">
    <w:p>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E0416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3501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782F5A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02099B"/>
    <w:multiLevelType w:val="hybridMultilevel"/>
    <w:tmpl w:val="6E8C8FB6"/>
    <w:styleLink w:val="ImportedStyle2"/>
    <w:lvl w:ilvl="0" w:tplc="CA6E9D70">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964030">
      <w:start w:val="1"/>
      <w:numFmt w:val="bullet"/>
      <w:lvlText w:val="□"/>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1676">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D742">
      <w:start w:val="1"/>
      <w:numFmt w:val="bullet"/>
      <w:lvlText w:val="•"/>
      <w:lvlJc w:val="left"/>
      <w:pPr>
        <w:ind w:left="3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76DAE6">
      <w:start w:val="1"/>
      <w:numFmt w:val="bullet"/>
      <w:lvlText w:val="□"/>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8C1E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7004">
      <w:start w:val="1"/>
      <w:numFmt w:val="bullet"/>
      <w:lvlText w:val="•"/>
      <w:lvlJc w:val="left"/>
      <w:pPr>
        <w:ind w:left="5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210B4">
      <w:start w:val="1"/>
      <w:numFmt w:val="bullet"/>
      <w:lvlText w:val="□"/>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42B9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12"/>
  </w:num>
  <w:num w:numId="4">
    <w:abstractNumId w:val="21"/>
  </w:num>
  <w:num w:numId="5">
    <w:abstractNumId w:val="18"/>
  </w:num>
  <w:num w:numId="6">
    <w:abstractNumId w:val="2"/>
  </w:num>
  <w:num w:numId="7">
    <w:abstractNumId w:val="1"/>
  </w:num>
  <w:num w:numId="8">
    <w:abstractNumId w:val="0"/>
  </w:num>
  <w:num w:numId="9">
    <w:abstractNumId w:val="4"/>
  </w:num>
  <w:num w:numId="10">
    <w:abstractNumId w:val="17"/>
  </w:num>
  <w:num w:numId="11">
    <w:abstractNumId w:val="9"/>
  </w:num>
  <w:num w:numId="12">
    <w:abstractNumId w:val="20"/>
  </w:num>
  <w:num w:numId="13">
    <w:abstractNumId w:val="8"/>
  </w:num>
  <w:num w:numId="14">
    <w:abstractNumId w:val="10"/>
  </w:num>
  <w:num w:numId="15">
    <w:abstractNumId w:val="6"/>
  </w:num>
  <w:num w:numId="16">
    <w:abstractNumId w:val="19"/>
  </w:num>
  <w:num w:numId="17">
    <w:abstractNumId w:val="5"/>
  </w:num>
  <w:num w:numId="18">
    <w:abstractNumId w:val="11"/>
  </w:num>
  <w:num w:numId="19">
    <w:abstractNumId w:val="15"/>
  </w:num>
  <w:num w:numId="20">
    <w:abstractNumId w:val="16"/>
  </w:num>
  <w:num w:numId="21">
    <w:abstractNumId w:val="7"/>
  </w:num>
  <w:num w:numId="22">
    <w:abstractNumId w:val="1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4: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8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1BE80ED-1315-4225-8CC2-FB167021C0A0"/>
    <w:docVar w:name="LW_COVERPAGE_TYPE" w:val="1"/>
    <w:docVar w:name="LW_CROSSREFERENCE" w:val="&lt;UNUSED&gt;"/>
    <w:docVar w:name="LW_DocType" w:val="COM"/>
    <w:docVar w:name="LW_EMISSION" w:val="12.9.2018"/>
    <w:docVar w:name="LW_EMISSION_ISODATE" w:val="2018-09-12"/>
    <w:docVar w:name="LW_EMISSION_LOCATION" w:val="BRX"/>
    <w:docVar w:name="LW_EMISSION_PREFIX" w:val="V Bruselu dne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31"/>
    <w:docVar w:name="LW_REF.II.NEW.CP_YEAR" w:val="2016"/>
    <w:docVar w:name="LW_REF.INST.NEW" w:val="COM"/>
    <w:docVar w:name="LW_REF.INST.NEW_ADOPTED" w:val="final"/>
    <w:docVar w:name="LW_REF.INST.NEW_TEXT" w:val="(2018)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ozm\u283?n\u283?ný návrh"/>
    <w:docVar w:name="LW_SUPERTITRE" w:val="&lt;UNUSED&gt;"/>
    <w:docVar w:name="LW_TITRE.OBJ.CP" w:val="o Agentu\u345?e Evropské unie pro azyl a o zru\u353?ení na\u345?ízení (EU) \u269?. 439/2010 _x000b__x000b__x000b__x000b__x000b_&lt;FMT:Italic&gt;P\u345?ísp\u283?vek Evropské komise k zasedání vysokých p\u345?edstavitel\u367? v&lt;/FMT&gt;_x000b_&lt;FMT:Italic&gt;Salcburku ve dnech 19.\u8211?20. zá\u345?í 2018&lt;/FMT&gt;"/>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cs-CZ"/>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cs-CZ"/>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cs-CZ" w:eastAsia="cs-CZ"/>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cs-CZ" w:eastAsia="cs-CZ"/>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cs-CZ" w:eastAsia="cs-CZ"/>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cs-CZ" w:eastAsia="cs-CZ"/>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cs-CZ" w:eastAsia="cs-CZ"/>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cs-CZ"/>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cs-CZ"/>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cs-CZ" w:eastAsia="cs-CZ"/>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cs-CZ" w:eastAsia="cs-CZ"/>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cs-CZ" w:eastAsia="cs-CZ"/>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cs-CZ" w:eastAsia="cs-CZ"/>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cs-CZ" w:eastAsia="cs-CZ"/>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210">
      <w:bodyDiv w:val="1"/>
      <w:marLeft w:val="0"/>
      <w:marRight w:val="0"/>
      <w:marTop w:val="0"/>
      <w:marBottom w:val="0"/>
      <w:divBdr>
        <w:top w:val="none" w:sz="0" w:space="0" w:color="auto"/>
        <w:left w:val="none" w:sz="0" w:space="0" w:color="auto"/>
        <w:bottom w:val="none" w:sz="0" w:space="0" w:color="auto"/>
        <w:right w:val="none" w:sz="0" w:space="0" w:color="auto"/>
      </w:divBdr>
    </w:div>
    <w:div w:id="934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B6F60F-F30C-4C0D-BC33-35701E39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9847</Words>
  <Characters>57512</Characters>
  <Application>Microsoft Office Word</Application>
  <DocSecurity>0</DocSecurity>
  <Lines>1797</Lines>
  <Paragraphs>898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2018-09-06T10:25:00Z</cp:lastPrinted>
  <dcterms:created xsi:type="dcterms:W3CDTF">2018-09-28T12:12:00Z</dcterms:created>
  <dcterms:modified xsi:type="dcterms:W3CDTF">2018-10-01T06:54:00Z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