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8A2CEEC-D1C5-44B1-BDEC-C040E13D3E31" style="width:450.8pt;height:437.6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MELLÉKLET</w:t>
      </w:r>
    </w:p>
    <w:p>
      <w:pPr>
        <w:jc w:val="center"/>
        <w:rPr>
          <w:noProof/>
        </w:rPr>
      </w:pPr>
      <w:r>
        <w:rPr>
          <w:noProof/>
        </w:rPr>
        <w:t>Az Európai Határ- és Parti Őrség készenléti alakulatának összetétele évenként és kategóriánként a XX. cikk szerint</w:t>
      </w:r>
    </w:p>
    <w:p>
      <w:pPr>
        <w:pStyle w:val="ListParagraph"/>
        <w:spacing w:before="0" w:after="0"/>
        <w:jc w:val="left"/>
        <w:rPr>
          <w:noProof/>
          <w:sz w:val="20"/>
          <w:szCs w:val="20"/>
        </w:rPr>
      </w:pPr>
    </w:p>
    <w:tbl>
      <w:tblPr>
        <w:tblpPr w:leftFromText="180" w:rightFromText="180" w:vertAnchor="text" w:horzAnchor="margin" w:tblpY="-6"/>
        <w:tblW w:w="8762" w:type="dxa"/>
        <w:tblCellMar>
          <w:left w:w="0" w:type="dxa"/>
          <w:right w:w="0" w:type="dxa"/>
        </w:tblCellMar>
        <w:tblLook w:val="04A0" w:firstRow="1" w:lastRow="0" w:firstColumn="1" w:lastColumn="0" w:noHBand="0" w:noVBand="1"/>
      </w:tblPr>
      <w:tblGrid>
        <w:gridCol w:w="1672"/>
        <w:gridCol w:w="1756"/>
        <w:gridCol w:w="2138"/>
        <w:gridCol w:w="1758"/>
        <w:gridCol w:w="1564"/>
      </w:tblGrid>
      <w:tr>
        <w:trPr>
          <w:trHeight w:val="1249"/>
        </w:trPr>
        <w:tc>
          <w:tcPr>
            <w:tcW w:w="1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Kategória  Év</w:t>
            </w:r>
          </w:p>
        </w:tc>
        <w:tc>
          <w:tcPr>
            <w:tcW w:w="175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pPr>
              <w:jc w:val="center"/>
              <w:rPr>
                <w:b/>
                <w:noProof/>
                <w:color w:val="000000"/>
              </w:rPr>
            </w:pPr>
            <w:r>
              <w:rPr>
                <w:b/>
                <w:noProof/>
                <w:color w:val="000000"/>
              </w:rPr>
              <w:t>1. kategória Ügynökségi személyzet</w:t>
            </w:r>
          </w:p>
        </w:tc>
        <w:tc>
          <w:tcPr>
            <w:tcW w:w="21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2. kategória</w:t>
            </w:r>
          </w:p>
          <w:p>
            <w:pPr>
              <w:jc w:val="center"/>
              <w:rPr>
                <w:b/>
                <w:noProof/>
                <w:color w:val="000000"/>
              </w:rPr>
            </w:pPr>
            <w:r>
              <w:rPr>
                <w:b/>
                <w:noProof/>
                <w:color w:val="000000"/>
              </w:rPr>
              <w:t>Hosszú távú kirendelésre rendelkezésre álló műveleti személyzet</w:t>
            </w:r>
          </w:p>
        </w:tc>
        <w:tc>
          <w:tcPr>
            <w:tcW w:w="175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 xml:space="preserve">3. kategória </w:t>
            </w:r>
          </w:p>
          <w:p>
            <w:pPr>
              <w:jc w:val="center"/>
              <w:rPr>
                <w:b/>
                <w:noProof/>
                <w:color w:val="000000"/>
              </w:rPr>
            </w:pPr>
            <w:r>
              <w:rPr>
                <w:b/>
                <w:noProof/>
                <w:color w:val="000000"/>
              </w:rPr>
              <w:t>Rövid távú bevetésre rendelkezésre álló műveleti személyzet</w:t>
            </w:r>
          </w:p>
        </w:tc>
        <w:tc>
          <w:tcPr>
            <w:tcW w:w="14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iCs/>
                <w:noProof/>
                <w:color w:val="000000"/>
              </w:rPr>
            </w:pPr>
            <w:r>
              <w:rPr>
                <w:b/>
                <w:noProof/>
                <w:color w:val="000000"/>
              </w:rPr>
              <w:t>Az Európai Határ- és Parti Őrség készenléti alakulatának összlétszáma</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2020</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7 000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2021</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2022</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2023</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2024</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2025</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2026</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2027</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bl>
    <w:p>
      <w:pPr>
        <w:spacing w:before="0" w:after="160" w:line="259" w:lineRule="auto"/>
        <w:jc w:val="center"/>
        <w:rPr>
          <w:rFonts w:ascii="Calibri" w:eastAsia="Calibri" w:hAnsi="Calibri"/>
          <w:noProof/>
          <w:sz w:val="22"/>
        </w:rPr>
      </w:pPr>
    </w:p>
    <w:p>
      <w:pPr>
        <w:rPr>
          <w:noProof/>
        </w:rPr>
        <w:sectPr>
          <w:footerReference w:type="default" r:id="rId18"/>
          <w:footerReference w:type="first" r:id="rId19"/>
          <w:pgSz w:w="11907" w:h="16839"/>
          <w:pgMar w:top="1134" w:right="1417" w:bottom="1134" w:left="1417" w:header="709" w:footer="709" w:gutter="0"/>
          <w:cols w:space="720"/>
          <w:docGrid w:linePitch="360"/>
        </w:sectPr>
      </w:pPr>
    </w:p>
    <w:p>
      <w:pPr>
        <w:pStyle w:val="Annexetitre"/>
        <w:rPr>
          <w:noProof/>
        </w:rPr>
      </w:pPr>
      <w:r>
        <w:rPr>
          <w:noProof/>
        </w:rPr>
        <w:lastRenderedPageBreak/>
        <w:t>II. MELLÉKLET</w:t>
      </w:r>
    </w:p>
    <w:p>
      <w:pPr>
        <w:jc w:val="center"/>
        <w:rPr>
          <w:b/>
          <w:noProof/>
        </w:rPr>
      </w:pPr>
      <w:r>
        <w:rPr>
          <w:b/>
          <w:noProof/>
        </w:rPr>
        <w:t xml:space="preserve">Az Ügynökség személyzeti szabályzat hatálya alá tartozó személyzet által az Európai Határ- és Parti Őrség készenléti alakulatából bevetett csapattagokként végrehajtandó és végrehajtási hatáskört igénylő feladatok jegyzéke </w:t>
      </w:r>
    </w:p>
    <w:p>
      <w:pPr>
        <w:pStyle w:val="NumPar1"/>
        <w:numPr>
          <w:ilvl w:val="0"/>
          <w:numId w:val="14"/>
        </w:numPr>
        <w:rPr>
          <w:noProof/>
        </w:rPr>
      </w:pPr>
      <w:r>
        <w:rPr>
          <w:noProof/>
        </w:rPr>
        <w:t>személyek személyazonosságának és állampolgárságának ellenőrzése, ideértve a vonatkozó uniós és nemzeti adatbázisokkal való összevetést is;</w:t>
      </w:r>
    </w:p>
    <w:p>
      <w:pPr>
        <w:pStyle w:val="NumPar1"/>
        <w:rPr>
          <w:noProof/>
        </w:rPr>
      </w:pPr>
      <w:r>
        <w:rPr>
          <w:noProof/>
        </w:rPr>
        <w:t>beléptetés engedélyezése a határátkelőhelyeken végzett határforgalom-ellenőrzés után (a Schengeni határellenőrzési kódex 6. cikkében rögzített beutazási feltételek teljesülése esetén);</w:t>
      </w:r>
    </w:p>
    <w:p>
      <w:pPr>
        <w:pStyle w:val="NumPar1"/>
        <w:rPr>
          <w:noProof/>
        </w:rPr>
      </w:pPr>
      <w:r>
        <w:rPr>
          <w:noProof/>
        </w:rPr>
        <w:t>beléptetés megtagadása a határátkelőhelyeken elvégzett határforgalom-ellenőrzés után, a Schengeni határellenőrzési kódex 14. cikkének megfelelően;</w:t>
      </w:r>
    </w:p>
    <w:p>
      <w:pPr>
        <w:pStyle w:val="NumPar1"/>
        <w:rPr>
          <w:noProof/>
        </w:rPr>
      </w:pPr>
      <w:r>
        <w:rPr>
          <w:noProof/>
        </w:rPr>
        <w:t>az úti okmányok bélyegzése a Schengeni határellenőrzési kódex 11. cikkének megfelelően;</w:t>
      </w:r>
    </w:p>
    <w:p>
      <w:pPr>
        <w:pStyle w:val="NumPar1"/>
        <w:rPr>
          <w:noProof/>
        </w:rPr>
      </w:pPr>
      <w:r>
        <w:rPr>
          <w:noProof/>
        </w:rPr>
        <w:t>vízumok kiadása és kiadásának elutasítása a határon az Uniós Vízumkódex 35. cikkének megfelelően, valamint a vonatkozó adatok bevitele a Vízuminformációs Rendszerbe;</w:t>
      </w:r>
    </w:p>
    <w:p>
      <w:pPr>
        <w:pStyle w:val="NumPar1"/>
        <w:rPr>
          <w:noProof/>
        </w:rPr>
      </w:pPr>
      <w:r>
        <w:rPr>
          <w:noProof/>
        </w:rPr>
        <w:t>határőrizet – ideértve a határátkelőhelyek közötti járőrözést – a jogellenes határátlépések megakadályozása, a határokon átnyúló bűnözés elleni küzdelem, valamint a határt illegálisan átlépő személyek elleni intézkedések meghozatala, ezen belül a feltartóztatás/elfogás érdekében;</w:t>
      </w:r>
    </w:p>
    <w:p>
      <w:pPr>
        <w:pStyle w:val="NumPar1"/>
        <w:rPr>
          <w:noProof/>
        </w:rPr>
      </w:pPr>
      <w:r>
        <w:rPr>
          <w:noProof/>
        </w:rPr>
        <w:t>a külső határok jogellenes átlépése miatt elfogott személyek ujjlenyomatának nyilvántartásba vétele az európai ujjnyomat-azonosító rendszerben (Eurodac, 2. kategória) az Eurodac-rendelet III. fejezetének megfelelően;</w:t>
      </w:r>
    </w:p>
    <w:p>
      <w:pPr>
        <w:pStyle w:val="NumPar1"/>
        <w:rPr>
          <w:noProof/>
        </w:rPr>
      </w:pPr>
      <w:r>
        <w:rPr>
          <w:noProof/>
        </w:rPr>
        <w:t>kapcsolattartás harmadik országokkal a visszaküldendő harmadik országbeli állampolgárok azonosítása és úti okmányainak beszerzése tekintetében;</w:t>
      </w:r>
    </w:p>
    <w:p>
      <w:pPr>
        <w:pStyle w:val="NumPar1"/>
        <w:rPr>
          <w:noProof/>
        </w:rPr>
      </w:pPr>
      <w:r>
        <w:rPr>
          <w:noProof/>
        </w:rPr>
        <w:t>a kitoloncolandó harmadik országbeli állampolgárok kísérete.</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III. MELLÉKLET</w:t>
      </w:r>
    </w:p>
    <w:p>
      <w:pPr>
        <w:spacing w:before="0" w:after="160" w:line="259" w:lineRule="auto"/>
        <w:jc w:val="center"/>
        <w:rPr>
          <w:rFonts w:eastAsia="Calibri"/>
          <w:b/>
          <w:noProof/>
          <w:szCs w:val="24"/>
        </w:rPr>
      </w:pPr>
      <w:r>
        <w:rPr>
          <w:b/>
          <w:noProof/>
        </w:rPr>
        <w:t>Táblázat a tagállamok által az 57. cikk értelmében műveleti személyzet hosszú távú kirendelése útján az Európai Határ- és Parti Őrség készenléti alakulatához nyújtott éves hozzájárulásról</w:t>
      </w:r>
    </w:p>
    <w:p>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732"/>
        <w:gridCol w:w="932"/>
        <w:gridCol w:w="891"/>
        <w:gridCol w:w="836"/>
        <w:gridCol w:w="836"/>
        <w:gridCol w:w="932"/>
        <w:gridCol w:w="932"/>
        <w:gridCol w:w="932"/>
        <w:gridCol w:w="798"/>
      </w:tblGrid>
      <w:tr>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Ország / év</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2027</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Belgium</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Bulgária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Cseh Köztársaság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Dánia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Németország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Észtország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Görögország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Spanyolország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Franciaország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Horvátország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Olaszország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Ciprus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Lettország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Litvánia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Luxemburg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Magyarország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Málta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Hollandia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Ausztria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Lengyelország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Portugália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Románia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Szlovénia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Szlovákia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lastRenderedPageBreak/>
              <w:t>Finnország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Svédország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[Svájc]</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[Izland]</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[Liechtenstein]*</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[Norvégia]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ÖSSZESEN</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1 500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r>
    </w:tbl>
    <w:p>
      <w:pPr>
        <w:spacing w:before="0" w:after="160" w:line="259" w:lineRule="auto"/>
        <w:jc w:val="left"/>
        <w:rPr>
          <w:rFonts w:eastAsia="Times New Roman"/>
          <w:noProof/>
          <w:szCs w:val="24"/>
        </w:rPr>
      </w:pPr>
      <w:r>
        <w:rPr>
          <w:noProof/>
        </w:rPr>
        <w:t>(*) Liechtenstein arányos pénzügyi támogatással fogja hozzájárulását megtenni.</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IV. MELLÉKLET</w:t>
      </w:r>
    </w:p>
    <w:p>
      <w:pPr>
        <w:spacing w:before="0" w:after="160" w:line="259" w:lineRule="auto"/>
        <w:jc w:val="center"/>
        <w:rPr>
          <w:rFonts w:eastAsia="Calibri"/>
          <w:noProof/>
          <w:szCs w:val="24"/>
        </w:rPr>
      </w:pPr>
      <w:r>
        <w:rPr>
          <w:b/>
          <w:noProof/>
        </w:rPr>
        <w:t>A tagállamok által az 58. cikk értelmében műveleti személyzet rövid távú bevetése útján az Európai Határ- és Parti Őrség készenléti alakulatához nyújtott éves hozzájárulás</w:t>
      </w:r>
    </w:p>
    <w:p>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2"/>
        <w:gridCol w:w="960"/>
        <w:gridCol w:w="883"/>
        <w:gridCol w:w="850"/>
        <w:gridCol w:w="992"/>
        <w:gridCol w:w="851"/>
        <w:gridCol w:w="992"/>
        <w:gridCol w:w="711"/>
      </w:tblGrid>
      <w:tr>
        <w:trPr>
          <w:trHeight w:val="601"/>
          <w:jc w:val="center"/>
        </w:trPr>
        <w:tc>
          <w:tcPr>
            <w:tcW w:w="180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Ország / év</w:t>
            </w:r>
          </w:p>
        </w:tc>
        <w:tc>
          <w:tcPr>
            <w:tcW w:w="75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2020</w:t>
            </w:r>
          </w:p>
        </w:tc>
        <w:tc>
          <w:tcPr>
            <w:tcW w:w="96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2021</w:t>
            </w:r>
          </w:p>
        </w:tc>
        <w:tc>
          <w:tcPr>
            <w:tcW w:w="883"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2022</w:t>
            </w:r>
          </w:p>
        </w:tc>
        <w:tc>
          <w:tcPr>
            <w:tcW w:w="850"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2023</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2024</w:t>
            </w:r>
          </w:p>
        </w:tc>
        <w:tc>
          <w:tcPr>
            <w:tcW w:w="851"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2025</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2026</w:t>
            </w:r>
          </w:p>
        </w:tc>
        <w:tc>
          <w:tcPr>
            <w:tcW w:w="709"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Belgium</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Bulgária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Cseh Köztársaság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Dánia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77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Németország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1052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602</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Észtország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48</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Görögország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Spanyolország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296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Franciaország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Horvátország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Olaszország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333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Ciprus</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Lettország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Litvánia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104</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Luxemburg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Magyarország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Málta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Hollandia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Ausztria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Lengyelország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267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Portugália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125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Románia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200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Szlovénia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Szlovákia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Finnország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Svédország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[Svájc]</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43</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[Izland]</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[Liechtenstein]*</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0</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[Norvégia]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ÖSSZESEN</w:t>
            </w:r>
          </w:p>
        </w:tc>
        <w:tc>
          <w:tcPr>
            <w:tcW w:w="752" w:type="dxa"/>
            <w:shd w:val="clear" w:color="auto" w:fill="auto"/>
            <w:noWrap/>
            <w:vAlign w:val="center"/>
            <w:hideMark/>
          </w:tcPr>
          <w:p>
            <w:pPr>
              <w:spacing w:before="0" w:after="0"/>
              <w:jc w:val="right"/>
              <w:rPr>
                <w:rFonts w:eastAsia="Times New Roman"/>
                <w:b/>
                <w:bCs/>
                <w:noProof/>
                <w:sz w:val="22"/>
              </w:rPr>
            </w:pPr>
            <w:r>
              <w:rPr>
                <w:b/>
                <w:noProof/>
                <w:color w:val="000000"/>
                <w:sz w:val="22"/>
              </w:rPr>
              <w:t>7 000</w:t>
            </w:r>
          </w:p>
        </w:tc>
        <w:tc>
          <w:tcPr>
            <w:tcW w:w="960" w:type="dxa"/>
            <w:shd w:val="clear" w:color="auto" w:fill="auto"/>
            <w:noWrap/>
            <w:vAlign w:val="center"/>
            <w:hideMark/>
          </w:tcPr>
          <w:p>
            <w:pPr>
              <w:spacing w:before="0" w:after="0"/>
              <w:jc w:val="right"/>
              <w:rPr>
                <w:rFonts w:eastAsia="Times New Roman"/>
                <w:b/>
                <w:bCs/>
                <w:noProof/>
                <w:sz w:val="22"/>
              </w:rPr>
            </w:pPr>
            <w:r>
              <w:rPr>
                <w:b/>
                <w:noProof/>
                <w:color w:val="000000"/>
                <w:sz w:val="22"/>
              </w:rPr>
              <w:t>6 000</w:t>
            </w:r>
          </w:p>
        </w:tc>
        <w:tc>
          <w:tcPr>
            <w:tcW w:w="883" w:type="dxa"/>
            <w:shd w:val="clear" w:color="auto" w:fill="auto"/>
            <w:noWrap/>
            <w:vAlign w:val="center"/>
            <w:hideMark/>
          </w:tcPr>
          <w:p>
            <w:pPr>
              <w:spacing w:before="0" w:after="0"/>
              <w:jc w:val="right"/>
              <w:rPr>
                <w:rFonts w:eastAsia="Times New Roman"/>
                <w:b/>
                <w:bCs/>
                <w:noProof/>
                <w:sz w:val="22"/>
              </w:rPr>
            </w:pPr>
            <w:r>
              <w:rPr>
                <w:b/>
                <w:noProof/>
                <w:color w:val="000000"/>
                <w:sz w:val="22"/>
              </w:rPr>
              <w:t>6 000</w:t>
            </w:r>
          </w:p>
        </w:tc>
        <w:tc>
          <w:tcPr>
            <w:tcW w:w="850" w:type="dxa"/>
            <w:shd w:val="clear" w:color="auto" w:fill="auto"/>
            <w:noWrap/>
            <w:vAlign w:val="center"/>
            <w:hideMark/>
          </w:tcPr>
          <w:p>
            <w:pPr>
              <w:spacing w:before="0" w:after="0"/>
              <w:jc w:val="right"/>
              <w:rPr>
                <w:rFonts w:eastAsia="Times New Roman"/>
                <w:b/>
                <w:bCs/>
                <w:noProof/>
                <w:sz w:val="22"/>
              </w:rPr>
            </w:pPr>
            <w:r>
              <w:rPr>
                <w:b/>
                <w:noProof/>
                <w:color w:val="000000"/>
                <w:sz w:val="22"/>
              </w:rPr>
              <w:t>5 000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5 000</w:t>
            </w:r>
          </w:p>
        </w:tc>
        <w:tc>
          <w:tcPr>
            <w:tcW w:w="851"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c>
          <w:tcPr>
            <w:tcW w:w="709"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r>
    </w:tbl>
    <w:p>
      <w:pPr>
        <w:spacing w:before="0" w:after="160" w:line="259" w:lineRule="auto"/>
        <w:jc w:val="left"/>
        <w:rPr>
          <w:rFonts w:eastAsia="Calibri"/>
          <w:noProof/>
          <w:sz w:val="22"/>
        </w:rPr>
      </w:pPr>
      <w:r>
        <w:rPr>
          <w:noProof/>
          <w:sz w:val="22"/>
        </w:rPr>
        <w:t>(*) Liechtenstein arányos pénzügyi támogatással fogja hozzájárulását megtenni.</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V. MELLÉKLET</w:t>
      </w:r>
    </w:p>
    <w:p>
      <w:pPr>
        <w:jc w:val="center"/>
        <w:rPr>
          <w:b/>
          <w:noProof/>
          <w:szCs w:val="24"/>
        </w:rPr>
      </w:pPr>
      <w:r>
        <w:rPr>
          <w:b/>
          <w:noProof/>
        </w:rPr>
        <w:t>Az erőszak alkalmazása, ezen belül a szolgálati tűzfegyverek és halált nem okozó felszerelések biztosítása, használatának elsajátítása,  ellenőrzése és használata tekintetében az Ügynökség személyzeti szabályzat hatálya alá tartozó személyzetére vonatkozó szabályok az Európai Határ- és Parti Őrség készenléti alakulatából való bevetésük során csapattagokként való eljárásuk esetén</w:t>
      </w:r>
    </w:p>
    <w:p>
      <w:pPr>
        <w:pStyle w:val="Heading1"/>
        <w:numPr>
          <w:ilvl w:val="0"/>
          <w:numId w:val="15"/>
        </w:numPr>
        <w:rPr>
          <w:noProof/>
        </w:rPr>
      </w:pPr>
      <w:r>
        <w:rPr>
          <w:i/>
          <w:noProof/>
        </w:rPr>
        <w:t xml:space="preserve"> </w:t>
      </w:r>
      <w:r>
        <w:rPr>
          <w:noProof/>
        </w:rPr>
        <w:t>Az erőszak és a fegyverek használatára irányadó általános alapelvek</w:t>
      </w:r>
    </w:p>
    <w:p>
      <w:pPr>
        <w:spacing w:before="0"/>
        <w:rPr>
          <w:b/>
          <w:i/>
          <w:noProof/>
          <w:szCs w:val="24"/>
        </w:rPr>
      </w:pPr>
      <w:r>
        <w:rPr>
          <w:noProof/>
        </w:rPr>
        <w:t>A jelen rendelet alkalmazásában az „erőszak” azt jelenti, hogy az Ügynökség személyzeti szabályzat hatálya alá tartozó műveleti személyzete feladatai ellátása vagy önvédelem céljából fizikai eszköz – ezen belül kéz és test, bármilyen eszköz, fegyver vagy felszerelés, valamint tűzfegyver – használatához folyamodik.</w:t>
      </w:r>
    </w:p>
    <w:p>
      <w:pPr>
        <w:spacing w:before="0"/>
        <w:rPr>
          <w:b/>
          <w:noProof/>
          <w:szCs w:val="24"/>
        </w:rPr>
      </w:pPr>
      <w:r>
        <w:rPr>
          <w:noProof/>
        </w:rPr>
        <w:t>Az Ügynökség személyzeti szabályzat hatálya alá tartozó műveleti személyzetéből bevetett csapatok tagjainak erőszak és fegyverek használata esetén be kell tartaniuk a szükségesség, az arányosság és az elővigyázatosság alábbiakban rögzített elveit (a továbbiakban: az alapelvek).</w:t>
      </w:r>
    </w:p>
    <w:p>
      <w:pPr>
        <w:spacing w:before="0"/>
        <w:rPr>
          <w:i/>
          <w:noProof/>
          <w:szCs w:val="24"/>
        </w:rPr>
      </w:pPr>
      <w:r>
        <w:rPr>
          <w:i/>
          <w:noProof/>
        </w:rPr>
        <w:t>A szükségesség elve</w:t>
      </w:r>
    </w:p>
    <w:p>
      <w:pPr>
        <w:spacing w:before="0"/>
        <w:rPr>
          <w:noProof/>
          <w:szCs w:val="24"/>
        </w:rPr>
      </w:pPr>
      <w:r>
        <w:rPr>
          <w:noProof/>
        </w:rPr>
        <w:t>Erőszak csak kivételes esetekben alkalmazható, kizárólag akkor, ha feltétlenül szükséges az Ügynökség feladatainak ellátása vagy önvédelem céljából, függetlenül attól, hogy közvetlen fizikai érintkezéssel, illetve fegyverek vagy más felszerelések használatával történik. Erőszak csak végső eszközként, a helyzet nem erőszakos úton történő megoldására irányuló összes észszerű erőfeszítés – többek között meggyőzés, tárgyalás és közvetítés – megtétele után alkalmazható. Erőszak vagy kényszerintézkedések soha nem alkalmazhatók önkényesen vagy visszaélésszerűen.</w:t>
      </w:r>
    </w:p>
    <w:p>
      <w:pPr>
        <w:spacing w:before="0"/>
        <w:rPr>
          <w:i/>
          <w:noProof/>
          <w:szCs w:val="24"/>
        </w:rPr>
      </w:pPr>
      <w:r>
        <w:rPr>
          <w:i/>
          <w:noProof/>
        </w:rPr>
        <w:t>Az arányosság elve</w:t>
      </w:r>
    </w:p>
    <w:p>
      <w:pPr>
        <w:spacing w:before="0"/>
        <w:rPr>
          <w:i/>
          <w:noProof/>
          <w:szCs w:val="24"/>
        </w:rPr>
      </w:pPr>
      <w:r>
        <w:rPr>
          <w:noProof/>
        </w:rPr>
        <w:t>Amikor az erőszak vagy a tűzfegyverek jogszerű használata elkerülhetetlen, az Ügynökség személyzeti szabályzat hatálya alá tartozó műveleti személyzetének a bűncselekmény súlyával és az elérni kívánt jogos céllal arányosan kell eljárnia. A műveleti tevékenységek során az arányosság elvével összhangban kell meghatározni az alkalmazott erőszak jellegét (például fegyverhasználat szükségessége) és mértékét. Az Ügynökség személyzeti szabályzat hatálya alá tartozó műveleti személyzete nem használhat a jogos bűnüldözési cél eléréséhez feltétlenül szükségesnél nagyobb erőszakot. Tűzfegyver használata esetén az Ügynökség személyzeti szabályzat hatálya alá tartozó műveleti személyzetének ügyelnie kell arra, hogy ez a fegyverhasználat a lehető legkevesebb sérülést okozza, és a lehető legjobban minimalizálja a sérülést és a kárt. Az arányosság elve szerint az Ügynökségnek biztosítania kell a szabályzat hatálya alá tartozó személyzete számára mindazokat a felszereléseket és önvédelmi eszközöket, amelyekkel biztosítható a megfelelő mértékű erőszak alkalmazása.</w:t>
      </w:r>
    </w:p>
    <w:p>
      <w:pPr>
        <w:spacing w:before="0"/>
        <w:rPr>
          <w:noProof/>
        </w:rPr>
      </w:pPr>
      <w:r>
        <w:rPr>
          <w:i/>
          <w:noProof/>
        </w:rPr>
        <w:t>Elővigyázatossági kötelezettség</w:t>
      </w:r>
    </w:p>
    <w:p>
      <w:pPr>
        <w:spacing w:before="0"/>
        <w:rPr>
          <w:noProof/>
          <w:szCs w:val="24"/>
        </w:rPr>
      </w:pPr>
      <w:r>
        <w:rPr>
          <w:noProof/>
        </w:rPr>
        <w:t xml:space="preserve">Az Ügynökség személyzeti szabályzat hatálya alá tartozó műveleti személyzete által végzett műveleti tevékenységek során teljes mértékben tiszteletben kell tartani az emberi életet, és törekedni kell annak megóvására. A műveletek során végre kell hajtani minden szükséges intézkedést, amellyel a lehető legkisebbre csökkenthető a sérülés- és kárveszély. E kötelezettség értelmében az Ügynökség személyzeti szabályzat hatálya alá tartozó műveleti személyzete általában véve köteles egyértelmű figyelmeztetést adni az erőszak alkalmazása iránti szándékára vonatkozóan, kivéve, ha az ilyen figyelmeztetés indokolatlanul veszélyeztetné a csapatok tagjait, mások halálának vagy súlyos sérülésének veszélyét idézné </w:t>
      </w:r>
      <w:r>
        <w:rPr>
          <w:noProof/>
        </w:rPr>
        <w:lastRenderedPageBreak/>
        <w:t>elő, vagy az adott körülményekre tekintettel egyértelműen nem lenne helyénvaló vagy hatékony.</w:t>
      </w:r>
    </w:p>
    <w:p>
      <w:pPr>
        <w:pStyle w:val="Heading1"/>
        <w:rPr>
          <w:noProof/>
        </w:rPr>
      </w:pPr>
      <w:r>
        <w:rPr>
          <w:noProof/>
        </w:rPr>
        <w:t>Az erőszak, a szolgálati fegyverek, a lőszerek és egyéb felszerelések használatának gyakorlati szabályai</w:t>
      </w:r>
    </w:p>
    <w:p>
      <w:pPr>
        <w:spacing w:before="0"/>
        <w:rPr>
          <w:b/>
          <w:noProof/>
          <w:szCs w:val="24"/>
        </w:rPr>
      </w:pPr>
      <w:r>
        <w:rPr>
          <w:b/>
          <w:noProof/>
        </w:rPr>
        <w:t>Az erőszak, a fegyverek és egyéb felszerelések használatának általános gyakorlati szabályai</w:t>
      </w:r>
    </w:p>
    <w:p>
      <w:pPr>
        <w:spacing w:before="0"/>
        <w:rPr>
          <w:noProof/>
          <w:szCs w:val="24"/>
        </w:rPr>
      </w:pPr>
      <w:r>
        <w:rPr>
          <w:noProof/>
        </w:rPr>
        <w:t>A 83. cikk (3) bekezdése szerint az Ügynökség személyzeti szabályzat hatálya alá tartozó műveleti személyzete végrehajtási hatáskörét – beleértve az erőszak alkalmazását – a fogadó tagállam parancsnoksága alatt és ellenőrzése mellett gyakorolja, és kizárólag a fogadó tagállam illetékes hatóságai által adott engedély birtokában és a fogadó tagállam határőreinek jelenlétében alkalmazhatnak erőszakot, a fegyverek, lőszerek és felszerelések használatát is ideértve. Mindazonáltal a fogadó tagállam illetékes hatóságai az Ügynökség beleegyezésével engedélyezhetik, hogy az Ügynökség személyzeti szabályzat hatálya alá tartozó műveleti személyzete a fogadó tagállam tisztviselőinek távollétében erőszakot alkalmazzon.</w:t>
      </w:r>
    </w:p>
    <w:p>
      <w:pPr>
        <w:spacing w:before="0"/>
        <w:rPr>
          <w:noProof/>
          <w:szCs w:val="24"/>
        </w:rPr>
      </w:pPr>
      <w:r>
        <w:rPr>
          <w:noProof/>
        </w:rPr>
        <w:t>Az Ügynökség személyzeti szabályzat hatálya alá tartozó műveleti személyzete erőszak alkalmazása és fegyverek használata esetén:</w:t>
      </w:r>
    </w:p>
    <w:p>
      <w:pPr>
        <w:pStyle w:val="Point0"/>
        <w:rPr>
          <w:noProof/>
        </w:rPr>
      </w:pPr>
      <w:r>
        <w:rPr>
          <w:noProof/>
        </w:rPr>
        <w:t>a)</w:t>
      </w:r>
      <w:r>
        <w:rPr>
          <w:noProof/>
        </w:rPr>
        <w:tab/>
        <w:t>betartja az Ügynökség magatartási kódexét;</w:t>
      </w:r>
    </w:p>
    <w:p>
      <w:pPr>
        <w:pStyle w:val="Point0"/>
        <w:rPr>
          <w:noProof/>
        </w:rPr>
      </w:pPr>
      <w:r>
        <w:rPr>
          <w:noProof/>
        </w:rPr>
        <w:t>b)</w:t>
      </w:r>
      <w:r>
        <w:rPr>
          <w:noProof/>
        </w:rPr>
        <w:tab/>
        <w:t>tiszteletben tartja a nemzetközi és uniós jog, ezen belül különösen az Alapjogi Charta, az emberi jogok európai egyezménye, az erőszak és a tűzfegyverek bűnüldöző szervek általi használatáról szóló ENSZ-alapelveknek (1990) és az ENSZ bűnüldöző szervekre vonatkozó magatartási kódexe (1979) által biztosított alapvető jogokat;</w:t>
      </w:r>
    </w:p>
    <w:p>
      <w:pPr>
        <w:pStyle w:val="Point0"/>
        <w:rPr>
          <w:noProof/>
        </w:rPr>
      </w:pPr>
      <w:r>
        <w:rPr>
          <w:noProof/>
        </w:rPr>
        <w:t>c)</w:t>
      </w:r>
      <w:r>
        <w:rPr>
          <w:noProof/>
        </w:rPr>
        <w:tab/>
        <w:t>eleget tesz az I. részben rögzített alapelveknek.</w:t>
      </w:r>
    </w:p>
    <w:p>
      <w:pPr>
        <w:spacing w:before="0"/>
        <w:rPr>
          <w:noProof/>
          <w:szCs w:val="24"/>
        </w:rPr>
      </w:pPr>
      <w:r>
        <w:rPr>
          <w:b/>
          <w:noProof/>
        </w:rPr>
        <w:t>A bűnüldözésben erőszak alkalmazása során leggyakrabban használt eszközökre (az Ügynökség személyzeti szabályzat hatálya alá tartozó műveleti személyzetének személyi felszerelésére) vonatkozó különös gyakorlati szabályok</w:t>
      </w:r>
    </w:p>
    <w:p>
      <w:pPr>
        <w:spacing w:before="0"/>
        <w:rPr>
          <w:noProof/>
          <w:szCs w:val="24"/>
        </w:rPr>
      </w:pPr>
      <w:r>
        <w:rPr>
          <w:noProof/>
        </w:rPr>
        <w:t>Az alapelvek szerint erőszak alkalmazása kizárólag a közvetlen bűnüldözési cél eléréséhez szükséges mértékben megengedett, és csak azután, hogy:</w:t>
      </w:r>
    </w:p>
    <w:p>
      <w:pPr>
        <w:spacing w:before="0"/>
        <w:ind w:left="851" w:hanging="284"/>
        <w:rPr>
          <w:noProof/>
          <w:szCs w:val="24"/>
        </w:rPr>
      </w:pPr>
      <w:r>
        <w:rPr>
          <w:noProof/>
        </w:rPr>
        <w:t>–</w:t>
      </w:r>
      <w:r>
        <w:rPr>
          <w:noProof/>
        </w:rPr>
        <w:tab/>
        <w:t>az esetlegesen erőszakos összetűzés meggyőzés, tárgyalás és közvetítés útján történő rendezésére tett kísérletek sikertelennek bizonyultak;</w:t>
      </w:r>
    </w:p>
    <w:p>
      <w:pPr>
        <w:spacing w:before="0"/>
        <w:ind w:left="851" w:hanging="284"/>
        <w:rPr>
          <w:noProof/>
          <w:szCs w:val="24"/>
        </w:rPr>
      </w:pPr>
      <w:r>
        <w:rPr>
          <w:noProof/>
        </w:rPr>
        <w:t>–</w:t>
      </w:r>
      <w:r>
        <w:rPr>
          <w:noProof/>
        </w:rPr>
        <w:tab/>
        <w:t>az erőszak alkalmazására való figyelmeztetés megtörtént.</w:t>
      </w:r>
    </w:p>
    <w:p>
      <w:pPr>
        <w:spacing w:before="0"/>
        <w:rPr>
          <w:noProof/>
          <w:szCs w:val="24"/>
        </w:rPr>
      </w:pPr>
      <w:r>
        <w:rPr>
          <w:noProof/>
        </w:rPr>
        <w:t>Amennyiben növelni szükséges a beavatkozás mértékét (például fegyverhasználat vagy más jellegű fegyver bevetése), erre vonatkozóan egyértelmű figyelmeztetést kell adni, kivéve, ha az ilyen figyelmeztetés indokolatlanul veszélyeztetné a csapat tagjait, mások halálának vagy súlyos sérülésének veszélyét idézné elő, vagy az adott körülményekre tekintettel egyértelműen nem lenne helyénvaló vagy hatékony.</w:t>
      </w:r>
    </w:p>
    <w:p>
      <w:pPr>
        <w:spacing w:before="0"/>
        <w:rPr>
          <w:b/>
          <w:i/>
          <w:noProof/>
          <w:szCs w:val="24"/>
        </w:rPr>
      </w:pPr>
      <w:r>
        <w:rPr>
          <w:b/>
          <w:i/>
          <w:noProof/>
        </w:rPr>
        <w:t>Tűzfegyverek</w:t>
      </w:r>
    </w:p>
    <w:p>
      <w:pPr>
        <w:spacing w:before="0"/>
        <w:rPr>
          <w:noProof/>
          <w:szCs w:val="24"/>
        </w:rPr>
      </w:pPr>
      <w:r>
        <w:rPr>
          <w:noProof/>
        </w:rPr>
        <w:t>Az Ügynökség személyzeti szabályzat hatálya alá tartozó műveleti személyzete kizárólag az alábbi körülmények között használhat tűzfegyvert személy ellen, és csak akkor, ha a kevésbé szélsőséges eszközök elégtelenek a szükséges célok elérésére:</w:t>
      </w:r>
    </w:p>
    <w:p>
      <w:pPr>
        <w:pStyle w:val="Tiret0"/>
        <w:numPr>
          <w:ilvl w:val="0"/>
          <w:numId w:val="16"/>
        </w:numPr>
        <w:rPr>
          <w:noProof/>
        </w:rPr>
      </w:pPr>
      <w:r>
        <w:rPr>
          <w:noProof/>
        </w:rPr>
        <w:t>az Ügynökség személyzeti szabályzat hatálya alá tartozó műveleti személyzete csak szélsőséges veszélyhelyzetben, végső eszközként használhat tűzfegyvert, különösen akkor, ha a közelben tartózkodók veszélybe kerülhetnek;</w:t>
      </w:r>
    </w:p>
    <w:p>
      <w:pPr>
        <w:pStyle w:val="Tiret0"/>
        <w:rPr>
          <w:noProof/>
        </w:rPr>
      </w:pPr>
      <w:r>
        <w:rPr>
          <w:noProof/>
        </w:rPr>
        <w:lastRenderedPageBreak/>
        <w:t>hogy önmagukat vagy másokat védjék a halál vagy a súlyos sérülés közvetlen veszélyével szemben;</w:t>
      </w:r>
    </w:p>
    <w:p>
      <w:pPr>
        <w:pStyle w:val="Tiret0"/>
        <w:rPr>
          <w:noProof/>
        </w:rPr>
      </w:pPr>
      <w:r>
        <w:rPr>
          <w:noProof/>
        </w:rPr>
        <w:t>hogy megelőzzék a halál vagy a súlyos sérülés közvetlen veszélyét;</w:t>
      </w:r>
    </w:p>
    <w:p>
      <w:pPr>
        <w:pStyle w:val="Tiret0"/>
        <w:rPr>
          <w:noProof/>
        </w:rPr>
      </w:pPr>
      <w:r>
        <w:rPr>
          <w:noProof/>
        </w:rPr>
        <w:t xml:space="preserve">hogy nélkülözhetetlen intézmények, szolgáltatások vagy létesítmények elleni tényleges támadást verjenek vissza, vagy ilyen jellegű, várhatóan bekövetkező veszélyes támadást előzzenek meg. </w:t>
      </w:r>
    </w:p>
    <w:p>
      <w:pPr>
        <w:spacing w:before="0"/>
        <w:rPr>
          <w:noProof/>
          <w:szCs w:val="24"/>
        </w:rPr>
      </w:pPr>
      <w:r>
        <w:rPr>
          <w:noProof/>
        </w:rPr>
        <w:t>Az Ügynökség műveleti személyzetének tűzfegyver használata előtt egyértelmű figyelmeztetést kell adnia a tűzfegyver használatára vonatkozó szándékáról. A figyelmeztetés történhet szóban vagy figyelmeztető lövés leadásával.</w:t>
      </w:r>
    </w:p>
    <w:p>
      <w:pPr>
        <w:spacing w:before="0"/>
        <w:rPr>
          <w:b/>
          <w:i/>
          <w:noProof/>
          <w:szCs w:val="24"/>
        </w:rPr>
      </w:pPr>
      <w:r>
        <w:rPr>
          <w:b/>
          <w:i/>
          <w:noProof/>
        </w:rPr>
        <w:t>Halált nem okozó fegyverek</w:t>
      </w:r>
    </w:p>
    <w:p>
      <w:pPr>
        <w:spacing w:before="0"/>
        <w:rPr>
          <w:noProof/>
          <w:szCs w:val="24"/>
          <w:u w:val="single"/>
        </w:rPr>
      </w:pPr>
      <w:r>
        <w:rPr>
          <w:noProof/>
          <w:u w:val="single"/>
        </w:rPr>
        <w:t>Rendőrbot</w:t>
      </w:r>
    </w:p>
    <w:p>
      <w:pPr>
        <w:spacing w:before="0"/>
        <w:rPr>
          <w:noProof/>
          <w:szCs w:val="24"/>
        </w:rPr>
      </w:pPr>
      <w:r>
        <w:rPr>
          <w:noProof/>
        </w:rPr>
        <w:t>A jóváhagyott rendőrbotok az alapelvekkel összhangban, az alábbi esetekben használhatók esettől függően elsődleges önvédelmi eszközként vagy fegyverként:</w:t>
      </w:r>
    </w:p>
    <w:p>
      <w:pPr>
        <w:pStyle w:val="Tiret0"/>
        <w:rPr>
          <w:noProof/>
        </w:rPr>
      </w:pPr>
      <w:r>
        <w:rPr>
          <w:noProof/>
        </w:rPr>
        <w:t>ha a kisebb mértékű erőszak alkalmazása egyértelműen alkalmatlan a cél elérésére;</w:t>
      </w:r>
    </w:p>
    <w:p>
      <w:pPr>
        <w:pStyle w:val="Tiret0"/>
        <w:rPr>
          <w:noProof/>
        </w:rPr>
      </w:pPr>
      <w:r>
        <w:rPr>
          <w:noProof/>
        </w:rPr>
        <w:t>vagyon elleni tényleges vagy várhatóan bekövetkező támadás elhárítása érdekében.</w:t>
      </w:r>
    </w:p>
    <w:p>
      <w:pPr>
        <w:spacing w:before="0"/>
        <w:rPr>
          <w:noProof/>
          <w:szCs w:val="24"/>
        </w:rPr>
      </w:pPr>
      <w:r>
        <w:rPr>
          <w:noProof/>
        </w:rPr>
        <w:t>Az Ügynökség műveleti személyzetének rendőrbot használata előtt egyértelmű figyelmeztetést kell adnia a rendőrbot használatára vonatkozó szándékáról. A rendőrbot használata során a bevetett műveleti személyzetnek mindenkor törekednie kell a sérülés veszélyének minimalizálására és a fejre irányuló ütés elkerülésére.</w:t>
      </w:r>
    </w:p>
    <w:p>
      <w:pPr>
        <w:spacing w:before="0"/>
        <w:rPr>
          <w:noProof/>
          <w:szCs w:val="24"/>
          <w:u w:val="single"/>
        </w:rPr>
      </w:pPr>
      <w:r>
        <w:rPr>
          <w:noProof/>
          <w:u w:val="single"/>
        </w:rPr>
        <w:t>Könnyeztető hatású anyagok (például paprikapermet)</w:t>
      </w:r>
    </w:p>
    <w:p>
      <w:pPr>
        <w:spacing w:before="0"/>
        <w:rPr>
          <w:noProof/>
          <w:szCs w:val="24"/>
        </w:rPr>
      </w:pPr>
      <w:r>
        <w:rPr>
          <w:noProof/>
        </w:rPr>
        <w:t>A jóváhagyott könnyeztető hatású anyagok az alapelvekkel összhangban, az alábbi esetekben használhatók esettől függően önvédelmi eszközként vagy fegyverként:</w:t>
      </w:r>
    </w:p>
    <w:p>
      <w:pPr>
        <w:pStyle w:val="Tiret0"/>
        <w:rPr>
          <w:noProof/>
        </w:rPr>
      </w:pPr>
      <w:r>
        <w:rPr>
          <w:noProof/>
        </w:rPr>
        <w:t>ha a kisebb mértékű erőszak alkalmazása egyértelműen alkalmatlan a cél elérésére;</w:t>
      </w:r>
    </w:p>
    <w:p>
      <w:pPr>
        <w:pStyle w:val="Tiret0"/>
        <w:rPr>
          <w:noProof/>
        </w:rPr>
      </w:pPr>
      <w:r>
        <w:rPr>
          <w:noProof/>
        </w:rPr>
        <w:t xml:space="preserve">tényleges vagy várható támadás elhárítása érdekében. </w:t>
      </w:r>
    </w:p>
    <w:p>
      <w:pPr>
        <w:spacing w:before="0"/>
        <w:rPr>
          <w:b/>
          <w:i/>
          <w:noProof/>
          <w:szCs w:val="24"/>
        </w:rPr>
      </w:pPr>
      <w:r>
        <w:rPr>
          <w:b/>
          <w:i/>
          <w:noProof/>
        </w:rPr>
        <w:t>Más felszerelések</w:t>
      </w:r>
    </w:p>
    <w:p>
      <w:pPr>
        <w:spacing w:before="0"/>
        <w:rPr>
          <w:noProof/>
          <w:szCs w:val="24"/>
          <w:u w:val="single"/>
        </w:rPr>
      </w:pPr>
      <w:r>
        <w:rPr>
          <w:noProof/>
          <w:u w:val="single"/>
        </w:rPr>
        <w:t>Kézbilincs</w:t>
      </w:r>
    </w:p>
    <w:p>
      <w:pPr>
        <w:pStyle w:val="Tiret0"/>
        <w:rPr>
          <w:noProof/>
        </w:rPr>
      </w:pPr>
      <w:r>
        <w:rPr>
          <w:noProof/>
        </w:rPr>
        <w:t>Kizárólag önmagukra vagy másokra veszélyt jelentő személyekre tehető a biztonságos őrizetük vagy szállításuk, valamint az Ügynökség személyzeti szabályzat hatálya alá tartozó műveleti személyzetének és más csapattagoknak a biztonsága érdekében.</w:t>
      </w:r>
    </w:p>
    <w:p>
      <w:pPr>
        <w:pStyle w:val="ListParagraph"/>
        <w:spacing w:before="0"/>
        <w:rPr>
          <w:noProof/>
          <w:szCs w:val="24"/>
        </w:rPr>
      </w:pPr>
    </w:p>
    <w:p>
      <w:pPr>
        <w:pStyle w:val="Heading1"/>
        <w:rPr>
          <w:noProof/>
        </w:rPr>
      </w:pPr>
      <w:r>
        <w:rPr>
          <w:noProof/>
        </w:rPr>
        <w:t>Ellenőrzési mechanizmus</w:t>
      </w:r>
    </w:p>
    <w:p>
      <w:pPr>
        <w:spacing w:before="0"/>
        <w:rPr>
          <w:noProof/>
          <w:szCs w:val="24"/>
        </w:rPr>
      </w:pPr>
      <w:r>
        <w:rPr>
          <w:noProof/>
        </w:rPr>
        <w:t xml:space="preserve">Az Ügynökség az erőszak, a fegyverek, a lőszerek és egyéb felszerelések használatára vonatkozóan az alábbi óvintézkedéseket foganatosítja, éves jelentésében pedig áttekintést nyújt róluk. </w:t>
      </w:r>
    </w:p>
    <w:p>
      <w:pPr>
        <w:spacing w:before="0"/>
        <w:rPr>
          <w:b/>
          <w:noProof/>
          <w:szCs w:val="24"/>
        </w:rPr>
      </w:pPr>
      <w:r>
        <w:rPr>
          <w:b/>
          <w:noProof/>
        </w:rPr>
        <w:t>Képzés</w:t>
      </w:r>
    </w:p>
    <w:p>
      <w:pPr>
        <w:pStyle w:val="ListParagraph"/>
        <w:spacing w:before="0"/>
        <w:ind w:left="0"/>
        <w:rPr>
          <w:noProof/>
          <w:szCs w:val="24"/>
        </w:rPr>
      </w:pPr>
      <w:r>
        <w:rPr>
          <w:noProof/>
        </w:rPr>
        <w:t xml:space="preserve">A 62. cikk (2) bekezdése szerinti képzés kiterjed az erőszak megelőzésével és alkalmazásával kapcsolatos elméleti és gyakorlati szempontokra. Az elméleti képzés pszichológiai felkészítést (ezen belül az alkalmazkodóképességgel és a nagy nyomás alatti szolgálatteljesítéssel kapcsolatos képzést), valamint az erőszak alkalmazásának megelőzésére szolgáló, például tárgyalási és közvetítési technikák elsajátítását is magában foglalja. Az </w:t>
      </w:r>
      <w:r>
        <w:rPr>
          <w:noProof/>
        </w:rPr>
        <w:lastRenderedPageBreak/>
        <w:t>elméleti képzést az erőszak, a fegyverek, a lőszerek és egyéb felszerelések alkalmazásáról szóló, kötelező és megfelelő elméleti és gyakorlati képzés követi. A közös gyakorlati felfogás és megközelítés biztosítására irányuló gyakorlati képzés a bevetés során végzendő tevékenységekhez kapcsolódó szimulációval zárul.</w:t>
      </w:r>
    </w:p>
    <w:p>
      <w:pPr>
        <w:pStyle w:val="ListParagraph"/>
        <w:tabs>
          <w:tab w:val="left" w:pos="5400"/>
        </w:tabs>
        <w:spacing w:before="0"/>
        <w:rPr>
          <w:b/>
          <w:noProof/>
          <w:szCs w:val="24"/>
        </w:rPr>
      </w:pPr>
    </w:p>
    <w:p>
      <w:pPr>
        <w:tabs>
          <w:tab w:val="left" w:pos="5400"/>
        </w:tabs>
        <w:spacing w:before="0"/>
        <w:rPr>
          <w:b/>
          <w:noProof/>
          <w:szCs w:val="24"/>
        </w:rPr>
      </w:pPr>
      <w:r>
        <w:rPr>
          <w:b/>
          <w:noProof/>
        </w:rPr>
        <w:t>Kábítószerek, gyógyszerek és alkohol fogyasztása</w:t>
      </w:r>
    </w:p>
    <w:p>
      <w:pPr>
        <w:spacing w:before="0"/>
        <w:rPr>
          <w:noProof/>
          <w:szCs w:val="24"/>
        </w:rPr>
      </w:pPr>
      <w:r>
        <w:rPr>
          <w:noProof/>
        </w:rPr>
        <w:t xml:space="preserve">Az Ügynökség személyzeti szabályzat hatálya alá tartozó műveleti személyzete szolgálat közben vagy a szolgálat megkezdése előtt észszerű időn belül nem fogyaszthat alkoholt. </w:t>
      </w:r>
    </w:p>
    <w:p>
      <w:pPr>
        <w:spacing w:before="0"/>
        <w:rPr>
          <w:noProof/>
          <w:szCs w:val="24"/>
        </w:rPr>
      </w:pPr>
      <w:r>
        <w:rPr>
          <w:noProof/>
        </w:rPr>
        <w:t>Nem birtokolhat és nem fogyaszthat kábítószereket, gyógyszereket pedig kizárólag egészségügyi okokból birtokolhat és fogyaszthat. A személyzet egészségügyi okokból gyógyszeres kezelésre szoruló tagjainak haladéktalanul tájékoztatniuk kell erről a közvetlen felettesüket. A műveleti tevékenységekben való részvétel az anyag használatából adódó lehetséges hatásokra és mellékhatásokra tekintette felülbírálható.</w:t>
      </w:r>
    </w:p>
    <w:p>
      <w:pPr>
        <w:spacing w:before="0"/>
        <w:rPr>
          <w:noProof/>
          <w:szCs w:val="24"/>
        </w:rPr>
      </w:pPr>
      <w:r>
        <w:rPr>
          <w:noProof/>
        </w:rPr>
        <w:t>Az Ügynökség ellenőrzési mechanizmust alakít ki annak biztosítására, hogy a személyzeti szabályzat hatálya alá tartozó műveleti személyzete kábítószeres, gyógyszeres vagy alkoholos befolyásoltságtól mentesen lássa el a feladatait. Ennek a mechanizmusnak a személyzet lehetséges kábítószer- gyógyszer- vagy alkoholfogyasztással kapcsolatos rendszeres orvosi vizsgálatára kell épülnie. A pozitív vizsgálati eredményt haladéktalanul jelenteni kell az Ügynökség ügyvezető igazgatójának.</w:t>
      </w:r>
    </w:p>
    <w:p>
      <w:pPr>
        <w:spacing w:before="0"/>
        <w:rPr>
          <w:b/>
          <w:noProof/>
          <w:szCs w:val="24"/>
        </w:rPr>
      </w:pPr>
      <w:r>
        <w:rPr>
          <w:b/>
          <w:noProof/>
        </w:rPr>
        <w:t>Bejelentés</w:t>
      </w:r>
    </w:p>
    <w:p>
      <w:pPr>
        <w:spacing w:before="0"/>
        <w:rPr>
          <w:noProof/>
          <w:color w:val="4F6228" w:themeColor="accent3" w:themeShade="80"/>
        </w:rPr>
      </w:pPr>
      <w:r>
        <w:rPr>
          <w:noProof/>
        </w:rPr>
        <w:t xml:space="preserve">Az erőszak alkalmazásával járó incidenseket haladéktalanul jelenteni kell a parancsnoki láncon keresztül az egyes műveletekhez kapcsolódó koordinációs struktúra felé, valamint az Ügynökség alapjogi tisztviselője és ügyvezető igazgatója részére. A bejelentésben teljes körűen le kell írni az erőszak alkalmazásához vezető körülményeket. </w:t>
      </w:r>
    </w:p>
    <w:p>
      <w:pPr>
        <w:spacing w:before="0"/>
        <w:rPr>
          <w:b/>
          <w:noProof/>
          <w:szCs w:val="24"/>
        </w:rPr>
      </w:pPr>
      <w:r>
        <w:rPr>
          <w:b/>
          <w:noProof/>
        </w:rPr>
        <w:t>Együttműködési és tájékoztatási kötelezettség</w:t>
      </w:r>
    </w:p>
    <w:p>
      <w:pPr>
        <w:spacing w:before="0"/>
        <w:rPr>
          <w:noProof/>
          <w:szCs w:val="24"/>
        </w:rPr>
      </w:pPr>
      <w:r>
        <w:rPr>
          <w:noProof/>
        </w:rPr>
        <w:t xml:space="preserve">Az Ügynökség személyzeti szabályzat hatálya alá tartozó műveleti személyzete és a műveletek esetleges egyéb résztvevői együttműködnek a műveleti tevékenység során jelentett incidensekkel kapcsolatos tények feltárásában. </w:t>
      </w:r>
    </w:p>
    <w:p>
      <w:pPr>
        <w:spacing w:before="0"/>
        <w:rPr>
          <w:b/>
          <w:noProof/>
          <w:szCs w:val="24"/>
        </w:rPr>
      </w:pPr>
      <w:r>
        <w:rPr>
          <w:b/>
          <w:noProof/>
        </w:rPr>
        <w:t>Panaszkezelési mechanizmus</w:t>
      </w:r>
    </w:p>
    <w:p>
      <w:pPr>
        <w:spacing w:before="0"/>
        <w:rPr>
          <w:noProof/>
          <w:szCs w:val="24"/>
        </w:rPr>
      </w:pPr>
      <w:r>
        <w:rPr>
          <w:noProof/>
        </w:rPr>
        <w:t>A 107. cikkben meghatározott panaszkezelési mechanizmus útján bárki jelentheti annak gyanúját, hogy az Ügynökség személyzeti szabályzat hatálya alá tartozó műveleti személyzete megszegte az e melléklet szerint az erőszak alkalmazására vonatkozó szabályokat.</w:t>
      </w:r>
    </w:p>
    <w:p>
      <w:pPr>
        <w:spacing w:before="0"/>
        <w:rPr>
          <w:b/>
          <w:noProof/>
          <w:szCs w:val="24"/>
        </w:rPr>
      </w:pPr>
      <w:r>
        <w:rPr>
          <w:b/>
          <w:noProof/>
        </w:rPr>
        <w:t>Szankciók</w:t>
      </w:r>
    </w:p>
    <w:p>
      <w:pPr>
        <w:spacing w:before="0"/>
        <w:rPr>
          <w:noProof/>
          <w:szCs w:val="24"/>
        </w:rPr>
      </w:pPr>
      <w:r>
        <w:rPr>
          <w:noProof/>
        </w:rPr>
        <w:t>A 86. cikk sérelme nélkül, amennyiben az Ügynökség megállapítja, hogy a személyzeti szabályzat hatálya alá tartozó műveleti személyzetének egyik tagja az e rendelet szerint alkalmazandó szabályokba ütköző tevékenységével megsértette a többek között az Alapjogi Charta, az emberi jogok európai egyezménye és a nemzetközi jog által védett alapvető jogokat, akkor az ügyvezető igazgató megteszi a szükséges intézkedést, amely lehet a személyzet tagjának a műveleti tevékenységből való azonnali visszahívása, valamint a személyzeti szabályzat szerinti fegyelmi intézkedések alkalmazása, ezen belül akár a személyzet tagjának az Ügynökségtől való elbocsátása is.</w:t>
      </w:r>
    </w:p>
    <w:p>
      <w:pPr>
        <w:pStyle w:val="ListParagraph"/>
        <w:spacing w:before="0"/>
        <w:ind w:left="0"/>
        <w:rPr>
          <w:b/>
          <w:noProof/>
          <w:szCs w:val="24"/>
        </w:rPr>
      </w:pPr>
      <w:r>
        <w:rPr>
          <w:b/>
          <w:noProof/>
        </w:rPr>
        <w:t>Az alapjogi tisztviselő szerepköre</w:t>
      </w:r>
    </w:p>
    <w:p>
      <w:pPr>
        <w:spacing w:before="0"/>
        <w:rPr>
          <w:noProof/>
          <w:szCs w:val="24"/>
        </w:rPr>
      </w:pPr>
      <w:r>
        <w:rPr>
          <w:noProof/>
        </w:rPr>
        <w:t xml:space="preserve">Az alapjogi tisztviselőnek megvizsgálja az alap- és az ismétlő képzés tartalmát, és visszajelzést ad róluk, különös tekintettel azok alapjogi vonatkozásaira és azokra a </w:t>
      </w:r>
      <w:r>
        <w:rPr>
          <w:noProof/>
        </w:rPr>
        <w:lastRenderedPageBreak/>
        <w:t xml:space="preserve">helyzetekre, amikor az erőszak alkalmazása szükségessé válik, továbbá gondoskodik arról, hogy a képzések a vonatkozó megelőzési technikákra is kiterjedjenek. </w:t>
      </w:r>
    </w:p>
    <w:p>
      <w:pPr>
        <w:spacing w:before="0"/>
        <w:rPr>
          <w:noProof/>
          <w:szCs w:val="24"/>
        </w:rPr>
      </w:pPr>
      <w:r>
        <w:rPr>
          <w:noProof/>
        </w:rPr>
        <w:t>Az alapjogi tisztviselőnek jelentést készít az alapvető jogoknak a fogadó tagállam bűnüldözési gyakorlata során történő tiszteletben tartásáról. Ezt a jelentést az ügyvezető igazgatónak kell benyújtani, és figyelembe kell venni a műveleti terv kidolgozása során.</w:t>
      </w:r>
    </w:p>
    <w:p>
      <w:pPr>
        <w:spacing w:before="0"/>
        <w:rPr>
          <w:noProof/>
          <w:szCs w:val="24"/>
        </w:rPr>
      </w:pPr>
      <w:r>
        <w:rPr>
          <w:noProof/>
        </w:rPr>
        <w:t xml:space="preserve">Az alapjogi tisztviselő gondoskodik arról, hogy az erőszak alkalmazásával, illetve fegyver, lőszer vagy más felszerelés használatával járó incidenseket haladéktalanul jelentsék az ügyvezető igazgatónak. </w:t>
      </w:r>
    </w:p>
    <w:p>
      <w:pPr>
        <w:spacing w:before="0"/>
        <w:rPr>
          <w:noProof/>
          <w:szCs w:val="24"/>
        </w:rPr>
      </w:pPr>
      <w:r>
        <w:rPr>
          <w:noProof/>
        </w:rPr>
        <w:t>Az alapjogi tisztviselő az erőszak alkalmazásával, illetve fegyver, lőszer vagy más felszerelés használatával kapcsolatos összes tevékenységet ellenőrzi, és minden incidensről beszámol a jelentéseiben, az Ügynökség pedig az éves jelentésében.</w:t>
      </w:r>
    </w:p>
    <w:p>
      <w:pPr>
        <w:pStyle w:val="Heading1"/>
        <w:rPr>
          <w:noProof/>
        </w:rPr>
      </w:pPr>
      <w:r>
        <w:rPr>
          <w:noProof/>
        </w:rPr>
        <w:t>Szolgálati fegyverek biztosítása</w:t>
      </w:r>
    </w:p>
    <w:p>
      <w:pPr>
        <w:spacing w:before="0"/>
        <w:rPr>
          <w:b/>
          <w:noProof/>
          <w:szCs w:val="24"/>
        </w:rPr>
      </w:pPr>
      <w:r>
        <w:rPr>
          <w:b/>
          <w:noProof/>
        </w:rPr>
        <w:t>Fegyverek engedélyezése</w:t>
      </w:r>
    </w:p>
    <w:p>
      <w:pPr>
        <w:rPr>
          <w:noProof/>
          <w:szCs w:val="24"/>
        </w:rPr>
      </w:pPr>
      <w:r>
        <w:rPr>
          <w:noProof/>
        </w:rPr>
        <w:t xml:space="preserve">Az Ügynökség személyzeti szabályzat hatálya alá tartozó műveleti személyzete által használandó szolgálati fegyverek, lőszerek és egyéb felszerelések pontos meghatározása céljából az Ügynökség teljeskörű jegyzékét állít össze a személyi felszerelés részét képező eszközökről. </w:t>
      </w:r>
    </w:p>
    <w:p>
      <w:pPr>
        <w:rPr>
          <w:noProof/>
          <w:szCs w:val="24"/>
        </w:rPr>
      </w:pPr>
      <w:r>
        <w:rPr>
          <w:noProof/>
        </w:rPr>
        <w:t>A személyi felszerelést az Ügynökség személyzeti szabályzat hatálya alá tartozó műveleti személyzetének minden olyan tagja használja, aki az Európai Határ- és Parti Őrség készenléti alakulatából bevetett háromféle csapat tagjaként kerül bevetésre. Az Ügynökség az egy- vagy kétféle csapat esetében a végrehajtandó konkrét feladatok ellátásának kifejezett céljából további fegyverekkel, lőszerekkel vagy egyéb felszerelésekkel egészítheti ki a személyi felszerelést.</w:t>
      </w:r>
    </w:p>
    <w:p>
      <w:pPr>
        <w:rPr>
          <w:b/>
          <w:noProof/>
          <w:szCs w:val="24"/>
        </w:rPr>
      </w:pPr>
      <w:r>
        <w:rPr>
          <w:noProof/>
        </w:rPr>
        <w:t xml:space="preserve">Az Ügynökség gondoskodik arról, hogy a személyzeti szabályzat hatálya alá tartozó műveleti személyzete számára biztosított felszerelések – ideértve a tűzfegyvereket is – minden szükséges műszaki szabványnak megfeleljenek. </w:t>
      </w:r>
    </w:p>
    <w:p>
      <w:pPr>
        <w:rPr>
          <w:noProof/>
          <w:szCs w:val="24"/>
        </w:rPr>
      </w:pPr>
      <w:r>
        <w:rPr>
          <w:noProof/>
        </w:rPr>
        <w:t xml:space="preserve">A használatra engedélyezett fegyvereket, lőszereket és egyéb felszereléseket a fogadó tagállamban megengedett és tiltott fegyverekre vonatkozó előírásokkal összhangban fel kell sorolni a műveleti tervben. </w:t>
      </w:r>
    </w:p>
    <w:p>
      <w:pPr>
        <w:spacing w:before="0"/>
        <w:rPr>
          <w:b/>
          <w:noProof/>
          <w:szCs w:val="24"/>
        </w:rPr>
      </w:pPr>
      <w:r>
        <w:rPr>
          <w:b/>
          <w:noProof/>
        </w:rPr>
        <w:t>Fegyvertilalom</w:t>
      </w:r>
    </w:p>
    <w:p>
      <w:pPr>
        <w:spacing w:before="0"/>
        <w:rPr>
          <w:noProof/>
          <w:szCs w:val="24"/>
        </w:rPr>
      </w:pPr>
      <w:r>
        <w:rPr>
          <w:noProof/>
        </w:rPr>
        <w:t xml:space="preserve">A 83. cikk (2) bekezdésének második franciabekezdése értelmében a fogadó tagállam megtilthatja bizonyos szolgálati fegyverek, lőszerek és felszerelés viselését. </w:t>
      </w:r>
    </w:p>
    <w:p>
      <w:pPr>
        <w:spacing w:before="0"/>
        <w:rPr>
          <w:b/>
          <w:noProof/>
          <w:szCs w:val="24"/>
        </w:rPr>
      </w:pPr>
      <w:r>
        <w:rPr>
          <w:b/>
          <w:noProof/>
        </w:rPr>
        <w:t>A szolgálati időre vonatkozó utasítások</w:t>
      </w:r>
    </w:p>
    <w:p>
      <w:pPr>
        <w:spacing w:before="0"/>
        <w:rPr>
          <w:noProof/>
          <w:szCs w:val="24"/>
        </w:rPr>
      </w:pPr>
      <w:r>
        <w:rPr>
          <w:noProof/>
        </w:rPr>
        <w:t xml:space="preserve">Fegyverek, lőszerek és egyéb felszerelések műveletek során viselhetők és használhatók. Szolgálati időn kívüli viselésük vagy használatuk tilos. Az Ügynökség külön szabályokat és intézkedéseket határoz meg az Ügynökség személyzeti szabályzat hatálya alá tartozó műveleti személyzete által használt fegyverek, lőszerek és egyéb felszerelések szolgálati időn kívül biztonságos létesítményben való tárolásának előmozdítása érdekében.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VI. MELLÉKLET</w:t>
      </w:r>
    </w:p>
    <w:p>
      <w:pPr>
        <w:keepNext/>
        <w:spacing w:before="360"/>
        <w:jc w:val="center"/>
        <w:outlineLvl w:val="0"/>
        <w:rPr>
          <w:rFonts w:eastAsia="Times New Roman"/>
          <w:b/>
          <w:smallCaps/>
          <w:noProof/>
          <w:szCs w:val="20"/>
        </w:rPr>
      </w:pPr>
      <w:r>
        <w:rPr>
          <w:b/>
          <w:smallCaps/>
          <w:noProof/>
        </w:rPr>
        <w:t>Megfelelési táblázat</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4"/>
        <w:gridCol w:w="2120"/>
        <w:gridCol w:w="2123"/>
      </w:tblGrid>
      <w:tr>
        <w:trPr>
          <w:trHeight w:val="630"/>
          <w:tblHeader/>
        </w:trPr>
        <w:tc>
          <w:tcPr>
            <w:tcW w:w="219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(EU) 2016/1624 rendelet</w:t>
            </w:r>
          </w:p>
        </w:tc>
        <w:tc>
          <w:tcPr>
            <w:tcW w:w="2124"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1052/2013/EU rendelet</w:t>
            </w:r>
          </w:p>
        </w:tc>
        <w:tc>
          <w:tcPr>
            <w:tcW w:w="2120"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98/700/IB együttes fellépés</w:t>
            </w:r>
          </w:p>
        </w:tc>
        <w:tc>
          <w:tcPr>
            <w:tcW w:w="212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E rendelet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1. cikk, első mondat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1. cikk, második mondat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 cikk, (2)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bevezető rész</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bevezető rész</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bevezető rész</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2.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3.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4.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5.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a)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3.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6.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b)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7.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c)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8.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9.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d)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10.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f)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11.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16. pont</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e)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12.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g)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13.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i)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14.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3. cikk, h)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15.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4.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16.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8.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18.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9.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19.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5.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20.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6.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21.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7.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22.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10.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23.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24.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11.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25.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12.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26.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2. cikk, 13.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27.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14.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28.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2. cikk, 15.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29.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30.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 cikk, 31.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4. cikk, a)–d)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 cikk, a)–d)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4. cikk, e)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 cikk, e) és f)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4. cikk, f)–k)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 cikk, g) és h)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 cikk, (1)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 cikk, (2) és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 cikk, (3) és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 cikk, (1)–(4)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 cikk, (5)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 cikk,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 cikk, (6)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 cikk, (7) és (8)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8. cikk, (1) bekezdés, a)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2.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8. cikk, (1) bekezdés, b)–h)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3–10.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6.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5.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11.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8. cikk, (1) bekezdés, i)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12. pont, i. és ii. alpont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 cikk, (1) bekezdés, j) és k) pont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12. pont, iii. alpont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6. cikk, (1) bekezdés, b), c) és d)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 cikk, (1) bekezdés, l) pont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13.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6. cikk, (2)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8. cikk, (1) bekezdés, n) és o)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14–15.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8. cikk, (1) bekezdés, m)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16.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17–21.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 cikk, (1) bekezdés, p) és q) pont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22–23.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6. cikk, (1) bekezdés, a)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25.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8. cikk, (1) bekezdés r) és s)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26–27.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 cikk, (1) bekezdés, t) és u) pont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 cikk, (1) bekezdés, 28–29.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 cikk,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11.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 10. cikk pontjai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 cikk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 xml:space="preserve">10. cikk, (3) bekezdés, második és negyedik mondat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12. cikk, (3) bekezdés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10. cikk, (3) bekezdés, első és harmadik mondat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12.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 10. cikk (1) és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12. cikk, (1) és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23.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13. cikk első fele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13. cikk második fele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7. cikk, (1) és (2)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14.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7. cikk, (3), (4) és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44.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15.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44.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15.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15. cikk, (2) és (3)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18.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 cikk, (1)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19. cikk, (1)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 cikk, (2)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 cikk,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19. cikk, (2)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 cikk,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4. cikk, (1) bekezdés, a) és b)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20. cikk, (1) bekezdés, a) és b)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4 cikk, (1) bekezdés, d)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20. cikk, (1) bekezdés, c)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4 cikk, (1) bekezdés, c), e) és f)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20. cikk (1) bekezdés d), e) és f)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4. cikk,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4. cikk, (2) és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20. cikk, (2) és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21. cikk, (3) bekezdés, i)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5.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21. cikk, (kivéve a (3) bekezdés i) pontját)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17.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22.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21. cikk, (1) és (2)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23.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21. cikk,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24.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22. cikk, (1)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24. cikk, (2) és (3) bekezdés </w:t>
            </w:r>
          </w:p>
        </w:tc>
      </w:tr>
      <w:tr>
        <w:trPr>
          <w:trHeight w:val="126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10. cikk,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25. cikk, a (2) bekezdés pontjai (szerepelnek a rétegek általános meghatározásában)</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8.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25. cikk, (1) és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25. cikk, (3)–(5)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9. cikk, (1)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26.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9. cikk, (2) bekezdés, a)–e)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26. cikk, (2) bekezdés, a)–e)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26. cikk, (2) bekezdés, f)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9. cikk, (2) bekezdés, f)–k)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26. cikk, (2) bekezdés, g)–h)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9. cikk,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végrehajtási jogi aktus 25. cikke (5) bekezdésének pontjai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9. cikk,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26. cikk, a (3) bekezdés első fele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9. cikk, (5) bekezdés, az a) pont első fele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végrehajtási jogi aktus 25. cikke (5) bekezdésének pontjai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26. cikk, a (3) bekezdés második fele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9. cikk, (5) bekezdés, az a) pont második fele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26.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9. cikk, (5) bekezdés, b)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végrehajtási jogi aktus 25. cikke (5) bekezdésének pontjai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9. cikk, (6), (7), (8) és (10)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végrehajtási jogi aktus 25. cikke (5) bekezdésének pontjai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9. cikk, (9) bekezdés, a) és b)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végrehajtási jogi aktus 25. cikke (5) bekezdésének pontjai</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9. cikk., (9) bekezdés, bevezető rész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26. cikk,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10 cikk, (2) bekezdés, a), b) és f)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27 cikk, (2) bekezdés, a), b) és f)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10. cikk, (2) bekezdés, c)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végrehajtási jogi aktus 25. cikke (5) bekezdésének pontjai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10 cikk, (2) bekezdés, d) és e)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27. cikk, (2) bekezdés, c)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27. cikk, (2) bekezdés, e)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10. cikk,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27.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10. cikk,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27. cikk, (6)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10. cikk, (1) és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27. cikk, (1) és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10. cikk,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27. cikk, (4) és (5)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28.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12. cikk, (1)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29.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12. cikk, (2)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29. cikk, (2) bekezdés, a)–e)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12. cikk,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29. cikk, (2) bekezdés, f)–h)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12. cikk, (4) és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29. cikk, (3) és (4)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30.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14.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31. cikk első fele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14.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31. cikk, első mondat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31. cikk, második mondat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 31. cikk második fele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32. cikk, (2) bekezdés, j)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12.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32. cikk, (kivéve a (2) bekezdés j) pontját)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13.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33. cikk, összes bekezdés, kivéve a (9) bekezdést</w:t>
            </w:r>
          </w:p>
        </w:tc>
      </w:tr>
      <w:tr>
        <w:trPr>
          <w:trHeight w:val="315"/>
          <w:tblHeader/>
        </w:trPr>
        <w:tc>
          <w:tcPr>
            <w:tcW w:w="2193" w:type="dxa"/>
            <w:shd w:val="clear" w:color="auto" w:fill="auto"/>
          </w:tcPr>
          <w:p>
            <w:pPr>
              <w:spacing w:before="0" w:after="0"/>
              <w:jc w:val="left"/>
              <w:rPr>
                <w:rFonts w:eastAsia="Times New Roman"/>
                <w:noProof/>
                <w:color w:val="000000"/>
                <w:szCs w:val="24"/>
              </w:rPr>
            </w:pPr>
          </w:p>
        </w:tc>
        <w:tc>
          <w:tcPr>
            <w:tcW w:w="2124" w:type="dxa"/>
            <w:shd w:val="clear" w:color="auto" w:fill="auto"/>
          </w:tcPr>
          <w:p>
            <w:pPr>
              <w:spacing w:before="0" w:after="0"/>
              <w:jc w:val="left"/>
              <w:rPr>
                <w:rFonts w:eastAsia="Times New Roman"/>
                <w:noProof/>
                <w:color w:val="000000"/>
                <w:szCs w:val="24"/>
              </w:rPr>
            </w:pPr>
          </w:p>
        </w:tc>
        <w:tc>
          <w:tcPr>
            <w:tcW w:w="2120" w:type="dxa"/>
            <w:shd w:val="clear" w:color="auto" w:fill="auto"/>
          </w:tcPr>
          <w:p>
            <w:pPr>
              <w:spacing w:before="0" w:after="0"/>
              <w:jc w:val="left"/>
              <w:rPr>
                <w:rFonts w:eastAsia="Times New Roman"/>
                <w:noProof/>
                <w:color w:val="000000"/>
                <w:szCs w:val="24"/>
              </w:rPr>
            </w:pPr>
          </w:p>
        </w:tc>
        <w:tc>
          <w:tcPr>
            <w:tcW w:w="2123" w:type="dxa"/>
            <w:shd w:val="clear" w:color="auto" w:fill="auto"/>
          </w:tcPr>
          <w:p>
            <w:pPr>
              <w:spacing w:before="0" w:after="0"/>
              <w:jc w:val="left"/>
              <w:rPr>
                <w:rFonts w:eastAsia="Times New Roman"/>
                <w:noProof/>
                <w:color w:val="000000"/>
                <w:szCs w:val="24"/>
              </w:rPr>
            </w:pPr>
            <w:r>
              <w:rPr>
                <w:noProof/>
                <w:color w:val="000000"/>
              </w:rPr>
              <w:t>33. cikk, (9) bekezdés</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34.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35 cikk, (1) bekezdés, d) pont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15.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35. cikk, (kivéve az (1) bekezdés d) pontját)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36. cikk, (3) bekezdés, b)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16. cikk,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36.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16. cikk, (1), (2) és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36. cikk, (1), (2) és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14. cikk, (2) bekezdés, a)–e)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16. cikk, (4) bekezdés, b)–d) pont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37. cikk, (2) bekezdés, a)–e)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16. cikk, (4) bekezdés, a) pont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37. cikk, (2) bekezdés, f)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16. cikk,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14. cikk, (1), (3) és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37. cikk, (1), (3) és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15. cikk, (5)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38.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15. cikk, (1), (2) és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38. cikk, (1), (2) és (3)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39.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17.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40.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18. cikk,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41.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41. cikk, (5) bekezdés, d)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18. cikk,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41. cikk,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41. cikk, (6)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18. cikk, (5)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41. cikk, (7)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 18. cikk (1) és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41. cikk, (1), (2) és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15. cikk,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42.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15. cikk,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42. cikk, (2)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19.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43.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44.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22.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45.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24.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46.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25.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47.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48.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49. cikk, (1) bekezdés, c)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27. cikk, (1) bekezdés, c)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27. cikk, (1) bekezdés, kivéve a c) pontot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49. cikk, (1) bekezdés, kivéve a c) pontot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27.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49. cikk, (2) bekezdés, a)–d)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49. cikk, (2) bekezdés, e)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27. cikk, (3) és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49. cikk, (3) és (4)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50.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28.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51.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52.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30.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32.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53.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33.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54.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54.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33. cikk, (2)–(5)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54. cikk, (3)–(6)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20., 30., 31. cikk</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55–58.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59.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60.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61.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36.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62.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62.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36.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62.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36. cikk,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36. cikk, (4)–(8)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62. cikk, (4)–(8)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38.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63. cikk, (1), (3)–(6) bekezdés</w:t>
            </w:r>
          </w:p>
        </w:tc>
      </w:tr>
      <w:tr>
        <w:trPr>
          <w:trHeight w:val="630"/>
          <w:tblHeader/>
        </w:trPr>
        <w:tc>
          <w:tcPr>
            <w:tcW w:w="2193" w:type="dxa"/>
            <w:shd w:val="clear" w:color="auto" w:fill="auto"/>
          </w:tcPr>
          <w:p>
            <w:pPr>
              <w:rPr>
                <w:noProof/>
              </w:rPr>
            </w:pPr>
            <w:r>
              <w:rPr>
                <w:noProof/>
              </w:rPr>
              <w:t xml:space="preserve">--  </w:t>
            </w:r>
          </w:p>
        </w:tc>
        <w:tc>
          <w:tcPr>
            <w:tcW w:w="2124" w:type="dxa"/>
            <w:shd w:val="clear" w:color="auto" w:fill="auto"/>
          </w:tcPr>
          <w:p>
            <w:pPr>
              <w:rPr>
                <w:noProof/>
              </w:rPr>
            </w:pPr>
            <w:r>
              <w:rPr>
                <w:noProof/>
              </w:rPr>
              <w:t xml:space="preserve">-- </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63.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lastRenderedPageBreak/>
              <w:t xml:space="preserve">39. cikk, összes bekezdés, kivéve a (13) bekezdést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64.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20. cikk, (12) bekezdés </w:t>
            </w:r>
          </w:p>
          <w:p>
            <w:pPr>
              <w:spacing w:before="0" w:after="0"/>
              <w:jc w:val="left"/>
              <w:rPr>
                <w:rFonts w:eastAsia="Times New Roman"/>
                <w:noProof/>
                <w:color w:val="000000"/>
                <w:szCs w:val="24"/>
              </w:rPr>
            </w:pPr>
            <w:r>
              <w:rPr>
                <w:noProof/>
                <w:color w:val="000000"/>
              </w:rPr>
              <w:t xml:space="preserve">39. cikk, (13)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65.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37.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66.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67.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68.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52.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18. cikk, a (1) bekezdés első része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69.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18. cikk, (2) és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69.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52.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18. cikk,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69.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52. cikk,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69. cikk,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18. cikk, (6)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69. cikk, (6)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18. cikk,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69. cikk, (7)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53.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70.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19.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71. cikk, (2)–(6)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71.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72.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(2) bekezdés, utolsó mondat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72.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72. cikk, (1), (2) és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(1)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73.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73.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(3)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73.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74. cikk, (1)–(3)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(8) és (9)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74. cikk, (3) és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(11)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74. cikk, (5) és (6)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75. cikk, (1)–(3)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75.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75. cikk,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18. cikk, (1) bekezdés, utolsó mondat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76.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(2)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76.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(6)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76.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(7)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76.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77. cikk, (3)–(6)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55. cikk, (1)–(3)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77.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52. cikk, (5)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78.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(7)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78.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79. cikk, (1) és (3)–(6)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54. cikk, (5)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79. cikk,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55. cikk, (4)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79. cikk, (7)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1. cikk, (1) bekezdés</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80. cikk, (1) és (2)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1. cikk, (2) bekezdés</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2., 3. és 4. cikk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34.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81.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35.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82.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40.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83.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84.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42.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85.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43.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86.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45.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87.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88. cikk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47. cikk, (2) bekezdés, a) és b) pont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89. cikk, (2) bekezdés, a) és b) pont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89. cikk, (2) bekezdés, c)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48.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89. cikk, (2) bekezdés, c)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47. cikk, (2) bekezdés, c)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89. cikk, (2) bekezdés, d)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 47. cikk (1) és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89. cikk, összes bekezdés, kivéve a (2) bekezdés c) pontját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(8)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90. cikk, (5)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(9)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13.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90. cikk, (1) és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20. cikk, (4) és (5)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90. cikk, (3) és (4) bekezdés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49.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90.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 50. cikk (1) és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91. cikk, (1) és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91.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50. cikk, (3)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91.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92.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57.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93.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58. cikk, (1)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94. cikk, (1)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94. cikk, (2)–(4) bekezdés</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58. cikk, (2)–(4)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94. cikk, (5)–(7)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59.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95.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60.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96.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61. cikk, a) és b) pont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97. cikk, a) és b) pont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97. cikk, c) és f) pont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61. cikk, c) és d)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97. cikk, d) és e)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62. cikk, (2) bekezdés, a)–z) pont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98. cikk, (2) bekezdés, 1., 2., 4. és 6–27. pont</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98. cikk, (2) és (3)–(5) bekezdés</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62. cikk, (2)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98. cikk, (2) bekezdés, összes pont, kivéve a 3. és az 5. pontot</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62. cikk, (1) és (3)–(8) bekezdés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98. cikk, (1) és (3)–(8) bekezdés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63.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99.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64.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100.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65.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101.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102.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67.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103.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104. cikk, (2) bekezdés, p) és q) pont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68.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104. cikk, (2) bekezdés, kivéve a p) és q) pontot</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69.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105.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70.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106.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107.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72.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108.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73.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109.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74.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110.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75.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111.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76.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112.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77.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113.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78.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114.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79.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115.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22. cikk, (2) és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116. cikk, (3)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22. cikk, (3) és (4) bekezdés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116. cikk, (4)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23.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80.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81.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116. cikk, (1) és (2) bekezdés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117. cikk </w:t>
            </w:r>
          </w:p>
        </w:tc>
      </w:tr>
      <w:tr>
        <w:trPr>
          <w:trHeight w:val="315"/>
          <w:tblHeader/>
        </w:trPr>
        <w:tc>
          <w:tcPr>
            <w:tcW w:w="2193" w:type="dxa"/>
            <w:shd w:val="clear" w:color="auto" w:fill="auto"/>
          </w:tcPr>
          <w:p>
            <w:pPr>
              <w:rPr>
                <w:noProof/>
              </w:rPr>
            </w:pPr>
            <w:r>
              <w:rPr>
                <w:noProof/>
              </w:rPr>
              <w:t xml:space="preserve">--  </w:t>
            </w:r>
          </w:p>
        </w:tc>
        <w:tc>
          <w:tcPr>
            <w:tcW w:w="2124" w:type="dxa"/>
            <w:shd w:val="clear" w:color="auto" w:fill="auto"/>
          </w:tcPr>
          <w:p>
            <w:pPr>
              <w:rPr>
                <w:noProof/>
              </w:rPr>
            </w:pPr>
            <w:r>
              <w:rPr>
                <w:noProof/>
              </w:rPr>
              <w:t xml:space="preserve">--  </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118.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82. cikk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119. cikk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83. cikk</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24. cikk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120. cikk</w:t>
            </w:r>
          </w:p>
        </w:tc>
      </w:tr>
    </w:tbl>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23"/>
  </w:num>
  <w:num w:numId="18">
    <w:abstractNumId w:val="15"/>
  </w:num>
  <w:num w:numId="19">
    <w:abstractNumId w:val="25"/>
  </w:num>
  <w:num w:numId="20">
    <w:abstractNumId w:val="13"/>
  </w:num>
  <w:num w:numId="21">
    <w:abstractNumId w:val="16"/>
  </w:num>
  <w:num w:numId="22">
    <w:abstractNumId w:val="11"/>
  </w:num>
  <w:num w:numId="23">
    <w:abstractNumId w:val="24"/>
  </w:num>
  <w:num w:numId="24">
    <w:abstractNumId w:val="10"/>
  </w:num>
  <w:num w:numId="25">
    <w:abstractNumId w:val="17"/>
  </w:num>
  <w:num w:numId="26">
    <w:abstractNumId w:val="21"/>
  </w:num>
  <w:num w:numId="27">
    <w:abstractNumId w:val="22"/>
  </w:num>
  <w:num w:numId="28">
    <w:abstractNumId w:val="12"/>
  </w:num>
  <w:num w:numId="29">
    <w:abstractNumId w:val="20"/>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1 09:02: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53"/>
    <w:docVar w:name="DQCResult_UnknownFonts" w:val="0;0"/>
    <w:docVar w:name="DQCResult_UnknownStyles" w:val="0;5"/>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6"/>
    <w:docVar w:name="LW_ANNEX_UNIQUE" w:val="0"/>
    <w:docVar w:name="LW_CORRIGENDUM" w:val="&lt;UNUSED&gt;"/>
    <w:docVar w:name="LW_COVERPAGE_EXISTS" w:val="True"/>
    <w:docVar w:name="LW_COVERPAGE_GUID" w:val="78A2CEEC-D1C5-44B1-BDEC-C040E13D3E31"/>
    <w:docVar w:name="LW_COVERPAGE_TYPE" w:val="1"/>
    <w:docVar w:name="LW_CROSSREFERENCE" w:val="&lt;UNUSED&gt;"/>
    <w:docVar w:name="LW_DocType" w:val="ANNEX"/>
    <w:docVar w:name="LW_EMISSION" w:val="2018.9.12."/>
    <w:docVar w:name="LW_EMISSION_ISODATE" w:val="2018-09-12"/>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z Európai Határ- és Parti \u336?rségr\u337?l_x000b_és a 98/700/IB együttes tanácsi fellépés, az 1052/2013/EU európai parlamenti és tanácsi rendelet, valamint az (EU) 2016/1624 európai parlamenti és tanácsi rendelet hatályon kívül helyezésér\u337?l"/>
    <w:docVar w:name="LW_OBJETACTEPRINCIPAL.CP" w:val="az Európai Határ- és Parti \u336?rségr\u337?l_x000b_és a 98/700/IB együttes tanácsi fellépés, az 1052/2013/EU európai parlamenti és tanácsi rendelet, valamint az (EU) 2016/1624 európai parlamenti és tanácsi rendelet hatályon kívül helyezésér\u337?l"/>
    <w:docVar w:name="LW_PART_NBR" w:val="&lt;UNUSED&gt;"/>
    <w:docVar w:name="LW_PART_NBR_TOTAL" w:val="&lt;UNUSED&gt;"/>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EK"/>
    <w:docVar w:name="LW_TYPE.DOC.CP" w:val="MELLÉKLETEK"/>
    <w:docVar w:name="LW_TYPEACTEPRINCIPAL" w:val="AZ EURÓPAI PARLAMENT ÉS A TANÁCS RENDELETE_x000b__x000b_"/>
    <w:docVar w:name="LW_TYPEACTEPRINCIPAL.CP" w:val="AZ EURÓPAI PARLAMENT ÉS A TANÁCS RENDELETE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hu-HU"/>
    </w:rPr>
  </w:style>
  <w:style w:type="character" w:customStyle="1" w:styleId="NumPar1Char">
    <w:name w:val="NumPar 1 Char"/>
    <w:basedOn w:val="DefaultParagraphFont"/>
    <w:rPr>
      <w:rFonts w:ascii="Times New Roman" w:hAnsi="Times New Roman" w:cs="Times New Roman"/>
      <w:sz w:val="24"/>
      <w:lang w:val="hu-HU"/>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hu-HU"/>
    </w:rPr>
  </w:style>
  <w:style w:type="character" w:customStyle="1" w:styleId="CRMarker">
    <w:name w:val="CR Marker"/>
    <w:basedOn w:val="DefaultParagraphFont"/>
    <w:rPr>
      <w:rFonts w:ascii="Wingdings" w:hAnsi="Wingdings"/>
      <w:lang w:eastAsia="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hu-HU" w:eastAsia="hu-HU"/>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hu-HU"/>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hu-HU" w:eastAsia="hu-HU"/>
    </w:rPr>
  </w:style>
  <w:style w:type="character" w:customStyle="1" w:styleId="CRMinorChangeAdded">
    <w:name w:val="CR Minor Change Added"/>
    <w:basedOn w:val="DefaultParagraphFont"/>
    <w:rPr>
      <w:rFonts w:cs="Times New Roman"/>
      <w:u w:val="double"/>
      <w:lang w:val="hu-HU" w:eastAsia="hu-HU"/>
    </w:rPr>
  </w:style>
  <w:style w:type="character" w:customStyle="1" w:styleId="CRMinorChangeDeleted">
    <w:name w:val="CR Minor Change Deleted"/>
    <w:basedOn w:val="DefaultParagraphFont"/>
    <w:rPr>
      <w:rFonts w:cs="Times New Roman"/>
      <w:dstrike/>
      <w:u w:val="double"/>
      <w:lang w:val="hu-HU" w:eastAsia="hu-HU"/>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hu-HU"/>
    </w:rPr>
  </w:style>
  <w:style w:type="character" w:customStyle="1" w:styleId="NumPar1Char">
    <w:name w:val="NumPar 1 Char"/>
    <w:basedOn w:val="DefaultParagraphFont"/>
    <w:rPr>
      <w:rFonts w:ascii="Times New Roman" w:hAnsi="Times New Roman" w:cs="Times New Roman"/>
      <w:sz w:val="24"/>
      <w:lang w:val="hu-HU"/>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hu-HU"/>
    </w:rPr>
  </w:style>
  <w:style w:type="character" w:customStyle="1" w:styleId="CRMarker">
    <w:name w:val="CR Marker"/>
    <w:basedOn w:val="DefaultParagraphFont"/>
    <w:rPr>
      <w:rFonts w:ascii="Wingdings" w:hAnsi="Wingdings"/>
      <w:lang w:eastAsia="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hu-HU" w:eastAsia="hu-HU"/>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hu-HU"/>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hu-HU" w:eastAsia="hu-HU"/>
    </w:rPr>
  </w:style>
  <w:style w:type="character" w:customStyle="1" w:styleId="CRMinorChangeAdded">
    <w:name w:val="CR Minor Change Added"/>
    <w:basedOn w:val="DefaultParagraphFont"/>
    <w:rPr>
      <w:rFonts w:cs="Times New Roman"/>
      <w:u w:val="double"/>
      <w:lang w:val="hu-HU" w:eastAsia="hu-HU"/>
    </w:rPr>
  </w:style>
  <w:style w:type="character" w:customStyle="1" w:styleId="CRMinorChangeDeleted">
    <w:name w:val="CR Minor Change Deleted"/>
    <w:basedOn w:val="DefaultParagraphFont"/>
    <w:rPr>
      <w:rFonts w:cs="Times New Roman"/>
      <w:dstrike/>
      <w:u w:val="double"/>
      <w:lang w:val="hu-HU" w:eastAsia="hu-HU"/>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Props1.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3.xml><?xml version="1.0" encoding="utf-8"?>
<ds:datastoreItem xmlns:ds="http://schemas.openxmlformats.org/officeDocument/2006/customXml" ds:itemID="{16BFBFF9-3042-4413-A7D6-B60DFFBDBC28}">
  <ds:schemaRefs>
    <ds:schemaRef ds:uri="http://purl.org/dc/dcmitype/"/>
    <ds:schemaRef ds:uri="http://schemas.microsoft.com/sharepoint/v3/field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e5f05-4aa1-4e4f-a6fe-a0da6e7cad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21</Pages>
  <Words>6013</Words>
  <Characters>29827</Characters>
  <Application>Microsoft Office Word</Application>
  <DocSecurity>0</DocSecurity>
  <Lines>2711</Lines>
  <Paragraphs>2389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DIGIT/A3</cp:lastModifiedBy>
  <cp:revision>10</cp:revision>
  <dcterms:created xsi:type="dcterms:W3CDTF">2018-09-28T10:15:00Z</dcterms:created>
  <dcterms:modified xsi:type="dcterms:W3CDTF">2018-10-01T07:02:00Z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Green (DQC version 03)</vt:lpwstr>
  </property>
</Properties>
</file>