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A826E56-A887-448B-967A-8280CB58871F" style="width:450pt;height:424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 I</w:t>
      </w:r>
    </w:p>
    <w:p>
      <w:pPr>
        <w:jc w:val="center"/>
        <w:rPr>
          <w:noProof/>
        </w:rPr>
      </w:pPr>
      <w:r>
        <w:rPr>
          <w:noProof/>
        </w:rPr>
        <w:t>Složení stálého útvaru Evropské pohraniční a pobřežní stráže na rok a kategorii v souladu s článkem XX</w:t>
      </w:r>
    </w:p>
    <w:p>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1758"/>
        <w:gridCol w:w="1438"/>
      </w:tblGrid>
      <w:tr>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Kategorie Rok</w:t>
            </w:r>
          </w:p>
        </w:tc>
        <w:tc>
          <w:tcPr>
            <w:tcW w:w="175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pPr>
              <w:jc w:val="center"/>
              <w:rPr>
                <w:b/>
                <w:noProof/>
                <w:color w:val="000000"/>
              </w:rPr>
            </w:pPr>
            <w:r>
              <w:rPr>
                <w:b/>
                <w:noProof/>
                <w:color w:val="000000"/>
              </w:rPr>
              <w:t>Kategorie 1 Zaměstnanci agentury</w:t>
            </w:r>
          </w:p>
        </w:tc>
        <w:tc>
          <w:tcPr>
            <w:tcW w:w="21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Kategorie 2</w:t>
            </w:r>
          </w:p>
          <w:p>
            <w:pPr>
              <w:jc w:val="center"/>
              <w:rPr>
                <w:b/>
                <w:noProof/>
                <w:color w:val="000000"/>
              </w:rPr>
            </w:pPr>
            <w:r>
              <w:rPr>
                <w:b/>
                <w:noProof/>
                <w:color w:val="000000"/>
              </w:rPr>
              <w:t>Operativní pracovníci pro dlouhodobé vyslání</w:t>
            </w:r>
          </w:p>
        </w:tc>
        <w:tc>
          <w:tcPr>
            <w:tcW w:w="175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noProof/>
                <w:color w:val="000000"/>
              </w:rPr>
            </w:pPr>
            <w:r>
              <w:rPr>
                <w:b/>
                <w:noProof/>
                <w:color w:val="000000"/>
              </w:rPr>
              <w:t xml:space="preserve">Kategorie 3 </w:t>
            </w:r>
          </w:p>
          <w:p>
            <w:pPr>
              <w:jc w:val="center"/>
              <w:rPr>
                <w:b/>
                <w:noProof/>
                <w:color w:val="000000"/>
              </w:rPr>
            </w:pPr>
            <w:r>
              <w:rPr>
                <w:b/>
                <w:noProof/>
                <w:color w:val="000000"/>
              </w:rPr>
              <w:t>Operativní pracovníci pro krátkodobé vyslání</w:t>
            </w:r>
          </w:p>
        </w:tc>
        <w:tc>
          <w:tcPr>
            <w:tcW w:w="143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pPr>
              <w:jc w:val="center"/>
              <w:rPr>
                <w:b/>
                <w:iCs/>
                <w:noProof/>
                <w:color w:val="000000"/>
              </w:rPr>
            </w:pPr>
            <w:r>
              <w:rPr>
                <w:b/>
                <w:noProof/>
                <w:color w:val="000000"/>
              </w:rPr>
              <w:t>Stálý útvar Evropské pohraniční a pobřežní stráže celkem</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1 500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7 000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r>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spacing w:line="276" w:lineRule="auto"/>
              <w:jc w:val="center"/>
              <w:rPr>
                <w:noProof/>
                <w:color w:val="000000"/>
                <w:szCs w:val="24"/>
              </w:rPr>
            </w:pPr>
            <w:r>
              <w:rPr>
                <w:noProof/>
                <w:color w:val="000000"/>
              </w:rPr>
              <w:t>10 000</w:t>
            </w:r>
          </w:p>
        </w:tc>
      </w:tr>
    </w:tbl>
    <w:p>
      <w:pPr>
        <w:spacing w:before="0" w:after="160" w:line="259" w:lineRule="auto"/>
        <w:jc w:val="center"/>
        <w:rPr>
          <w:rFonts w:ascii="Calibri" w:eastAsia="Calibri" w:hAnsi="Calibri"/>
          <w:noProof/>
          <w:sz w:val="22"/>
        </w:rPr>
      </w:pPr>
    </w:p>
    <w:p>
      <w:pPr>
        <w:rPr>
          <w:noProof/>
        </w:rPr>
        <w:sectPr>
          <w:footerReference w:type="default" r:id="rId18"/>
          <w:footerReference w:type="first" r:id="rId19"/>
          <w:pgSz w:w="11907" w:h="16839"/>
          <w:pgMar w:top="1134" w:right="1417" w:bottom="1134" w:left="1417" w:header="709" w:footer="709" w:gutter="0"/>
          <w:cols w:space="720"/>
          <w:docGrid w:linePitch="360"/>
        </w:sectPr>
      </w:pPr>
    </w:p>
    <w:p>
      <w:pPr>
        <w:pStyle w:val="Annexetitre"/>
        <w:rPr>
          <w:noProof/>
        </w:rPr>
      </w:pPr>
      <w:r>
        <w:rPr>
          <w:noProof/>
        </w:rPr>
        <w:t>PŘÍLOHA II</w:t>
      </w:r>
    </w:p>
    <w:p>
      <w:pPr>
        <w:jc w:val="center"/>
        <w:rPr>
          <w:b/>
          <w:noProof/>
        </w:rPr>
      </w:pPr>
      <w:r>
        <w:rPr>
          <w:b/>
          <w:noProof/>
        </w:rPr>
        <w:t xml:space="preserve">Seznam úkolů, které mají plnit statutární zaměstnanci agentury jako příslušníci jednotek vyslaní ze stálého útvaru Evropské pohraniční a pobřežní stráže a které vyžadují výkonné pravomoci </w:t>
      </w:r>
    </w:p>
    <w:p>
      <w:pPr>
        <w:pStyle w:val="NumPar1"/>
        <w:numPr>
          <w:ilvl w:val="0"/>
          <w:numId w:val="14"/>
        </w:numPr>
        <w:rPr>
          <w:noProof/>
        </w:rPr>
      </w:pPr>
      <w:r>
        <w:rPr>
          <w:noProof/>
        </w:rPr>
        <w:t>Ověřování totožnosti a státní příslušnosti osob, včetně nahlížení do příslušných unijních a vnitrostátních databází;</w:t>
      </w:r>
    </w:p>
    <w:p>
      <w:pPr>
        <w:pStyle w:val="NumPar1"/>
        <w:rPr>
          <w:noProof/>
        </w:rPr>
      </w:pPr>
      <w:r>
        <w:rPr>
          <w:noProof/>
        </w:rPr>
        <w:t>povolení vstupu po hraniční kontrole provedené na hraničních přechodech (v případě, že jsou splněny podmínky vstupu stanovené v článku 6 Schengenského hraničního kodexu);</w:t>
      </w:r>
    </w:p>
    <w:p>
      <w:pPr>
        <w:pStyle w:val="NumPar1"/>
        <w:rPr>
          <w:noProof/>
        </w:rPr>
      </w:pPr>
      <w:r>
        <w:rPr>
          <w:noProof/>
        </w:rPr>
        <w:t>odepření vstupu po hraniční kontrole provedené na hraničních přechodech v souladu s článkem 14 Schengenského hraničního kodexu;</w:t>
      </w:r>
    </w:p>
    <w:p>
      <w:pPr>
        <w:pStyle w:val="NumPar1"/>
        <w:rPr>
          <w:noProof/>
        </w:rPr>
      </w:pPr>
      <w:r>
        <w:rPr>
          <w:noProof/>
        </w:rPr>
        <w:t>opatřování cestovních dokladů otiskem razítka v souladu s článkem 11 Schengenského hraničního kodexu;</w:t>
      </w:r>
    </w:p>
    <w:p>
      <w:pPr>
        <w:pStyle w:val="NumPar1"/>
        <w:rPr>
          <w:noProof/>
        </w:rPr>
      </w:pPr>
      <w:r>
        <w:rPr>
          <w:noProof/>
        </w:rPr>
        <w:t>udělování nebo zamítání víz na hranicích v souladu s článkem 35 vízového kodexu a vkládání příslušných údajů do systému VIS;</w:t>
      </w:r>
    </w:p>
    <w:p>
      <w:pPr>
        <w:pStyle w:val="NumPar1"/>
        <w:rPr>
          <w:noProof/>
        </w:rPr>
      </w:pPr>
      <w:r>
        <w:rPr>
          <w:noProof/>
        </w:rPr>
        <w:t>ostraha hranic včetně hlídkování mezi hraničními přechody s cílem zabránit nedovoleným překročením hranice, bojovat proti přeshraniční kriminalitě a přijímat opatření proti osobám, které nezákonně překročily hranici, včetně zadržení/zajištění;</w:t>
      </w:r>
    </w:p>
    <w:p>
      <w:pPr>
        <w:pStyle w:val="NumPar1"/>
        <w:rPr>
          <w:noProof/>
        </w:rPr>
      </w:pPr>
      <w:r>
        <w:rPr>
          <w:noProof/>
        </w:rPr>
        <w:t>registrace otisků prstů osob zadržených v souvislosti s nedovoleným překročením vnější hranice v systému Eurodac (kategorie 2) v souladu s kapitolou III nařízení o Eurodacu;</w:t>
      </w:r>
    </w:p>
    <w:p>
      <w:pPr>
        <w:pStyle w:val="NumPar1"/>
        <w:rPr>
          <w:noProof/>
        </w:rPr>
      </w:pPr>
      <w:r>
        <w:rPr>
          <w:noProof/>
        </w:rPr>
        <w:t>navázání kontaktu se třetími zeměmi za účelem identifikace státních příslušníků třetích zemí, na které se vztahuje rozhodnutí o navrácení, a získání cestovních dokladů pro tyto osoby;</w:t>
      </w:r>
    </w:p>
    <w:p>
      <w:pPr>
        <w:pStyle w:val="NumPar1"/>
        <w:rPr>
          <w:noProof/>
        </w:rPr>
      </w:pPr>
      <w:r>
        <w:rPr>
          <w:noProof/>
        </w:rPr>
        <w:t>poskytování doprovodu státním příslušníkům třetích zemí v případě nuceného návratu.</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PŘÍLOHA III</w:t>
      </w:r>
    </w:p>
    <w:p>
      <w:pPr>
        <w:spacing w:before="0" w:after="160" w:line="259" w:lineRule="auto"/>
        <w:jc w:val="center"/>
        <w:rPr>
          <w:rFonts w:eastAsia="Calibri"/>
          <w:b/>
          <w:noProof/>
          <w:szCs w:val="24"/>
        </w:rPr>
      </w:pPr>
      <w:r>
        <w:rPr>
          <w:b/>
          <w:noProof/>
        </w:rPr>
        <w:t>Tabulka s ročními příspěvky, které mají členské státy poskytnout stálému útvaru Evropské pohraniční a pobřežní stráže prostřednictvím dlouhodobého dočasného přidělení operativních pracovníků v souladu s článkem 57</w:t>
      </w:r>
    </w:p>
    <w:p>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965"/>
        <w:gridCol w:w="893"/>
        <w:gridCol w:w="862"/>
        <w:gridCol w:w="819"/>
        <w:gridCol w:w="818"/>
        <w:gridCol w:w="892"/>
        <w:gridCol w:w="892"/>
        <w:gridCol w:w="892"/>
        <w:gridCol w:w="788"/>
      </w:tblGrid>
      <w:tr>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Země/Rok</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pPr>
              <w:spacing w:before="0" w:after="160" w:line="259" w:lineRule="auto"/>
              <w:jc w:val="left"/>
              <w:rPr>
                <w:rFonts w:eastAsia="Times New Roman"/>
                <w:b/>
                <w:bCs/>
                <w:noProof/>
                <w:sz w:val="22"/>
              </w:rPr>
            </w:pPr>
            <w:r>
              <w:rPr>
                <w:b/>
                <w:noProof/>
                <w:sz w:val="22"/>
              </w:rPr>
              <w:t>2027</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Belgie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Bulharsko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Česká republika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Dánsko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Německo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Estonsko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Řecko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Španělsko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Francie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Chorvatsko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Itálie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Kypr</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Lotyšsko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Litva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Lucembursko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Maďarsko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Malta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Nizozemsko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Rakousko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68</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Polsko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200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Portugalsko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94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Rumunsko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150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Slovinsko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Slovensko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70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Finsko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60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Švédsko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noProof/>
                <w:color w:val="000000"/>
              </w:rPr>
              <w:t>34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[Švýcarsko]</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32</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[Island]</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[Lichtenštejnsko]*</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sz w:val="22"/>
              </w:rPr>
              <w:t>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0" w:after="160" w:line="259" w:lineRule="auto"/>
              <w:jc w:val="left"/>
              <w:rPr>
                <w:rFonts w:eastAsia="Times New Roman"/>
                <w:b/>
                <w:bCs/>
                <w:noProof/>
                <w:sz w:val="22"/>
              </w:rPr>
            </w:pPr>
            <w:r>
              <w:rPr>
                <w:b/>
                <w:noProof/>
                <w:sz w:val="22"/>
              </w:rPr>
              <w:t>[Norsko]</w:t>
            </w:r>
          </w:p>
        </w:tc>
        <w:tc>
          <w:tcPr>
            <w:tcW w:w="951"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pPr>
              <w:spacing w:before="0" w:after="160" w:line="259" w:lineRule="auto"/>
              <w:jc w:val="left"/>
              <w:rPr>
                <w:rFonts w:eastAsia="Times New Roman"/>
                <w:b/>
                <w:bCs/>
                <w:noProof/>
                <w:sz w:val="22"/>
              </w:rPr>
            </w:pPr>
            <w:r>
              <w:rPr>
                <w:noProof/>
                <w:color w:val="000000"/>
              </w:rPr>
              <w:t>40</w:t>
            </w:r>
          </w:p>
        </w:tc>
      </w:tr>
      <w:tr>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before="0" w:after="160" w:line="259" w:lineRule="auto"/>
              <w:jc w:val="left"/>
              <w:rPr>
                <w:rFonts w:eastAsia="Times New Roman"/>
                <w:b/>
                <w:bCs/>
                <w:noProof/>
                <w:sz w:val="22"/>
              </w:rPr>
            </w:pPr>
            <w:r>
              <w:rPr>
                <w:b/>
                <w:noProof/>
                <w:sz w:val="22"/>
              </w:rPr>
              <w:t>CELKEM</w:t>
            </w:r>
          </w:p>
        </w:tc>
        <w:tc>
          <w:tcPr>
            <w:tcW w:w="951"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pPr>
              <w:spacing w:before="0" w:after="160" w:line="259" w:lineRule="auto"/>
              <w:jc w:val="left"/>
              <w:rPr>
                <w:rFonts w:eastAsia="Times New Roman"/>
                <w:b/>
                <w:bCs/>
                <w:noProof/>
                <w:sz w:val="22"/>
              </w:rPr>
            </w:pPr>
            <w:r>
              <w:rPr>
                <w:b/>
                <w:noProof/>
                <w:color w:val="000000"/>
              </w:rPr>
              <w:t>3 000</w:t>
            </w:r>
          </w:p>
        </w:tc>
      </w:tr>
    </w:tbl>
    <w:p>
      <w:pPr>
        <w:spacing w:before="0" w:after="160" w:line="259" w:lineRule="auto"/>
        <w:jc w:val="left"/>
        <w:rPr>
          <w:rFonts w:eastAsia="Times New Roman"/>
          <w:noProof/>
          <w:szCs w:val="24"/>
        </w:rPr>
      </w:pPr>
      <w:r>
        <w:rPr>
          <w:noProof/>
        </w:rPr>
        <w:t>(*) Lichtenštejnsko přispěje poskytnutím poměrné finanční podpory.</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PŘÍLOHA IV</w:t>
      </w:r>
    </w:p>
    <w:p>
      <w:pPr>
        <w:spacing w:before="0" w:after="160" w:line="259" w:lineRule="auto"/>
        <w:jc w:val="center"/>
        <w:rPr>
          <w:rFonts w:eastAsia="Calibri"/>
          <w:noProof/>
          <w:szCs w:val="24"/>
        </w:rPr>
      </w:pPr>
      <w:r>
        <w:rPr>
          <w:b/>
          <w:noProof/>
        </w:rPr>
        <w:t>Roční příspěvky členských států stálému útvaru Evropské pohraniční a pobřežní stráže na krátkodobá vyslání operativních pracovníků v souladu s článkem 58</w:t>
      </w:r>
    </w:p>
    <w:p>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52"/>
        <w:gridCol w:w="960"/>
        <w:gridCol w:w="883"/>
        <w:gridCol w:w="850"/>
        <w:gridCol w:w="992"/>
        <w:gridCol w:w="851"/>
        <w:gridCol w:w="992"/>
        <w:gridCol w:w="711"/>
      </w:tblGrid>
      <w:tr>
        <w:trPr>
          <w:trHeight w:val="601"/>
          <w:jc w:val="center"/>
        </w:trPr>
        <w:tc>
          <w:tcPr>
            <w:tcW w:w="180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Země/Rok</w:t>
            </w:r>
          </w:p>
        </w:tc>
        <w:tc>
          <w:tcPr>
            <w:tcW w:w="75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pPr>
              <w:spacing w:before="0" w:after="0"/>
              <w:jc w:val="center"/>
              <w:rPr>
                <w:rFonts w:eastAsia="Times New Roman"/>
                <w:b/>
                <w:bCs/>
                <w:noProof/>
                <w:sz w:val="22"/>
              </w:rPr>
            </w:pPr>
            <w:r>
              <w:rPr>
                <w:b/>
                <w:noProof/>
                <w:sz w:val="22"/>
              </w:rPr>
              <w:t>2027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Belgie</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Bulharsko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Česká republika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Dánsko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77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Německo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602</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Estonsko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48</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Řecko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Španělsko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296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Francie</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Chorvatsko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Itálie</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333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Kypr</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Lotyšsko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Litva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104</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Lucembursko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Maďarsko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173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Malta</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16</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Nizozemsko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133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Rakousko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91</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Polsko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267</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Portugalsko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125</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Rumunsko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200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Slovinsko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Slovensko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93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Finsko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80</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Švédsko</w:t>
            </w:r>
          </w:p>
        </w:tc>
        <w:tc>
          <w:tcPr>
            <w:tcW w:w="752" w:type="dxa"/>
            <w:shd w:val="clear" w:color="auto" w:fill="auto"/>
            <w:noWrap/>
            <w:vAlign w:val="center"/>
            <w:hideMark/>
          </w:tcPr>
          <w:p>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pPr>
              <w:spacing w:before="0" w:after="0"/>
              <w:jc w:val="right"/>
              <w:rPr>
                <w:rFonts w:eastAsia="Times New Roman"/>
                <w:noProof/>
                <w:sz w:val="22"/>
              </w:rPr>
            </w:pPr>
            <w:r>
              <w:rPr>
                <w:noProof/>
                <w:color w:val="000000"/>
                <w:sz w:val="22"/>
              </w:rPr>
              <w:t>45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[Švýcarsko]</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43</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[Island]</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[Lichtenštejnsko]*</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0</w:t>
            </w:r>
          </w:p>
        </w:tc>
      </w:tr>
      <w:tr>
        <w:trPr>
          <w:trHeight w:val="300"/>
          <w:jc w:val="center"/>
        </w:trPr>
        <w:tc>
          <w:tcPr>
            <w:tcW w:w="1800" w:type="dxa"/>
            <w:shd w:val="clear" w:color="auto" w:fill="auto"/>
            <w:noWrap/>
            <w:vAlign w:val="bottom"/>
          </w:tcPr>
          <w:p>
            <w:pPr>
              <w:spacing w:before="0" w:after="0"/>
              <w:jc w:val="left"/>
              <w:rPr>
                <w:rFonts w:eastAsia="Times New Roman"/>
                <w:b/>
                <w:noProof/>
                <w:sz w:val="22"/>
              </w:rPr>
            </w:pPr>
            <w:r>
              <w:rPr>
                <w:b/>
                <w:noProof/>
                <w:sz w:val="22"/>
              </w:rPr>
              <w:t>[Norsko]</w:t>
            </w:r>
          </w:p>
        </w:tc>
        <w:tc>
          <w:tcPr>
            <w:tcW w:w="752" w:type="dxa"/>
            <w:shd w:val="clear" w:color="auto" w:fill="auto"/>
            <w:noWrap/>
            <w:vAlign w:val="center"/>
          </w:tcPr>
          <w:p>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pPr>
              <w:spacing w:before="0" w:after="0"/>
              <w:jc w:val="right"/>
              <w:rPr>
                <w:rFonts w:eastAsia="Times New Roman"/>
                <w:noProof/>
                <w:sz w:val="22"/>
              </w:rPr>
            </w:pPr>
            <w:r>
              <w:rPr>
                <w:noProof/>
                <w:color w:val="000000"/>
                <w:sz w:val="22"/>
              </w:rPr>
              <w:t>53</w:t>
            </w:r>
          </w:p>
        </w:tc>
      </w:tr>
      <w:tr>
        <w:trPr>
          <w:trHeight w:val="300"/>
          <w:jc w:val="center"/>
        </w:trPr>
        <w:tc>
          <w:tcPr>
            <w:tcW w:w="1800" w:type="dxa"/>
            <w:shd w:val="clear" w:color="auto" w:fill="auto"/>
            <w:noWrap/>
            <w:vAlign w:val="bottom"/>
            <w:hideMark/>
          </w:tcPr>
          <w:p>
            <w:pPr>
              <w:spacing w:before="0" w:after="0"/>
              <w:jc w:val="left"/>
              <w:rPr>
                <w:rFonts w:eastAsia="Times New Roman"/>
                <w:b/>
                <w:noProof/>
                <w:sz w:val="22"/>
              </w:rPr>
            </w:pPr>
            <w:r>
              <w:rPr>
                <w:b/>
                <w:noProof/>
                <w:sz w:val="22"/>
              </w:rPr>
              <w:t>CELKEM</w:t>
            </w:r>
          </w:p>
        </w:tc>
        <w:tc>
          <w:tcPr>
            <w:tcW w:w="752" w:type="dxa"/>
            <w:shd w:val="clear" w:color="auto" w:fill="auto"/>
            <w:noWrap/>
            <w:vAlign w:val="center"/>
            <w:hideMark/>
          </w:tcPr>
          <w:p>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pPr>
              <w:spacing w:before="0" w:after="0"/>
              <w:jc w:val="right"/>
              <w:rPr>
                <w:rFonts w:eastAsia="Times New Roman"/>
                <w:b/>
                <w:bCs/>
                <w:noProof/>
                <w:sz w:val="22"/>
              </w:rPr>
            </w:pPr>
            <w:r>
              <w:rPr>
                <w:b/>
                <w:noProof/>
                <w:color w:val="000000"/>
                <w:sz w:val="22"/>
              </w:rPr>
              <w:t>4 000</w:t>
            </w:r>
          </w:p>
        </w:tc>
      </w:tr>
    </w:tbl>
    <w:p>
      <w:pPr>
        <w:spacing w:before="0" w:after="160" w:line="259" w:lineRule="auto"/>
        <w:jc w:val="left"/>
        <w:rPr>
          <w:rFonts w:eastAsia="Calibri"/>
          <w:noProof/>
          <w:sz w:val="22"/>
        </w:rPr>
      </w:pPr>
      <w:r>
        <w:rPr>
          <w:noProof/>
          <w:sz w:val="22"/>
        </w:rPr>
        <w:t>(*) Lichtenštejnsko přispěje poskytnutím poměrné finanční podpory.</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PŘÍLOHA V</w:t>
      </w:r>
    </w:p>
    <w:p>
      <w:pPr>
        <w:jc w:val="center"/>
        <w:rPr>
          <w:b/>
          <w:noProof/>
          <w:szCs w:val="24"/>
        </w:rPr>
      </w:pPr>
      <w:r>
        <w:rPr>
          <w:b/>
          <w:noProof/>
        </w:rPr>
        <w:t>Pravidla pro použití síly, včetně vybavení služebními palnými zbraněmi a nesmrtícím vybavením, jejich kontroly a použití a odborné přípravy v této oblasti, která platí pro statutární zaměstnance agentury, pokud působí jako příslušníci jednotek během svého vyslání ze stálého útvaru Evropské pohraniční a pobřežní stráže</w:t>
      </w:r>
    </w:p>
    <w:p>
      <w:pPr>
        <w:pStyle w:val="Heading1"/>
        <w:numPr>
          <w:ilvl w:val="0"/>
          <w:numId w:val="15"/>
        </w:numPr>
        <w:rPr>
          <w:noProof/>
        </w:rPr>
      </w:pPr>
      <w:r>
        <w:rPr>
          <w:i/>
          <w:noProof/>
        </w:rPr>
        <w:t xml:space="preserve"> </w:t>
      </w:r>
      <w:r>
        <w:rPr>
          <w:noProof/>
        </w:rPr>
        <w:t>Obecné zásady použití síly a zbraní</w:t>
      </w:r>
    </w:p>
    <w:p>
      <w:pPr>
        <w:spacing w:before="0"/>
        <w:rPr>
          <w:b/>
          <w:i/>
          <w:noProof/>
          <w:szCs w:val="24"/>
        </w:rPr>
      </w:pPr>
      <w:r>
        <w:rPr>
          <w:noProof/>
        </w:rPr>
        <w:t>Pro účely tohoto nařízení se „použitím síly“ rozumí to, že statutární operativní zaměstnanci agentury použijí fyzické prostředky pro výkon svých funkcí nebo k zajištění sebeobrany, což zahrnuje použití rukou a těla, jakýchkoli nástrojů, zbraní nebo vybavení a palných zbraní.</w:t>
      </w:r>
    </w:p>
    <w:p>
      <w:pPr>
        <w:spacing w:before="0"/>
        <w:rPr>
          <w:b/>
          <w:noProof/>
          <w:szCs w:val="24"/>
        </w:rPr>
      </w:pPr>
      <w:r>
        <w:rPr>
          <w:noProof/>
        </w:rPr>
        <w:t>Při použití síly a zbraní příslušníků jednotek, kteří jsou vysláni z řad statutárních operativních zaměstnanců agentury, musí být dodrženy níže uvedené zásady nezbytnosti, přiměřenosti a prevence („hlavní zásady“).</w:t>
      </w:r>
    </w:p>
    <w:p>
      <w:pPr>
        <w:spacing w:before="0"/>
        <w:rPr>
          <w:i/>
          <w:noProof/>
          <w:szCs w:val="24"/>
        </w:rPr>
      </w:pPr>
      <w:r>
        <w:rPr>
          <w:i/>
          <w:noProof/>
        </w:rPr>
        <w:t>Zásada nezbytnosti</w:t>
      </w:r>
    </w:p>
    <w:p>
      <w:pPr>
        <w:spacing w:before="0"/>
        <w:rPr>
          <w:noProof/>
          <w:szCs w:val="24"/>
        </w:rPr>
      </w:pPr>
      <w:r>
        <w:rPr>
          <w:noProof/>
        </w:rPr>
        <w:t>K použití síly, ať již přímým fyzickým kontaktem nebo použitím zbraní či vybavení, smí dojít jen výjimečně a pouze tehdy, pokud je to nezbytně nutné pro zajištění výkonu povinností agentury nebo v sebeobraně. Sílu lze použít pouze jako poslední možnost, po vynaložení veškerého úsilí o vyřešení situace nenásilnými prostředky, včetně přesvědčování, vyjednávání nebo mediace. Použití síly nebo donucovacích opatření nesmí být nikdy svévolné nebo zneužívající.</w:t>
      </w:r>
    </w:p>
    <w:p>
      <w:pPr>
        <w:spacing w:before="0"/>
        <w:rPr>
          <w:i/>
          <w:noProof/>
          <w:szCs w:val="24"/>
        </w:rPr>
      </w:pPr>
      <w:r>
        <w:rPr>
          <w:i/>
          <w:noProof/>
        </w:rPr>
        <w:t>Zásada přiměřenosti</w:t>
      </w:r>
    </w:p>
    <w:p>
      <w:pPr>
        <w:spacing w:before="0"/>
        <w:rPr>
          <w:i/>
          <w:noProof/>
          <w:szCs w:val="24"/>
        </w:rPr>
      </w:pPr>
      <w:r>
        <w:rPr>
          <w:noProof/>
        </w:rPr>
        <w:t>Kdykoli je zákonné použití síly nebo palných zbraní nevyhnutelné, jednají statutární operativní zaměstnanci agentury přiměřeně k závažnosti činu a legitimnímu cíli, kterého má být dosaženo. Během operativních činností by se jak povaha použité síly (např. nutnost použít zbraně), tak rozsah použité síly měly řídit zásadou přiměřenosti. Statutární operativní zaměstnanci agentury nesmí použít více síly, než je naprosto nezbytné pro dosažení legitimního cíle prosazování práva. Je-li použita palná zbraň, statutární operativní zaměstnanci agentury zajistí, aby toto použití způsobilo co nejmenší zranění a aby se v co největším rozsahu minimalizovala zranění nebo škody. Podle této zásady musí agentura své statutární zaměstnance vybavit vybavením a nástroji sebeobrany, které jsou nutné pro uplatnění vhodné míry síly.</w:t>
      </w:r>
    </w:p>
    <w:p>
      <w:pPr>
        <w:spacing w:before="0"/>
        <w:rPr>
          <w:noProof/>
        </w:rPr>
      </w:pPr>
      <w:r>
        <w:rPr>
          <w:i/>
          <w:noProof/>
        </w:rPr>
        <w:t>Zásada prevence</w:t>
      </w:r>
    </w:p>
    <w:p>
      <w:pPr>
        <w:spacing w:before="0"/>
        <w:rPr>
          <w:noProof/>
          <w:szCs w:val="24"/>
        </w:rPr>
      </w:pPr>
      <w:r>
        <w:rPr>
          <w:noProof/>
        </w:rPr>
        <w:t>Operativní činnosti prováděné statutárními operativními zaměstnanci agentury plně respektují lidský život a usilují o jeho zachování. Je třeba učinit veškeré nezbytné kroky, které mohou minimalizovat riziko zranění a škod během operací. Tato povinnost zahrnuje obecnou povinnost pro statutární operativní zaměstnance agentury vydat jasné varování ohledně úmyslu použít sílu, s výjimkou případů, kdy by takové varování nepřiměřeně ohrozilo příslušníky jednotek, nebo by mohlo vést ke smrti nebo těžkému zranění jiných osob, nebo by za daných okolností bylo jednoznačně nepřiměřené nebo neúčinné.</w:t>
      </w:r>
    </w:p>
    <w:p>
      <w:pPr>
        <w:pStyle w:val="Heading1"/>
        <w:rPr>
          <w:noProof/>
        </w:rPr>
      </w:pPr>
      <w:r>
        <w:rPr>
          <w:noProof/>
        </w:rPr>
        <w:t>Praktická pravidla pro použití síly, služební zbraně, střeliva a vybavení</w:t>
      </w:r>
    </w:p>
    <w:p>
      <w:pPr>
        <w:spacing w:before="0"/>
        <w:rPr>
          <w:b/>
          <w:noProof/>
          <w:szCs w:val="24"/>
        </w:rPr>
      </w:pPr>
      <w:r>
        <w:rPr>
          <w:b/>
          <w:noProof/>
        </w:rPr>
        <w:t>Všeobecná praktická pravidla pro použití síly, zbraní a jiného vybavení</w:t>
      </w:r>
    </w:p>
    <w:p>
      <w:pPr>
        <w:spacing w:before="0"/>
        <w:rPr>
          <w:noProof/>
          <w:szCs w:val="24"/>
        </w:rPr>
      </w:pPr>
      <w:r>
        <w:rPr>
          <w:noProof/>
        </w:rPr>
        <w:t>V souladu s čl. 83 odst. 3 vykonávají statutární operativní zaměstnanci agentury svou výkonnou pravomoc včetně použití síly pod velením a kontrolou hostitelského členského státu a mohou tuto sílu, včetně zbraní, střeliva a vybavení, použít pouze po získání souhlasu příslušných orgánů hostitelského členského státu a za přítomnosti příslušníků pohraniční stráže hostitelského členského státu. Nicméně příslušné orgány hostitelského členského státu mohou se souhlasem agentury povolit, aby její statutární operativní zaměstnanci použili sílu za nepřítomnosti úředníků hostitelského členského státu.</w:t>
      </w:r>
    </w:p>
    <w:p>
      <w:pPr>
        <w:spacing w:before="0"/>
        <w:rPr>
          <w:noProof/>
          <w:szCs w:val="24"/>
        </w:rPr>
      </w:pPr>
      <w:r>
        <w:rPr>
          <w:noProof/>
        </w:rPr>
        <w:t>Při použití síly a zbraní musí statutární operativní zaměstnanci agentury:</w:t>
      </w:r>
    </w:p>
    <w:p>
      <w:pPr>
        <w:pStyle w:val="Point0"/>
        <w:rPr>
          <w:noProof/>
        </w:rPr>
      </w:pPr>
      <w:r>
        <w:rPr>
          <w:noProof/>
        </w:rPr>
        <w:t>a)</w:t>
      </w:r>
      <w:r>
        <w:rPr>
          <w:noProof/>
        </w:rPr>
        <w:tab/>
        <w:t>dodržovat kodex chování agentury;</w:t>
      </w:r>
    </w:p>
    <w:p>
      <w:pPr>
        <w:pStyle w:val="Point0"/>
        <w:rPr>
          <w:noProof/>
        </w:rPr>
      </w:pPr>
      <w:r>
        <w:rPr>
          <w:noProof/>
        </w:rPr>
        <w:t>b)</w:t>
      </w:r>
      <w:r>
        <w:rPr>
          <w:noProof/>
        </w:rPr>
        <w:tab/>
        <w:t>respektovat základní práva zaručená mezinárodním a unijním právem, mimo jiné zejména Listinou základních práv, Evropskou úmluvou o lidských právech, Základními zásadami OSN pro použití síly a střelných zbraní příslušníky donucovacích orgánů (1990) a Kodexem chování OSN pro příslušníky donucovacích orgánů (1979);</w:t>
      </w:r>
    </w:p>
    <w:p>
      <w:pPr>
        <w:pStyle w:val="Point0"/>
        <w:rPr>
          <w:noProof/>
        </w:rPr>
      </w:pPr>
      <w:r>
        <w:rPr>
          <w:noProof/>
        </w:rPr>
        <w:t>c)</w:t>
      </w:r>
      <w:r>
        <w:rPr>
          <w:noProof/>
        </w:rPr>
        <w:tab/>
        <w:t>dodržovat hlavní zásady uvedené v části I.</w:t>
      </w:r>
    </w:p>
    <w:p>
      <w:pPr>
        <w:spacing w:before="0"/>
        <w:rPr>
          <w:noProof/>
          <w:szCs w:val="24"/>
        </w:rPr>
      </w:pPr>
      <w:r>
        <w:rPr>
          <w:b/>
          <w:noProof/>
        </w:rPr>
        <w:t>Specifická praktická pravidla pro nejčastěji používané nástroje pro použití síly při prosazování práva (prvky osobního vybavení statutárních operativních zaměstnanců agentury)</w:t>
      </w:r>
    </w:p>
    <w:p>
      <w:pPr>
        <w:spacing w:before="0"/>
        <w:rPr>
          <w:noProof/>
          <w:szCs w:val="24"/>
        </w:rPr>
      </w:pPr>
      <w:r>
        <w:rPr>
          <w:noProof/>
        </w:rPr>
        <w:t>V souladu s hlavními zásadami je použití síly přípustné pouze v míře nezbytné pro dosažení bezprostředního cíle prosazování práva a pouze poté, co:</w:t>
      </w:r>
    </w:p>
    <w:p>
      <w:pPr>
        <w:spacing w:before="0"/>
        <w:ind w:left="851" w:hanging="284"/>
        <w:rPr>
          <w:noProof/>
          <w:szCs w:val="24"/>
        </w:rPr>
      </w:pPr>
      <w:r>
        <w:rPr>
          <w:noProof/>
        </w:rPr>
        <w:t>–</w:t>
      </w:r>
      <w:r>
        <w:rPr>
          <w:noProof/>
        </w:rPr>
        <w:tab/>
        <w:t>pokusy vyřešit potenciálně násilnou konfrontaci cestou přesvědčování, vyjednávání a mediace byly vyčerpány a ztroskotaly,</w:t>
      </w:r>
    </w:p>
    <w:p>
      <w:pPr>
        <w:spacing w:before="0"/>
        <w:ind w:left="851" w:hanging="284"/>
        <w:rPr>
          <w:noProof/>
          <w:szCs w:val="24"/>
        </w:rPr>
      </w:pPr>
      <w:r>
        <w:rPr>
          <w:noProof/>
        </w:rPr>
        <w:t>–</w:t>
      </w:r>
      <w:r>
        <w:rPr>
          <w:noProof/>
        </w:rPr>
        <w:tab/>
        <w:t>bylo vydáno varování ohledně úmyslu použít sílu.</w:t>
      </w:r>
    </w:p>
    <w:p>
      <w:pPr>
        <w:spacing w:before="0"/>
        <w:rPr>
          <w:noProof/>
          <w:szCs w:val="24"/>
        </w:rPr>
      </w:pPr>
      <w:r>
        <w:rPr>
          <w:noProof/>
        </w:rPr>
        <w:t>V případě, kdy je nutné zvýšit úroveň intervence (například použití zbraně nebo použití jiné formy zbraně), mělo by být rovněž vydáno jasné varování ohledně této eskalace, s výjimkou případů, kdy by takové varování nepřiměřeně ohrozilo příslušníky jednotek, nebo by mohlo vést ke vzniku rizika smrti nebo těžkého zranění jiných osob, nebo by za daných okolností bylo jednoznačně nepřiměřené nebo neúčinné.</w:t>
      </w:r>
    </w:p>
    <w:p>
      <w:pPr>
        <w:spacing w:before="0"/>
        <w:rPr>
          <w:b/>
          <w:i/>
          <w:noProof/>
          <w:szCs w:val="24"/>
        </w:rPr>
      </w:pPr>
      <w:r>
        <w:rPr>
          <w:b/>
          <w:i/>
          <w:noProof/>
        </w:rPr>
        <w:t>Palné zbraně</w:t>
      </w:r>
    </w:p>
    <w:p>
      <w:pPr>
        <w:spacing w:before="0"/>
        <w:rPr>
          <w:noProof/>
          <w:szCs w:val="24"/>
        </w:rPr>
      </w:pPr>
      <w:r>
        <w:rPr>
          <w:noProof/>
        </w:rPr>
        <w:t>Statutární operativní zaměstnanci agentury nepoužijí palné zbraně proti osobám, s výjimkou následujících okolností a pouze v případě, že nejsou méně extrémní prostředky dostatečné pro dosažení požadovaných cílů:</w:t>
      </w:r>
    </w:p>
    <w:p>
      <w:pPr>
        <w:pStyle w:val="Tiret0"/>
        <w:numPr>
          <w:ilvl w:val="0"/>
          <w:numId w:val="17"/>
        </w:numPr>
        <w:rPr>
          <w:noProof/>
        </w:rPr>
      </w:pPr>
      <w:r>
        <w:rPr>
          <w:noProof/>
        </w:rPr>
        <w:t>statutární operativní zaměstnanci agentury mohou použít palné zbraně pouze jako poslední možnost, v mimořádně naléhavé situaci, zejména pokud jsou riziku ohrožení vystaveny nezúčastněné osoby,</w:t>
      </w:r>
    </w:p>
    <w:p>
      <w:pPr>
        <w:pStyle w:val="Tiret0"/>
        <w:rPr>
          <w:noProof/>
        </w:rPr>
      </w:pPr>
      <w:r>
        <w:rPr>
          <w:noProof/>
        </w:rPr>
        <w:t>ochrana sebe nebo ostatních osob před bezprostředně hrozícím nebezpečím smrti nebo těžkého zranění,</w:t>
      </w:r>
    </w:p>
    <w:p>
      <w:pPr>
        <w:pStyle w:val="Tiret0"/>
        <w:rPr>
          <w:noProof/>
        </w:rPr>
      </w:pPr>
      <w:r>
        <w:rPr>
          <w:noProof/>
        </w:rPr>
        <w:t>prevence bezprostředně hrozícího nebezpečí smrti nebo těžkého zranění,</w:t>
      </w:r>
    </w:p>
    <w:p>
      <w:pPr>
        <w:pStyle w:val="Tiret0"/>
        <w:rPr>
          <w:noProof/>
        </w:rPr>
      </w:pPr>
      <w:r>
        <w:rPr>
          <w:noProof/>
        </w:rPr>
        <w:t xml:space="preserve">odvrácení skutečného útoku nebo zabránění hrozícímu nebezpečnému útoku na základní instituce, služby nebo zařízení. </w:t>
      </w:r>
    </w:p>
    <w:p>
      <w:pPr>
        <w:spacing w:before="0"/>
        <w:rPr>
          <w:noProof/>
          <w:szCs w:val="24"/>
        </w:rPr>
      </w:pPr>
      <w:r>
        <w:rPr>
          <w:noProof/>
        </w:rPr>
        <w:t>Před použitím palných zbraní musí operativní zaměstnanci agentury vydat jasné varování ohledně úmyslu tyto zbraně použít. Varování může být vydáno vyhlášením nebo vypálením varovných výstřelů.</w:t>
      </w:r>
    </w:p>
    <w:p>
      <w:pPr>
        <w:spacing w:before="0"/>
        <w:rPr>
          <w:b/>
          <w:i/>
          <w:noProof/>
          <w:szCs w:val="24"/>
        </w:rPr>
      </w:pPr>
      <w:r>
        <w:rPr>
          <w:b/>
          <w:i/>
          <w:noProof/>
        </w:rPr>
        <w:t>Nesmrtící zbraně</w:t>
      </w:r>
    </w:p>
    <w:p>
      <w:pPr>
        <w:spacing w:before="0"/>
        <w:rPr>
          <w:noProof/>
          <w:szCs w:val="24"/>
          <w:u w:val="single"/>
        </w:rPr>
      </w:pPr>
      <w:r>
        <w:rPr>
          <w:noProof/>
          <w:u w:val="single"/>
        </w:rPr>
        <w:t>Obušek</w:t>
      </w:r>
    </w:p>
    <w:p>
      <w:pPr>
        <w:spacing w:before="0"/>
        <w:rPr>
          <w:noProof/>
          <w:szCs w:val="24"/>
        </w:rPr>
      </w:pPr>
      <w:r>
        <w:rPr>
          <w:noProof/>
        </w:rPr>
        <w:t>Schválené obušky mohou být použity jako první prostředek obrany nebo případně jako zbraně v souladu s hlavními zásadami:</w:t>
      </w:r>
    </w:p>
    <w:p>
      <w:pPr>
        <w:pStyle w:val="Tiret0"/>
        <w:rPr>
          <w:noProof/>
        </w:rPr>
      </w:pPr>
      <w:r>
        <w:rPr>
          <w:noProof/>
        </w:rPr>
        <w:t>pokud se menší použití síly považuje jednoznačně za nevhodné pro zamýšlený účel,</w:t>
      </w:r>
    </w:p>
    <w:p>
      <w:pPr>
        <w:pStyle w:val="Tiret0"/>
        <w:rPr>
          <w:noProof/>
        </w:rPr>
      </w:pPr>
      <w:r>
        <w:rPr>
          <w:noProof/>
        </w:rPr>
        <w:t>k odvrácení skutečného nebo hrozícího útoku na majetek.</w:t>
      </w:r>
    </w:p>
    <w:p>
      <w:pPr>
        <w:spacing w:before="0"/>
        <w:rPr>
          <w:noProof/>
          <w:szCs w:val="24"/>
        </w:rPr>
      </w:pPr>
      <w:r>
        <w:rPr>
          <w:noProof/>
        </w:rPr>
        <w:t>Před použitím obušků musí operativní zaměstnanci agentury vydat jasné varování ohledně úmyslu obušky použít. Jsou-li použity obušky, vyslaní operativní pracovníci vždy usilují o to, aby riziko zranění bylo co nejmenší a aby nedošlo ke kontaktu s hlavou.</w:t>
      </w:r>
    </w:p>
    <w:p>
      <w:pPr>
        <w:spacing w:before="0"/>
        <w:rPr>
          <w:noProof/>
          <w:szCs w:val="24"/>
          <w:u w:val="single"/>
        </w:rPr>
      </w:pPr>
      <w:r>
        <w:rPr>
          <w:noProof/>
          <w:u w:val="single"/>
        </w:rPr>
        <w:t>Slzné látky (např. pepřový sprej)</w:t>
      </w:r>
    </w:p>
    <w:p>
      <w:pPr>
        <w:spacing w:before="0"/>
        <w:rPr>
          <w:noProof/>
          <w:szCs w:val="24"/>
        </w:rPr>
      </w:pPr>
      <w:r>
        <w:rPr>
          <w:noProof/>
        </w:rPr>
        <w:t>Schválené slzné látky mohou být použity jako prostředek obrany nebo případně jako zbraně v souladu s hlavními zásadami:</w:t>
      </w:r>
    </w:p>
    <w:p>
      <w:pPr>
        <w:pStyle w:val="Tiret0"/>
        <w:rPr>
          <w:noProof/>
        </w:rPr>
      </w:pPr>
      <w:r>
        <w:rPr>
          <w:noProof/>
        </w:rPr>
        <w:t>pokud se menší použití síly považuje za jednoznačně nevhodné pro zamýšlený účel,</w:t>
      </w:r>
    </w:p>
    <w:p>
      <w:pPr>
        <w:pStyle w:val="Tiret0"/>
        <w:rPr>
          <w:noProof/>
        </w:rPr>
      </w:pPr>
      <w:r>
        <w:rPr>
          <w:noProof/>
        </w:rPr>
        <w:t xml:space="preserve">k odvrácení skutečného nebo hrozícího útoku. </w:t>
      </w:r>
    </w:p>
    <w:p>
      <w:pPr>
        <w:spacing w:before="0"/>
        <w:rPr>
          <w:b/>
          <w:i/>
          <w:noProof/>
          <w:szCs w:val="24"/>
        </w:rPr>
      </w:pPr>
      <w:r>
        <w:rPr>
          <w:b/>
          <w:i/>
          <w:noProof/>
        </w:rPr>
        <w:t>Jiné vybavení</w:t>
      </w:r>
    </w:p>
    <w:p>
      <w:pPr>
        <w:spacing w:before="0"/>
        <w:rPr>
          <w:noProof/>
          <w:szCs w:val="24"/>
          <w:u w:val="single"/>
        </w:rPr>
      </w:pPr>
      <w:r>
        <w:rPr>
          <w:noProof/>
          <w:u w:val="single"/>
        </w:rPr>
        <w:t>Pouta</w:t>
      </w:r>
    </w:p>
    <w:p>
      <w:pPr>
        <w:pStyle w:val="Tiret0"/>
        <w:rPr>
          <w:noProof/>
        </w:rPr>
      </w:pPr>
      <w:r>
        <w:rPr>
          <w:noProof/>
        </w:rPr>
        <w:t>Pouty mohou být spoutány pouze osoby, které se považují za nebezpečné samy pro sebe nebo pro jiné osoby s cílem zajistit jejich bezpečné zadržení nebo převoz a bezpečnost statutárních operativních zaměstnanců agentury a dalších příslušníků jednotek.</w:t>
      </w:r>
    </w:p>
    <w:p>
      <w:pPr>
        <w:pStyle w:val="ListParagraph"/>
        <w:spacing w:before="0"/>
        <w:rPr>
          <w:noProof/>
          <w:szCs w:val="24"/>
        </w:rPr>
      </w:pPr>
    </w:p>
    <w:p>
      <w:pPr>
        <w:pStyle w:val="Heading1"/>
        <w:rPr>
          <w:noProof/>
        </w:rPr>
      </w:pPr>
      <w:r>
        <w:rPr>
          <w:noProof/>
        </w:rPr>
        <w:t>Kontrolní mechanismus</w:t>
      </w:r>
    </w:p>
    <w:p>
      <w:pPr>
        <w:spacing w:before="0"/>
        <w:rPr>
          <w:noProof/>
          <w:szCs w:val="24"/>
        </w:rPr>
      </w:pPr>
      <w:r>
        <w:rPr>
          <w:noProof/>
        </w:rPr>
        <w:t xml:space="preserve">Agentura poskytne v souvislosti s použitím síly, zbraní, střeliva a vybavení tyto záruky a provede v tomto ohledu hodnocení ve své výroční zprávě. </w:t>
      </w:r>
    </w:p>
    <w:p>
      <w:pPr>
        <w:spacing w:before="0"/>
        <w:rPr>
          <w:b/>
          <w:noProof/>
          <w:szCs w:val="24"/>
        </w:rPr>
      </w:pPr>
      <w:r>
        <w:rPr>
          <w:b/>
          <w:noProof/>
        </w:rPr>
        <w:t>Odborná příprava</w:t>
      </w:r>
    </w:p>
    <w:p>
      <w:pPr>
        <w:pStyle w:val="ListParagraph"/>
        <w:spacing w:before="0"/>
        <w:ind w:left="0"/>
        <w:rPr>
          <w:noProof/>
          <w:szCs w:val="24"/>
        </w:rPr>
      </w:pPr>
      <w:r>
        <w:rPr>
          <w:noProof/>
        </w:rPr>
        <w:t>Odborná příprava poskytovaná v souladu s čl. 62 odst. 2 zahrnuje teoretické a praktické aspekty prevence a použití síly. Teoretická odborná příprava zahrnuje psychologická školení (včetně tréninku odolnosti a zvládání práce v situacích, kdy je vyvíjen velký tlak) a techniky, jak předcházet použití síly, jako vyjednávání a mediace. Po teoretické přípravě následuje povinná a přiměřená teoretická a praktická odborná příprava týkající se použití síly, zbraní, střeliva a vybavení. Aby bylo zajištěno společné praktické chápání a společný přístup, uzavírá se praktická odborná příprava simulací relevantní pro činnosti prováděné během vyslání.</w:t>
      </w:r>
    </w:p>
    <w:p>
      <w:pPr>
        <w:pStyle w:val="ListParagraph"/>
        <w:tabs>
          <w:tab w:val="left" w:pos="5400"/>
        </w:tabs>
        <w:spacing w:before="0"/>
        <w:rPr>
          <w:b/>
          <w:noProof/>
          <w:szCs w:val="24"/>
        </w:rPr>
      </w:pPr>
    </w:p>
    <w:p>
      <w:pPr>
        <w:tabs>
          <w:tab w:val="left" w:pos="5400"/>
        </w:tabs>
        <w:spacing w:before="0"/>
        <w:rPr>
          <w:b/>
          <w:noProof/>
          <w:szCs w:val="24"/>
        </w:rPr>
      </w:pPr>
      <w:r>
        <w:rPr>
          <w:b/>
          <w:noProof/>
        </w:rPr>
        <w:t>Užívání drog a požívání alkoholu</w:t>
      </w:r>
    </w:p>
    <w:p>
      <w:pPr>
        <w:spacing w:before="0"/>
        <w:rPr>
          <w:noProof/>
          <w:szCs w:val="24"/>
        </w:rPr>
      </w:pPr>
      <w:r>
        <w:rPr>
          <w:noProof/>
        </w:rPr>
        <w:t xml:space="preserve">Statutární operativní zaměstnanci agentury nesmí ve službě ani během přiměřené doby před začátkem služby požívat alkohol. </w:t>
      </w:r>
    </w:p>
    <w:p>
      <w:pPr>
        <w:spacing w:before="0"/>
        <w:rPr>
          <w:noProof/>
          <w:szCs w:val="24"/>
        </w:rPr>
      </w:pPr>
      <w:r>
        <w:rPr>
          <w:noProof/>
        </w:rPr>
        <w:t>Nesmí vlastnit ani užívat drogy, s výjimkou případů, kdy jim byly předepsány z lékařských důvodů. Pracovníci, kteří potřebují drogy k lékařským účelům, o této nutnosti neprodleně informují svého přímého nadřízeného. Účast na operativních činnostech může být s ohledem na případné účinky i vedlejší účinky spojené s užíváním látky přezkoumána.</w:t>
      </w:r>
    </w:p>
    <w:p>
      <w:pPr>
        <w:spacing w:before="0"/>
        <w:rPr>
          <w:noProof/>
          <w:szCs w:val="24"/>
        </w:rPr>
      </w:pPr>
      <w:r>
        <w:rPr>
          <w:noProof/>
        </w:rPr>
        <w:t>Agentura zavede kontrolní mechanismus k zajištění toho, aby její statutární operativní zaměstnanci vykonávali své funkce bez jakéhokoli vlivu konzumace drog nebo alkoholu. Tento mechanismus je založen na pravidelných lékařských vyšetřeních, která musí pracovníci podstoupit s ohledem na možnou konzumaci drog nebo alkoholu. Veškeré pozitivní výsledky těchto vyšetření se neprodleně hlásí výkonnému řediteli agentury.</w:t>
      </w:r>
    </w:p>
    <w:p>
      <w:pPr>
        <w:spacing w:before="0"/>
        <w:rPr>
          <w:b/>
          <w:noProof/>
          <w:szCs w:val="24"/>
        </w:rPr>
      </w:pPr>
      <w:r>
        <w:rPr>
          <w:b/>
          <w:noProof/>
        </w:rPr>
        <w:t>Podávání zpráv</w:t>
      </w:r>
    </w:p>
    <w:p>
      <w:pPr>
        <w:spacing w:before="0"/>
        <w:rPr>
          <w:noProof/>
          <w:color w:val="4F6228" w:themeColor="accent3" w:themeShade="80"/>
        </w:rPr>
      </w:pPr>
      <w:r>
        <w:rPr>
          <w:noProof/>
        </w:rPr>
        <w:t xml:space="preserve">Každý incident, při němž bylo použito síly, se neprodleně hlásí po linii velení koordinační struktuře příslušné pro každou operaci, úředníkovi pro otázky základních práv a výkonnému řediteli agentury. Zpráva musí obsahovat všechny podrobnosti k okolnostem, za nichž k tomuto použití síly došlo. </w:t>
      </w:r>
    </w:p>
    <w:p>
      <w:pPr>
        <w:spacing w:before="0"/>
        <w:rPr>
          <w:b/>
          <w:noProof/>
          <w:szCs w:val="24"/>
        </w:rPr>
      </w:pPr>
      <w:r>
        <w:rPr>
          <w:b/>
          <w:noProof/>
        </w:rPr>
        <w:t>Povinnost spolupracovat a informovat</w:t>
      </w:r>
    </w:p>
    <w:p>
      <w:pPr>
        <w:spacing w:before="0"/>
        <w:rPr>
          <w:noProof/>
          <w:szCs w:val="24"/>
        </w:rPr>
      </w:pPr>
      <w:r>
        <w:rPr>
          <w:noProof/>
        </w:rPr>
        <w:t xml:space="preserve">Statutární operativní zaměstnanci agentury a všichni ostatní účastníci operace spolupracují při zjišťování skutečností ke každému incidentu, který byl během operativní činnosti hlášen. </w:t>
      </w:r>
    </w:p>
    <w:p>
      <w:pPr>
        <w:spacing w:before="0"/>
        <w:rPr>
          <w:b/>
          <w:noProof/>
          <w:szCs w:val="24"/>
        </w:rPr>
      </w:pPr>
      <w:r>
        <w:rPr>
          <w:b/>
          <w:noProof/>
        </w:rPr>
        <w:t>Mechanismus pro podávání a vyřizování stížností</w:t>
      </w:r>
    </w:p>
    <w:p>
      <w:pPr>
        <w:spacing w:before="0"/>
        <w:rPr>
          <w:noProof/>
          <w:szCs w:val="24"/>
        </w:rPr>
      </w:pPr>
      <w:r>
        <w:rPr>
          <w:noProof/>
        </w:rPr>
        <w:t>Každá osoba může ohlásit domnělé porušení pravidel pro použití síly platných podle této přílohy v rámci mechanismu pro podávání a vyřizování stížností podle článku 107, které způsobili statutární operativní zaměstnanci agentury.</w:t>
      </w:r>
    </w:p>
    <w:p>
      <w:pPr>
        <w:spacing w:before="0"/>
        <w:rPr>
          <w:b/>
          <w:noProof/>
          <w:szCs w:val="24"/>
        </w:rPr>
      </w:pPr>
      <w:r>
        <w:rPr>
          <w:b/>
          <w:noProof/>
        </w:rPr>
        <w:t>Sankce</w:t>
      </w:r>
    </w:p>
    <w:p>
      <w:pPr>
        <w:spacing w:before="0"/>
        <w:rPr>
          <w:noProof/>
          <w:szCs w:val="24"/>
        </w:rPr>
      </w:pPr>
      <w:r>
        <w:rPr>
          <w:noProof/>
        </w:rPr>
        <w:t>Pokud agentura zjistí, že některý z jejích statutárních operativních zaměstnanců prováděl činnosti, kterými porušil pravidla platná podle tohoto nařízení, včetně základních práv chráněných Listinou, Evropskou úmluvou o lidských právech a mezinárodním právem, přijme výkonný ředitel, aniž je dotčen článek 86, přiměřená opatření, která mohou zahrnovat okamžité odvolání zaměstnance z operativní činnosti a jakákoli disciplinární opatření v souladu se služebním řádem, včetně odvolání zaměstnance z agentury.</w:t>
      </w:r>
    </w:p>
    <w:p>
      <w:pPr>
        <w:pStyle w:val="ListParagraph"/>
        <w:spacing w:before="0"/>
        <w:ind w:left="0"/>
        <w:rPr>
          <w:b/>
          <w:noProof/>
          <w:szCs w:val="24"/>
        </w:rPr>
      </w:pPr>
      <w:r>
        <w:rPr>
          <w:b/>
          <w:noProof/>
        </w:rPr>
        <w:t>Úloha úředníka pro otázky základních práv</w:t>
      </w:r>
    </w:p>
    <w:p>
      <w:pPr>
        <w:spacing w:before="0"/>
        <w:rPr>
          <w:noProof/>
          <w:szCs w:val="24"/>
        </w:rPr>
      </w:pPr>
      <w:r>
        <w:rPr>
          <w:noProof/>
        </w:rPr>
        <w:t xml:space="preserve">Úředník pro otázky základních práv ověří obsah úvodní a průběžné odborné přípravy se zvláštním zřetelem na aspekty základních práv a situaci, kdy je použití síly nutné, poskytne zpětnou vazbu a zajistí, aby do této odborné přípravy byly zahrnuty relevantní techniky prevence. </w:t>
      </w:r>
    </w:p>
    <w:p>
      <w:pPr>
        <w:spacing w:before="0"/>
        <w:rPr>
          <w:noProof/>
          <w:szCs w:val="24"/>
        </w:rPr>
      </w:pPr>
      <w:r>
        <w:rPr>
          <w:noProof/>
        </w:rPr>
        <w:t>Úředník pro otázky základních práv podává zprávy o dodržování základních práv v praxi prosazování práva v hostitelském členském státě. Tato zpráva se předkládá výkonnému řediteli a je zohledněna při vypracovávání operačního plánu.</w:t>
      </w:r>
    </w:p>
    <w:p>
      <w:pPr>
        <w:spacing w:before="0"/>
        <w:rPr>
          <w:noProof/>
          <w:szCs w:val="24"/>
        </w:rPr>
      </w:pPr>
      <w:r>
        <w:rPr>
          <w:noProof/>
        </w:rPr>
        <w:t xml:space="preserve">Úředník pro otázky základních práv zajistí, aby byly všechny incidenty v souvislosti s použitím síly, zbraní, střeliva a vybavení bezodkladně hlášeny výkonnému řediteli. </w:t>
      </w:r>
    </w:p>
    <w:p>
      <w:pPr>
        <w:spacing w:before="0"/>
        <w:rPr>
          <w:noProof/>
          <w:szCs w:val="24"/>
        </w:rPr>
      </w:pPr>
      <w:r>
        <w:rPr>
          <w:noProof/>
        </w:rPr>
        <w:t>Úředník pro otázky základních práv pravidelně monitoruje veškeré činnosti v souvislosti s použitím síly, zbraní, střeliva a vybavení a všechny incidenty jsou uvedeny v jeho zprávách i ve výroční zprávě agentury.</w:t>
      </w:r>
    </w:p>
    <w:p>
      <w:pPr>
        <w:pStyle w:val="Heading1"/>
        <w:rPr>
          <w:noProof/>
        </w:rPr>
      </w:pPr>
      <w:r>
        <w:rPr>
          <w:noProof/>
        </w:rPr>
        <w:t>Poskytnutí služebních zbraní</w:t>
      </w:r>
    </w:p>
    <w:p>
      <w:pPr>
        <w:spacing w:before="0"/>
        <w:rPr>
          <w:b/>
          <w:noProof/>
          <w:szCs w:val="24"/>
        </w:rPr>
      </w:pPr>
      <w:r>
        <w:rPr>
          <w:b/>
          <w:noProof/>
        </w:rPr>
        <w:t>Povolení zbraní</w:t>
      </w:r>
    </w:p>
    <w:p>
      <w:pPr>
        <w:rPr>
          <w:noProof/>
          <w:szCs w:val="24"/>
        </w:rPr>
      </w:pPr>
      <w:r>
        <w:rPr>
          <w:noProof/>
        </w:rPr>
        <w:t xml:space="preserve">Aby bylo možné přesně určit, jaké služební zbraně, střelivo a další vybavení mají statutární operativní zaměstnanci agentury používat, stanoví agentura vyčerpávající seznam věcí, které mají patřit k osobnímu vybavení. </w:t>
      </w:r>
    </w:p>
    <w:p>
      <w:pPr>
        <w:rPr>
          <w:noProof/>
          <w:szCs w:val="24"/>
        </w:rPr>
      </w:pPr>
      <w:r>
        <w:rPr>
          <w:noProof/>
        </w:rPr>
        <w:t>Toto osobní vybavení používají všichni statutární operativní zaměstnanci agentury vyslaní jako příslušníci tří typů jednotek ze stálého útvaru Evropské pohraniční a pobřežní stráže. Agentura může rovněž doplnit osobní vybavení o další zbraně, střelivo nebo jiné vybavení specifické pro provádění konkrétních úkolů v rámci jednoho nebo dvou typů jednotek.</w:t>
      </w:r>
    </w:p>
    <w:p>
      <w:pPr>
        <w:rPr>
          <w:b/>
          <w:noProof/>
          <w:szCs w:val="24"/>
        </w:rPr>
      </w:pPr>
      <w:r>
        <w:rPr>
          <w:noProof/>
        </w:rPr>
        <w:t xml:space="preserve">Agentura zajistí, aby veškeré vybavení poskytnuté jejím statutárním operativním zaměstnancům, včetně palných zbraní, splňovalo všechny nezbytné technické normy. </w:t>
      </w:r>
    </w:p>
    <w:p>
      <w:pPr>
        <w:rPr>
          <w:noProof/>
          <w:szCs w:val="24"/>
        </w:rPr>
      </w:pPr>
      <w:r>
        <w:rPr>
          <w:noProof/>
        </w:rPr>
        <w:t xml:space="preserve">Zbraně, střelivo a vybavení, které jsou povoleny k použití, jsou uvedeny v operačním plánu v souladu s požadavky hostitelského členského státu ohledně přípustných a zakázaných zbraní. </w:t>
      </w:r>
    </w:p>
    <w:p>
      <w:pPr>
        <w:spacing w:before="0"/>
        <w:rPr>
          <w:b/>
          <w:noProof/>
          <w:szCs w:val="24"/>
        </w:rPr>
      </w:pPr>
      <w:r>
        <w:rPr>
          <w:b/>
          <w:noProof/>
        </w:rPr>
        <w:t>Zákaz zbraní</w:t>
      </w:r>
    </w:p>
    <w:p>
      <w:pPr>
        <w:spacing w:before="0"/>
        <w:rPr>
          <w:noProof/>
          <w:szCs w:val="24"/>
        </w:rPr>
      </w:pPr>
      <w:r>
        <w:rPr>
          <w:noProof/>
        </w:rPr>
        <w:t xml:space="preserve">Hostitelský členský stát může zakázat nošení určitých služebních zbraní, střeliva a vybavení v souladu s čl. 83 odst. 2 druhou odrážkou. </w:t>
      </w:r>
    </w:p>
    <w:p>
      <w:pPr>
        <w:spacing w:before="0"/>
        <w:rPr>
          <w:b/>
          <w:noProof/>
          <w:szCs w:val="24"/>
        </w:rPr>
      </w:pPr>
      <w:r>
        <w:rPr>
          <w:b/>
          <w:noProof/>
        </w:rPr>
        <w:t>Instrukce pro dobu služby</w:t>
      </w:r>
    </w:p>
    <w:p>
      <w:pPr>
        <w:spacing w:before="0"/>
        <w:rPr>
          <w:noProof/>
          <w:szCs w:val="24"/>
        </w:rPr>
      </w:pPr>
      <w:r>
        <w:rPr>
          <w:noProof/>
        </w:rPr>
        <w:t xml:space="preserve">Zbraně, střelivo a vybavení lze nosit a používat během operací. Není dovolené je nosit nebo používat mimo dobu služby. Agentura stanoví konkrétní pravidla a opatření, aby usnadnila skladování zbraní, střeliva a dalšího vybavení statutárních operativních zaměstnanců agentury mimo dobu služby v zabezpečených zařízeních.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PŘÍLOHA VI</w:t>
      </w:r>
    </w:p>
    <w:p>
      <w:pPr>
        <w:keepNext/>
        <w:spacing w:before="360"/>
        <w:jc w:val="center"/>
        <w:outlineLvl w:val="0"/>
        <w:rPr>
          <w:rFonts w:eastAsia="Times New Roman"/>
          <w:b/>
          <w:smallCaps/>
          <w:noProof/>
          <w:szCs w:val="20"/>
        </w:rPr>
      </w:pPr>
      <w:r>
        <w:rPr>
          <w:b/>
          <w:smallCaps/>
          <w:noProof/>
        </w:rPr>
        <w:t>Srovnávací tabulka</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trPr>
          <w:trHeight w:val="630"/>
          <w:tblHeader/>
        </w:trPr>
        <w:tc>
          <w:tcPr>
            <w:tcW w:w="219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Nařízení (EU) 2016/1624</w:t>
            </w:r>
          </w:p>
        </w:tc>
        <w:tc>
          <w:tcPr>
            <w:tcW w:w="2124"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Nařízení (EU) č. 1052/2013</w:t>
            </w:r>
          </w:p>
        </w:tc>
        <w:tc>
          <w:tcPr>
            <w:tcW w:w="2120"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Společná akce 98/700/SVV</w:t>
            </w:r>
          </w:p>
        </w:tc>
        <w:tc>
          <w:tcPr>
            <w:tcW w:w="2123" w:type="dxa"/>
            <w:shd w:val="clear" w:color="auto" w:fill="D9D9D9" w:themeFill="background1" w:themeFillShade="D9"/>
            <w:hideMark/>
          </w:tcPr>
          <w:p>
            <w:pPr>
              <w:spacing w:before="0" w:after="0"/>
              <w:jc w:val="left"/>
              <w:rPr>
                <w:rFonts w:eastAsia="Times New Roman"/>
                <w:b/>
                <w:noProof/>
                <w:color w:val="000000"/>
                <w:szCs w:val="24"/>
              </w:rPr>
            </w:pPr>
            <w:r>
              <w:rPr>
                <w:b/>
                <w:noProof/>
                <w:color w:val="000000"/>
              </w:rPr>
              <w:t>Toto nařízení</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1 první věta</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1 druhá věta</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 odst.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uvozující věta</w:t>
            </w:r>
          </w:p>
        </w:tc>
        <w:tc>
          <w:tcPr>
            <w:tcW w:w="2124" w:type="dxa"/>
            <w:shd w:val="clear" w:color="auto" w:fill="auto"/>
            <w:hideMark/>
          </w:tcPr>
          <w:p>
            <w:pPr>
              <w:spacing w:before="0" w:after="0"/>
              <w:jc w:val="left"/>
              <w:rPr>
                <w:rFonts w:eastAsia="Times New Roman"/>
                <w:noProof/>
                <w:color w:val="000000"/>
                <w:szCs w:val="24"/>
              </w:rPr>
            </w:pPr>
            <w:r>
              <w:rPr>
                <w:noProof/>
                <w:color w:val="000000"/>
              </w:rPr>
              <w:t>čl. 3 uvozující věta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uvozující věta</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11</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16</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12</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g)</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i)</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3 písm. h)</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8</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9</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19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6</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7</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10</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24</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25</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12</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26</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27</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14</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28</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 bod 15</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29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30</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 bod 31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4 písm. a) až d)</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 písm. a) až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4 písm. 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 písm. e) a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4 písm. f) až k)</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 písm. g) až 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 odst.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 odst. 2 a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 odst. 3 a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 odst. 1 až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 odst.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 odst.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 odst. 7 a 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a)</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2</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b) až h)</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3 až 10</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11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i)</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12 i) a 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8 odst. 1 písm. j) a k)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12 iii)</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6 odst. 1 písm. b) až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8 odst. 1 písm. l)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13</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6 odst.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n) a o)</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14 a 15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m)</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16</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17 až 21</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8 odst. 1 písm. p) a q)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22 a 23</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6 odst. 1 písm.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 25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8 odst. 1 písm. r) a s)</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26 a 27</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8 odst. 1 písm. t) a u)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 odst. 1 body 28 a 29</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8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body zahrnuté v článku 10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10 odst. 3 druhá a čtvrtá věta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12 odst. 3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10 odst. 3 první a třetí věta</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12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10 odst. 1 a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12 odst. 1 a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článek 13 první polovina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článek 13 druhá polovina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7 odst. 1 a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7 odst. 3 až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44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15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44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15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15 odst. 2 a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 odst.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19 odst. 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 odst.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19 odst.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4 odst. 1 písm. a) a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20 odst. 1 písm. a) a b)</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4 odst. 1 písm. d)</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20 odst. 1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4 odst. 1 písm. c), e) a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20 odst. 1 písm. d), e) a f)</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4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4 odst. 2 a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20 odst. 2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21 odst. 3 písm.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21 (kromě odst. 3 písm. i)</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17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22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21 odst. 1 a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23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21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24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22 odst.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24 odst. 2 a 3 </w:t>
            </w:r>
          </w:p>
        </w:tc>
      </w:tr>
      <w:tr>
        <w:trPr>
          <w:trHeight w:val="126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10 odst.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2 body (zahrnuté v obecných definicích vrstev)</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8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25 odst. 1 a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25 odst. 3 až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9 odst.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26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2 písm. a) až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26 odst. 2 písm. a) až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26 odst. 2 písm.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2 písm. f) až k)</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26 odst. 2 písm. g) až h)</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9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9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26 odst. 3 první polovina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5 písm. a) první polovina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26 odst. 3 druhá polovina</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5 písm. a) druhá polovina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26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5 písm.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9 odst. 6, 7, 8 a 10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9 odst. 9 písm. a) a b)</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9 odst. 9 uvozující věta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26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10 odst. 2 písm. a), b) a f)</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27 odst. 2 písm. a), b) a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10 odst. 2 písm. c)</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25 odst. 5 body v prováděcím aktu</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10 odst. 2 písm. d) a e)</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27 odst. 2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27 odst. 2 písm.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10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27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10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27 odst.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10 odst. 1 a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27 odst. 1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10 odst.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27 odst. 4 a 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28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12 odst.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29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12 odst.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29 odst. 2 písm. a) až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12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29 odst. 2 písm. f) až h)</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12 odst. 4 a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29 odst. 3 a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30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31 první část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31 první věta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31 druhá věta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31 druhá část</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32 odst. 2 písm. j)</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32 (kromě odst. 2 písm. j))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33 všechny odst. kromě odst. 9</w:t>
            </w:r>
          </w:p>
        </w:tc>
      </w:tr>
      <w:tr>
        <w:trPr>
          <w:trHeight w:val="315"/>
          <w:tblHeader/>
        </w:trPr>
        <w:tc>
          <w:tcPr>
            <w:tcW w:w="2193" w:type="dxa"/>
            <w:shd w:val="clear" w:color="auto" w:fill="auto"/>
          </w:tcPr>
          <w:p>
            <w:pPr>
              <w:spacing w:before="0" w:after="0"/>
              <w:jc w:val="left"/>
              <w:rPr>
                <w:rFonts w:eastAsia="Times New Roman"/>
                <w:noProof/>
                <w:color w:val="000000"/>
                <w:szCs w:val="24"/>
              </w:rPr>
            </w:pPr>
          </w:p>
        </w:tc>
        <w:tc>
          <w:tcPr>
            <w:tcW w:w="2124" w:type="dxa"/>
            <w:shd w:val="clear" w:color="auto" w:fill="auto"/>
          </w:tcPr>
          <w:p>
            <w:pPr>
              <w:spacing w:before="0" w:after="0"/>
              <w:jc w:val="left"/>
              <w:rPr>
                <w:rFonts w:eastAsia="Times New Roman"/>
                <w:noProof/>
                <w:color w:val="000000"/>
                <w:szCs w:val="24"/>
              </w:rPr>
            </w:pPr>
          </w:p>
        </w:tc>
        <w:tc>
          <w:tcPr>
            <w:tcW w:w="2120" w:type="dxa"/>
            <w:shd w:val="clear" w:color="auto" w:fill="auto"/>
          </w:tcPr>
          <w:p>
            <w:pPr>
              <w:spacing w:before="0" w:after="0"/>
              <w:jc w:val="left"/>
              <w:rPr>
                <w:rFonts w:eastAsia="Times New Roman"/>
                <w:noProof/>
                <w:color w:val="000000"/>
                <w:szCs w:val="24"/>
              </w:rPr>
            </w:pPr>
          </w:p>
        </w:tc>
        <w:tc>
          <w:tcPr>
            <w:tcW w:w="2123" w:type="dxa"/>
            <w:shd w:val="clear" w:color="auto" w:fill="auto"/>
          </w:tcPr>
          <w:p>
            <w:pPr>
              <w:spacing w:before="0" w:after="0"/>
              <w:jc w:val="left"/>
              <w:rPr>
                <w:rFonts w:eastAsia="Times New Roman"/>
                <w:noProof/>
                <w:color w:val="000000"/>
                <w:szCs w:val="24"/>
              </w:rPr>
            </w:pPr>
            <w:r>
              <w:rPr>
                <w:noProof/>
                <w:color w:val="000000"/>
              </w:rPr>
              <w:t>čl. 33 odst. 9</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34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35 odst. 1 písm. d)</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35 (kromě odst. 1 písm.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36 odst. 3 písm.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16 odst.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36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16 odst. 1, 2 a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36 odst. 1, 2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14 odst. 2 písm. a) až e)</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16 odst. 4 písm. b) až d)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37 odst. 2 písm. a) až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16 odst. 4 písm. 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37 odst. 2 písm. f)</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16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14 odst. 1, 3 a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37 odst. 1, 3 a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15 odst.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38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15 odst. 1, 2 a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38 odst. 1, 2 a 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39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40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18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41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41 odst. 5 písm.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18 odst.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41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41 odst.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18 odst.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41 odst.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18 odst. 1 a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41 odst. 1, 2 a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15 odst.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42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15 odst.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42 odst.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19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48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49 odst. 1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27 odst. 1 písm.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27 odst. 1 kromě písm.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49 odst. 1 kromě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27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49 odst. 2 písm. a) až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49 odst. 2 písm.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27 odst. 3 a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49 odst. 3 a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29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33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54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54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33 odst. 2 až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54 odst. 3 až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články 20, 30, 31</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články 55–58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59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36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62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62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36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62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36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36 odst. 4 až 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62 odst. 4 až 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63 odst. 1, 3 až 6</w:t>
            </w:r>
          </w:p>
        </w:tc>
      </w:tr>
      <w:tr>
        <w:trPr>
          <w:trHeight w:val="630"/>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čl. 63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39 odstavce kromě odst.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20 odst. 12 </w:t>
            </w:r>
          </w:p>
          <w:p>
            <w:pPr>
              <w:spacing w:before="0" w:after="0"/>
              <w:jc w:val="left"/>
              <w:rPr>
                <w:rFonts w:eastAsia="Times New Roman"/>
                <w:noProof/>
                <w:color w:val="000000"/>
                <w:szCs w:val="24"/>
              </w:rPr>
            </w:pPr>
            <w:r>
              <w:rPr>
                <w:noProof/>
                <w:color w:val="000000"/>
              </w:rPr>
              <w:t xml:space="preserve">čl. 39 odst. 13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68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52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čl. 18 odst. 1 první část</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18 odst. 2 a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52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18 odst.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52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18 odst.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18 odst.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69 odst. 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70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19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71 odst. 2 až 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71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72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2 poslední věta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72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72 odst. 1, 2 a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1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73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73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73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74 odst. 1 až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8 a 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74 odst. 3 a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11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74 odst. 5 a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75 odst. 1 až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75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75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čl. 18 odst. 1 poslední věta</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76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2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76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6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76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7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76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77 odst. 3 až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55 odst. 1 až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77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52 odst.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78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78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79 odst. 1 a 3 až 6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54 odst. 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79 odst.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55 odst.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79 odst.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čl. 1 odst. 1</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80 odst. 1 a 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čl. 1 odst. 2</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články 2, 3 a 4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35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88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47 odst. 2 písm. a) a b)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89 odst. 2 písm. a) a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89 odst. 2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89 odst. 2 písm. c)</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47 odst. 2 písm. c)</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89 odst. 2 písm. d)</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47 odst. 1 a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89 kromě odst. 2 písm. c)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8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90 odst. 5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9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13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90 odst. 1 a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20 odst. 4 a 5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90 odst. 3 a 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49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50 odst. 1 a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91 odst. 1 a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91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50 odst. 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91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58 odst. 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94 odst. 1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94 odst. 2 až 4</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58 odst. 2 až 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94 odst. 5 až 7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59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61 písm. a) a b)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97 písm. a) a b)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97 písm. c) a f)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61 písm. c) a d)</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97 písm. d) a e)</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 62 odst. 2 písm. a) až z)</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98 odst. 2 body 1,2,4 a 6 až 27</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98 odst. 2 body 3 a 5</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62 odst. 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98 odst. 2 všechny body kromě bodů 3 a 5</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 62 odst. 1 a odst. 3 až 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98 odst. 1 a 3 až 8 </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99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104 odst. 2 písm. p) a q)</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čl. 104 odst. 2 kromě písm. p) a q)</w:t>
            </w:r>
          </w:p>
        </w:tc>
      </w:tr>
      <w:tr>
        <w:trPr>
          <w:trHeight w:val="94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69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106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107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73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109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74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110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75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111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76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112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77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113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78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114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79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115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22 odst. 2 a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116 odst. 3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 22 odst. 3 a 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116 odst. 4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23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80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81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 116 odst. 1 a 2 </w:t>
            </w:r>
          </w:p>
        </w:tc>
      </w:tr>
      <w:tr>
        <w:trPr>
          <w:trHeight w:val="630"/>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pPr>
              <w:spacing w:before="0" w:after="0"/>
              <w:jc w:val="left"/>
              <w:rPr>
                <w:rFonts w:eastAsia="Times New Roman"/>
                <w:noProof/>
                <w:color w:val="000000"/>
                <w:szCs w:val="24"/>
              </w:rPr>
            </w:pPr>
            <w:r>
              <w:rPr>
                <w:noProof/>
                <w:color w:val="000000"/>
              </w:rPr>
              <w:t xml:space="preserve">článek 117 </w:t>
            </w:r>
          </w:p>
        </w:tc>
      </w:tr>
      <w:tr>
        <w:trPr>
          <w:trHeight w:val="315"/>
          <w:tblHeader/>
        </w:trPr>
        <w:tc>
          <w:tcPr>
            <w:tcW w:w="2193" w:type="dxa"/>
            <w:shd w:val="clear" w:color="auto" w:fill="auto"/>
          </w:tcPr>
          <w:p>
            <w:pPr>
              <w:rPr>
                <w:noProof/>
              </w:rPr>
            </w:pPr>
            <w:r>
              <w:rPr>
                <w:noProof/>
              </w:rPr>
              <w:t xml:space="preserve">--  </w:t>
            </w:r>
          </w:p>
        </w:tc>
        <w:tc>
          <w:tcPr>
            <w:tcW w:w="2124" w:type="dxa"/>
            <w:shd w:val="clear" w:color="auto" w:fill="auto"/>
          </w:tcPr>
          <w:p>
            <w:pPr>
              <w:rPr>
                <w:noProof/>
              </w:rPr>
            </w:pPr>
            <w:r>
              <w:rPr>
                <w:noProof/>
              </w:rPr>
              <w:t xml:space="preserve">--  </w:t>
            </w:r>
          </w:p>
        </w:tc>
        <w:tc>
          <w:tcPr>
            <w:tcW w:w="2120" w:type="dxa"/>
            <w:shd w:val="clear" w:color="auto" w:fill="auto"/>
          </w:tcPr>
          <w:p>
            <w:pPr>
              <w:rPr>
                <w:noProof/>
              </w:rPr>
            </w:pPr>
            <w:r>
              <w:rPr>
                <w:noProof/>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článek 118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 xml:space="preserve">článek 82 </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 xml:space="preserve">článek 119  </w:t>
            </w:r>
          </w:p>
        </w:tc>
      </w:tr>
      <w:tr>
        <w:trPr>
          <w:trHeight w:val="315"/>
          <w:tblHeader/>
        </w:trPr>
        <w:tc>
          <w:tcPr>
            <w:tcW w:w="2193" w:type="dxa"/>
            <w:shd w:val="clear" w:color="auto" w:fill="auto"/>
            <w:hideMark/>
          </w:tcPr>
          <w:p>
            <w:pPr>
              <w:spacing w:before="0" w:after="0"/>
              <w:jc w:val="left"/>
              <w:rPr>
                <w:rFonts w:eastAsia="Times New Roman"/>
                <w:noProof/>
                <w:color w:val="000000"/>
                <w:szCs w:val="24"/>
              </w:rPr>
            </w:pPr>
            <w:r>
              <w:rPr>
                <w:noProof/>
                <w:color w:val="000000"/>
              </w:rPr>
              <w:t>článek 83</w:t>
            </w:r>
          </w:p>
        </w:tc>
        <w:tc>
          <w:tcPr>
            <w:tcW w:w="2124" w:type="dxa"/>
            <w:shd w:val="clear" w:color="auto" w:fill="auto"/>
            <w:hideMark/>
          </w:tcPr>
          <w:p>
            <w:pPr>
              <w:spacing w:before="0" w:after="0"/>
              <w:jc w:val="left"/>
              <w:rPr>
                <w:rFonts w:eastAsia="Times New Roman"/>
                <w:noProof/>
                <w:color w:val="000000"/>
                <w:szCs w:val="24"/>
              </w:rPr>
            </w:pPr>
            <w:r>
              <w:rPr>
                <w:noProof/>
                <w:color w:val="000000"/>
              </w:rPr>
              <w:t xml:space="preserve">článek 24  </w:t>
            </w:r>
          </w:p>
        </w:tc>
        <w:tc>
          <w:tcPr>
            <w:tcW w:w="2120" w:type="dxa"/>
            <w:shd w:val="clear" w:color="auto" w:fill="auto"/>
            <w:hideMark/>
          </w:tcPr>
          <w:p>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pPr>
              <w:spacing w:before="0" w:after="0"/>
              <w:jc w:val="left"/>
              <w:rPr>
                <w:rFonts w:eastAsia="Times New Roman"/>
                <w:noProof/>
                <w:color w:val="000000"/>
                <w:szCs w:val="24"/>
              </w:rPr>
            </w:pPr>
            <w:r>
              <w:rPr>
                <w:noProof/>
                <w:color w:val="000000"/>
              </w:rPr>
              <w:t>článek 120</w:t>
            </w:r>
          </w:p>
        </w:tc>
      </w:tr>
    </w:tbl>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3"/>
  </w:num>
  <w:num w:numId="19">
    <w:abstractNumId w:val="15"/>
  </w:num>
  <w:num w:numId="20">
    <w:abstractNumId w:val="25"/>
  </w:num>
  <w:num w:numId="21">
    <w:abstractNumId w:val="13"/>
  </w:num>
  <w:num w:numId="22">
    <w:abstractNumId w:val="16"/>
  </w:num>
  <w:num w:numId="23">
    <w:abstractNumId w:val="11"/>
  </w:num>
  <w:num w:numId="24">
    <w:abstractNumId w:val="24"/>
  </w:num>
  <w:num w:numId="25">
    <w:abstractNumId w:val="10"/>
  </w:num>
  <w:num w:numId="26">
    <w:abstractNumId w:val="17"/>
  </w:num>
  <w:num w:numId="27">
    <w:abstractNumId w:val="21"/>
  </w:num>
  <w:num w:numId="28">
    <w:abstractNumId w:val="22"/>
  </w:num>
  <w:num w:numId="29">
    <w:abstractNumId w:val="12"/>
  </w:num>
  <w:num w:numId="30">
    <w:abstractNumId w:val="20"/>
  </w:num>
  <w:num w:numId="31">
    <w:abstractNumId w:val="26"/>
  </w:num>
  <w:num w:numId="32">
    <w:abstractNumId w:val="23"/>
  </w:num>
  <w:num w:numId="33">
    <w:abstractNumId w:val="15"/>
  </w:num>
  <w:num w:numId="34">
    <w:abstractNumId w:val="25"/>
  </w:num>
  <w:num w:numId="35">
    <w:abstractNumId w:val="13"/>
  </w:num>
  <w:num w:numId="36">
    <w:abstractNumId w:val="16"/>
  </w:num>
  <w:num w:numId="37">
    <w:abstractNumId w:val="11"/>
  </w:num>
  <w:num w:numId="38">
    <w:abstractNumId w:val="24"/>
  </w:num>
  <w:num w:numId="39">
    <w:abstractNumId w:val="10"/>
  </w:num>
  <w:num w:numId="40">
    <w:abstractNumId w:val="17"/>
  </w:num>
  <w:num w:numId="41">
    <w:abstractNumId w:val="21"/>
  </w:num>
  <w:num w:numId="42">
    <w:abstractNumId w:val="22"/>
  </w:num>
  <w:num w:numId="43">
    <w:abstractNumId w:val="12"/>
  </w:num>
  <w:num w:numId="44">
    <w:abstractNumId w:val="20"/>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3"/>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1 09:01: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51"/>
    <w:docVar w:name="DQCResult_UnknownFonts" w:val="0;0"/>
    <w:docVar w:name="DQCResult_UnknownStyles" w:val="0;5"/>
    <w:docVar w:name="DQCStatus" w:val="Green"/>
    <w:docVar w:name="DQCVersion" w:val="3"/>
    <w:docVar w:name="DQCWithWarnings" w:val="0"/>
    <w:docVar w:name="LW_ACCOMPAGNANT" w:val=" "/>
    <w:docVar w:name="LW_ACCOMPAGNANT.CP" w:val=" "/>
    <w:docVar w:name="LW_ANNEX_NBR_FIRST" w:val="1"/>
    <w:docVar w:name="LW_ANNEX_NBR_LAST" w:val="6"/>
    <w:docVar w:name="LW_ANNEX_UNIQUE" w:val="0"/>
    <w:docVar w:name="LW_CORRIGENDUM" w:val="&lt;UNUSED&gt;"/>
    <w:docVar w:name="LW_COVERPAGE_EXISTS" w:val="True"/>
    <w:docVar w:name="LW_COVERPAGE_GUID" w:val="2A826E56-A887-448B-967A-8280CB58871F"/>
    <w:docVar w:name="LW_COVERPAGE_TYPE" w:val="1"/>
    <w:docVar w:name="LW_CROSSREFERENCE" w:val="&lt;UNUSED&gt;"/>
    <w:docVar w:name="LW_DocType" w:val="ANNEX"/>
    <w:docVar w:name="LW_EMISSION" w:val="12.9.2018"/>
    <w:docVar w:name="LW_EMISSION_ISODATE" w:val="2018-09-12"/>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Evropské pohrani\u269?ní a pob\u345?e\u382?ní strá\u382?i_x000b_a o zru\u353?ení spole\u269?né akce Rady 98/700/SVV, na\u345?ízení Evropského parlamentu a&lt;LWCR:NBS&gt;Rady (EU) \u269?. 1052/2013 a na\u345?ízení Evropského parlamentu a&lt;LWCR:NBS&gt;Rady (EU) 2016/1624_x000b_"/>
    <w:docVar w:name="LW_OBJETACTEPRINCIPAL.CP" w:val="o Evropské pohrani\u269?ní a pob\u345?e\u382?ní strá\u382?i_x000b_a o zru\u353?ení spole\u269?né akce Rady 98/700/SVV, na\u345?ízení Evropského parlamentu a Rady (EU) \u269?. 1052/2013 a na\u345?ízení Evropského parlamentu a Rady (EU) 2016/1624_x000b_"/>
    <w:docVar w:name="LW_PART_NBR" w:val="&lt;UNUSED&gt;"/>
    <w:docVar w:name="LW_PART_NBR_TOTAL" w:val="&lt;UNUSED&gt;"/>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Y"/>
    <w:docVar w:name="LW_TYPE.DOC.CP" w:val="P\u344?ÍLOHY"/>
    <w:docVar w:name="LW_TYPEACTEPRINCIPAL" w:val="NA\u344?ÍZENÍ EVROPSKÉHO PARLAMENTU A RADY_x000b_"/>
    <w:docVar w:name="LW_TYPEACTEPRINCIPAL.CP" w:val="NA\u344?ÍZENÍ EVROPSKÉHO PARLAMENTU A RADY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cs-CZ"/>
    </w:rPr>
  </w:style>
  <w:style w:type="character" w:customStyle="1" w:styleId="NumPar1Char">
    <w:name w:val="NumPar 1 Char"/>
    <w:basedOn w:val="DefaultParagraphFont"/>
    <w:rPr>
      <w:rFonts w:ascii="Times New Roman" w:hAnsi="Times New Roman" w:cs="Times New Roman"/>
      <w:sz w:val="24"/>
      <w:lang w:val="cs-CZ"/>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cs-CZ"/>
    </w:rPr>
  </w:style>
  <w:style w:type="character" w:customStyle="1" w:styleId="CRMarker">
    <w:name w:val="CR Marker"/>
    <w:basedOn w:val="DefaultParagraphFont"/>
    <w:rPr>
      <w:rFonts w:ascii="Wingdings" w:hAnsi="Wingdings"/>
      <w:lang w:eastAsia="cs-CZ"/>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cs-CZ" w:eastAsia="cs-CZ"/>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cs-CZ"/>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cs-CZ" w:eastAsia="cs-CZ"/>
    </w:rPr>
  </w:style>
  <w:style w:type="character" w:customStyle="1" w:styleId="CRMinorChangeAdded">
    <w:name w:val="CR Minor Change Added"/>
    <w:basedOn w:val="DefaultParagraphFont"/>
    <w:rPr>
      <w:rFonts w:cs="Times New Roman"/>
      <w:u w:val="double"/>
      <w:lang w:val="cs-CZ" w:eastAsia="cs-CZ"/>
    </w:rPr>
  </w:style>
  <w:style w:type="character" w:customStyle="1" w:styleId="CRMinorChangeDeleted">
    <w:name w:val="CR Minor Change Deleted"/>
    <w:basedOn w:val="DefaultParagraphFont"/>
    <w:rPr>
      <w:rFonts w:cs="Times New Roman"/>
      <w:dstrike/>
      <w:u w:val="double"/>
      <w:lang w:val="cs-CZ" w:eastAsia="cs-CZ"/>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cs-CZ"/>
    </w:rPr>
  </w:style>
  <w:style w:type="character" w:customStyle="1" w:styleId="NumPar1Char">
    <w:name w:val="NumPar 1 Char"/>
    <w:basedOn w:val="DefaultParagraphFont"/>
    <w:rPr>
      <w:rFonts w:ascii="Times New Roman" w:hAnsi="Times New Roman" w:cs="Times New Roman"/>
      <w:sz w:val="24"/>
      <w:lang w:val="cs-CZ"/>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cs-CZ"/>
    </w:rPr>
  </w:style>
  <w:style w:type="character" w:customStyle="1" w:styleId="CRMarker">
    <w:name w:val="CR Marker"/>
    <w:basedOn w:val="DefaultParagraphFont"/>
    <w:rPr>
      <w:rFonts w:ascii="Wingdings" w:hAnsi="Wingdings"/>
      <w:lang w:eastAsia="cs-CZ"/>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cs-CZ"/>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cs-CZ" w:eastAsia="cs-CZ"/>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cs-CZ"/>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Deleted">
    <w:name w:val="CR Deleted"/>
    <w:basedOn w:val="DefaultParagraphFont"/>
    <w:rPr>
      <w:rFonts w:cs="Times New Roman"/>
      <w:dstrike/>
      <w:lang w:val="cs-CZ" w:eastAsia="cs-CZ"/>
    </w:rPr>
  </w:style>
  <w:style w:type="character" w:customStyle="1" w:styleId="CRMinorChangeAdded">
    <w:name w:val="CR Minor Change Added"/>
    <w:basedOn w:val="DefaultParagraphFont"/>
    <w:rPr>
      <w:rFonts w:cs="Times New Roman"/>
      <w:u w:val="double"/>
      <w:lang w:val="cs-CZ" w:eastAsia="cs-CZ"/>
    </w:rPr>
  </w:style>
  <w:style w:type="character" w:customStyle="1" w:styleId="CRMinorChangeDeleted">
    <w:name w:val="CR Minor Change Deleted"/>
    <w:basedOn w:val="DefaultParagraphFont"/>
    <w:rPr>
      <w:rFonts w:cs="Times New Roman"/>
      <w:dstrike/>
      <w:u w:val="double"/>
      <w:lang w:val="cs-CZ" w:eastAsia="cs-CZ"/>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FBFF9-3042-4413-A7D6-B60DFFBDBC28}">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e5f05-4aa1-4e4f-a6fe-a0da6e7cad59"/>
    <ds:schemaRef ds:uri="http://www.w3.org/XML/1998/namespace"/>
  </ds:schemaRefs>
</ds:datastoreItem>
</file>

<file path=customXml/itemProps2.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3.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18</Pages>
  <Words>6003</Words>
  <Characters>24074</Characters>
  <Application>Microsoft Office Word</Application>
  <DocSecurity>0</DocSecurity>
  <Lines>2407</Lines>
  <Paragraphs>2506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DIGIT/A3</cp:lastModifiedBy>
  <cp:revision>10</cp:revision>
  <dcterms:created xsi:type="dcterms:W3CDTF">2018-09-27T09:43:00Z</dcterms:created>
  <dcterms:modified xsi:type="dcterms:W3CDTF">2018-10-01T07:01:00Z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Green (DQC version 03)</vt:lpwstr>
  </property>
</Properties>
</file>