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D3C6F922-14D4-46E4-8A0C-886FF766104A" style="width:450.7pt;height:351.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rPr>
          <w:noProof/>
        </w:rPr>
      </w:pPr>
      <w:r>
        <w:rPr>
          <w:noProof/>
        </w:rPr>
        <w:t>Regulamentul (UE, EURATOM) nr. 1311/2013 al Consiliului din 2 decembrie 2013 de stabilire a cadrului financiar multianual pentru perioada 2014-2020</w:t>
      </w:r>
      <w:r>
        <w:rPr>
          <w:rStyle w:val="FootnoteReference"/>
          <w:noProof/>
        </w:rPr>
        <w:footnoteReference w:id="1"/>
      </w:r>
      <w:r>
        <w:rPr>
          <w:noProof/>
        </w:rPr>
        <w:t xml:space="preserve"> permite mobilizarea Instrumentului de flexibilitate în vederea finanțării de cheltuieli identificate precis, care nu ar putea fi finanțate în limitele plafoanelor disponibile pentru una sau mai multe rubrici ale cadrului financiar multianual.</w:t>
      </w:r>
    </w:p>
    <w:p>
      <w:pPr>
        <w:rPr>
          <w:noProof/>
        </w:rPr>
      </w:pPr>
      <w:r>
        <w:rPr>
          <w:noProof/>
        </w:rPr>
        <w:t>În conformitate cu articolul 11 din Regulamentul nr. 1311/2013 al Consiliului și cu punctul 12 din Acordul interinstituțional din 2 decembrie 2013 între Parlamentul European, Consiliu și Comisie privind disciplina bugetară, cooperarea în chestiuni bugetare și buna gestiune financiară</w:t>
      </w:r>
      <w:r>
        <w:rPr>
          <w:rStyle w:val="FootnoteReference"/>
          <w:noProof/>
        </w:rPr>
        <w:footnoteReference w:id="2"/>
      </w:r>
      <w:r>
        <w:rPr>
          <w:noProof/>
        </w:rPr>
        <w:t xml:space="preserve">, după ce a examinat toate posibilitățile de realocare a creditelor și a epuizat marjele nealocate de la rubrica de cheltuieli </w:t>
      </w:r>
      <w:r>
        <w:rPr>
          <w:i/>
          <w:noProof/>
        </w:rPr>
        <w:t>Securitate și cetățenie</w:t>
      </w:r>
      <w:r>
        <w:rPr>
          <w:noProof/>
        </w:rPr>
        <w:t xml:space="preserve"> (rubrica 3), Comisia propune mobilizarea Instrumentului de flexibilitate în 2019. Suma anuală disponibilă în 2019 este de 600 de milioane EUR (la prețurile din 2011), care corespunde sumei de 703 milioane EUR în prețuri curente. În plus, sunt disponibile 520 de milioane EUR din partea neutilizată aferentă exercițiului 2018. </w:t>
      </w:r>
    </w:p>
    <w:p>
      <w:pPr>
        <w:rPr>
          <w:noProof/>
        </w:rPr>
      </w:pPr>
      <w:r>
        <w:rPr>
          <w:noProof/>
        </w:rPr>
        <w:t>Această mobilizare vizează suma de 1 009,8 milioane EUR peste plafonul de la rubrica 3 a cadrului financiar multianual și are drept scop finanțarea sprijinului pentru măsurile de gestionare a crizei migrației, refugiaților și securității. Împreună cu proiectul inițial de buget pentru 2019, Comisia a prezentat o propunere de mobilizare a Instrumentului de flexibilitate</w:t>
      </w:r>
      <w:r>
        <w:rPr>
          <w:rStyle w:val="FootnoteReference"/>
          <w:noProof/>
        </w:rPr>
        <w:footnoteReference w:id="3"/>
      </w:r>
      <w:r>
        <w:rPr>
          <w:noProof/>
        </w:rPr>
        <w:t xml:space="preserve"> în același scop. Această primă mobilizare, care include și suma de 38,1 milioane EUR ce urmează să fie mobilizată peste plafonul de la rubrica 1b pentru a se oferi finanțare pentru extinderea Programului de sprijin pentru reforme structurale, este acum abrogată și înlocuită prin prezenta propunere.</w:t>
      </w:r>
    </w:p>
    <w:p>
      <w:pPr>
        <w:rPr>
          <w:noProof/>
        </w:rPr>
      </w:pPr>
      <w:r>
        <w:rPr>
          <w:noProof/>
        </w:rPr>
        <w:t>Creditele de plată orientative aferente mobilizării propuse a Instrumentului de flexibilitate au fost calculate pe baza normelor aplicabile prefinanțării, verificării și închiderii conturilor aferente prefinanțării și plăților finale pentru diversele tipuri de acțiuni care trebuie finanțate și sunt prezentate în tabelul de mai jos:</w:t>
      </w:r>
    </w:p>
    <w:p>
      <w:pPr>
        <w:ind w:left="5040" w:firstLine="720"/>
        <w:jc w:val="left"/>
        <w:rPr>
          <w:noProof/>
        </w:rPr>
      </w:pPr>
      <w:r>
        <w:rPr>
          <w:i/>
          <w:noProof/>
          <w:sz w:val="16"/>
        </w:rPr>
        <w:t>(în milioane EUR, în prețuri curente)</w:t>
      </w:r>
    </w:p>
    <w:tbl>
      <w:tblPr>
        <w:tblW w:w="7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604"/>
      </w:tblGrid>
      <w:tr>
        <w:trPr>
          <w:jc w:val="center"/>
        </w:trPr>
        <w:tc>
          <w:tcPr>
            <w:tcW w:w="1560" w:type="dxa"/>
            <w:shd w:val="clear" w:color="auto" w:fill="D9D9D9"/>
          </w:tcPr>
          <w:p>
            <w:pPr>
              <w:spacing w:before="30" w:after="30"/>
              <w:jc w:val="center"/>
              <w:rPr>
                <w:b/>
                <w:noProof/>
                <w:sz w:val="16"/>
                <w:szCs w:val="16"/>
              </w:rPr>
            </w:pPr>
            <w:r>
              <w:rPr>
                <w:b/>
                <w:noProof/>
                <w:sz w:val="16"/>
              </w:rPr>
              <w:t>Anul</w:t>
            </w:r>
          </w:p>
        </w:tc>
        <w:tc>
          <w:tcPr>
            <w:tcW w:w="5604" w:type="dxa"/>
            <w:shd w:val="clear" w:color="auto" w:fill="D9D9D9"/>
          </w:tcPr>
          <w:p>
            <w:pPr>
              <w:spacing w:before="30" w:after="30"/>
              <w:jc w:val="center"/>
              <w:rPr>
                <w:b/>
                <w:noProof/>
                <w:sz w:val="16"/>
                <w:szCs w:val="16"/>
              </w:rPr>
            </w:pPr>
            <w:r>
              <w:rPr>
                <w:b/>
                <w:noProof/>
                <w:sz w:val="16"/>
              </w:rPr>
              <w:t>Credite de plată aferente mobilizării Instrumentului de flexibilitate în 2019</w:t>
            </w:r>
          </w:p>
        </w:tc>
      </w:tr>
      <w:tr>
        <w:trPr>
          <w:jc w:val="center"/>
        </w:trPr>
        <w:tc>
          <w:tcPr>
            <w:tcW w:w="1560" w:type="dxa"/>
            <w:shd w:val="clear" w:color="auto" w:fill="auto"/>
          </w:tcPr>
          <w:p>
            <w:pPr>
              <w:spacing w:before="30" w:after="30"/>
              <w:jc w:val="center"/>
              <w:rPr>
                <w:noProof/>
                <w:sz w:val="16"/>
                <w:szCs w:val="16"/>
              </w:rPr>
            </w:pPr>
            <w:r>
              <w:rPr>
                <w:noProof/>
                <w:sz w:val="16"/>
              </w:rPr>
              <w:t>2019</w:t>
            </w:r>
          </w:p>
        </w:tc>
        <w:tc>
          <w:tcPr>
            <w:tcW w:w="5604" w:type="dxa"/>
            <w:shd w:val="clear" w:color="auto" w:fill="auto"/>
          </w:tcPr>
          <w:p>
            <w:pPr>
              <w:spacing w:before="30" w:after="30"/>
              <w:jc w:val="right"/>
              <w:rPr>
                <w:noProof/>
                <w:sz w:val="16"/>
                <w:szCs w:val="16"/>
              </w:rPr>
            </w:pPr>
            <w:r>
              <w:rPr>
                <w:noProof/>
                <w:sz w:val="16"/>
              </w:rPr>
              <w:t>508,9</w:t>
            </w:r>
          </w:p>
        </w:tc>
      </w:tr>
      <w:tr>
        <w:trPr>
          <w:jc w:val="center"/>
        </w:trPr>
        <w:tc>
          <w:tcPr>
            <w:tcW w:w="1560" w:type="dxa"/>
            <w:shd w:val="clear" w:color="auto" w:fill="auto"/>
          </w:tcPr>
          <w:p>
            <w:pPr>
              <w:spacing w:before="30" w:after="30"/>
              <w:jc w:val="center"/>
              <w:rPr>
                <w:noProof/>
                <w:sz w:val="16"/>
                <w:szCs w:val="16"/>
              </w:rPr>
            </w:pPr>
            <w:r>
              <w:rPr>
                <w:noProof/>
                <w:sz w:val="16"/>
              </w:rPr>
              <w:t>2020</w:t>
            </w:r>
          </w:p>
        </w:tc>
        <w:tc>
          <w:tcPr>
            <w:tcW w:w="5604" w:type="dxa"/>
            <w:shd w:val="clear" w:color="auto" w:fill="auto"/>
          </w:tcPr>
          <w:p>
            <w:pPr>
              <w:spacing w:before="30" w:after="30"/>
              <w:jc w:val="right"/>
              <w:rPr>
                <w:noProof/>
                <w:sz w:val="16"/>
                <w:szCs w:val="16"/>
              </w:rPr>
            </w:pPr>
            <w:r>
              <w:rPr>
                <w:noProof/>
                <w:sz w:val="16"/>
              </w:rPr>
              <w:t>203,7</w:t>
            </w:r>
          </w:p>
        </w:tc>
      </w:tr>
      <w:tr>
        <w:trPr>
          <w:jc w:val="center"/>
        </w:trPr>
        <w:tc>
          <w:tcPr>
            <w:tcW w:w="1560" w:type="dxa"/>
            <w:shd w:val="clear" w:color="auto" w:fill="auto"/>
          </w:tcPr>
          <w:p>
            <w:pPr>
              <w:spacing w:before="30" w:after="30"/>
              <w:jc w:val="center"/>
              <w:rPr>
                <w:noProof/>
                <w:sz w:val="16"/>
                <w:szCs w:val="16"/>
              </w:rPr>
            </w:pPr>
            <w:r>
              <w:rPr>
                <w:noProof/>
                <w:sz w:val="16"/>
              </w:rPr>
              <w:t>2021</w:t>
            </w:r>
          </w:p>
        </w:tc>
        <w:tc>
          <w:tcPr>
            <w:tcW w:w="5604" w:type="dxa"/>
            <w:shd w:val="clear" w:color="auto" w:fill="auto"/>
          </w:tcPr>
          <w:p>
            <w:pPr>
              <w:spacing w:before="30" w:after="30"/>
              <w:jc w:val="right"/>
              <w:rPr>
                <w:noProof/>
                <w:sz w:val="16"/>
                <w:szCs w:val="16"/>
              </w:rPr>
            </w:pPr>
            <w:r>
              <w:rPr>
                <w:noProof/>
                <w:sz w:val="16"/>
              </w:rPr>
              <w:t>121,4</w:t>
            </w:r>
          </w:p>
        </w:tc>
      </w:tr>
      <w:tr>
        <w:trPr>
          <w:jc w:val="center"/>
        </w:trPr>
        <w:tc>
          <w:tcPr>
            <w:tcW w:w="1560" w:type="dxa"/>
            <w:shd w:val="clear" w:color="auto" w:fill="auto"/>
          </w:tcPr>
          <w:p>
            <w:pPr>
              <w:spacing w:before="30" w:after="30"/>
              <w:jc w:val="center"/>
              <w:rPr>
                <w:noProof/>
                <w:sz w:val="16"/>
                <w:szCs w:val="16"/>
              </w:rPr>
            </w:pPr>
            <w:r>
              <w:rPr>
                <w:noProof/>
                <w:sz w:val="16"/>
              </w:rPr>
              <w:t>2022</w:t>
            </w:r>
          </w:p>
        </w:tc>
        <w:tc>
          <w:tcPr>
            <w:tcW w:w="5604" w:type="dxa"/>
            <w:shd w:val="clear" w:color="auto" w:fill="auto"/>
          </w:tcPr>
          <w:p>
            <w:pPr>
              <w:spacing w:before="30" w:after="30"/>
              <w:jc w:val="right"/>
              <w:rPr>
                <w:noProof/>
                <w:sz w:val="16"/>
                <w:szCs w:val="16"/>
              </w:rPr>
            </w:pPr>
            <w:r>
              <w:rPr>
                <w:noProof/>
                <w:sz w:val="16"/>
              </w:rPr>
              <w:t>122,2</w:t>
            </w:r>
          </w:p>
        </w:tc>
      </w:tr>
      <w:tr>
        <w:trPr>
          <w:jc w:val="center"/>
        </w:trPr>
        <w:tc>
          <w:tcPr>
            <w:tcW w:w="1560" w:type="dxa"/>
            <w:shd w:val="clear" w:color="auto" w:fill="auto"/>
          </w:tcPr>
          <w:p>
            <w:pPr>
              <w:spacing w:before="30" w:after="30"/>
              <w:jc w:val="center"/>
              <w:rPr>
                <w:noProof/>
                <w:sz w:val="16"/>
                <w:szCs w:val="16"/>
              </w:rPr>
            </w:pPr>
            <w:r>
              <w:rPr>
                <w:noProof/>
                <w:sz w:val="16"/>
              </w:rPr>
              <w:t>2023</w:t>
            </w:r>
          </w:p>
        </w:tc>
        <w:tc>
          <w:tcPr>
            <w:tcW w:w="5604" w:type="dxa"/>
            <w:shd w:val="clear" w:color="auto" w:fill="auto"/>
          </w:tcPr>
          <w:p>
            <w:pPr>
              <w:spacing w:before="30" w:after="30"/>
              <w:jc w:val="right"/>
              <w:rPr>
                <w:noProof/>
                <w:sz w:val="16"/>
                <w:szCs w:val="16"/>
              </w:rPr>
            </w:pPr>
            <w:r>
              <w:rPr>
                <w:noProof/>
                <w:sz w:val="16"/>
              </w:rPr>
              <w:t>53,6</w:t>
            </w:r>
          </w:p>
        </w:tc>
      </w:tr>
      <w:tr>
        <w:trPr>
          <w:jc w:val="center"/>
        </w:trPr>
        <w:tc>
          <w:tcPr>
            <w:tcW w:w="1560" w:type="dxa"/>
            <w:shd w:val="clear" w:color="auto" w:fill="D9D9D9"/>
          </w:tcPr>
          <w:p>
            <w:pPr>
              <w:spacing w:before="30" w:after="30"/>
              <w:jc w:val="right"/>
              <w:rPr>
                <w:b/>
                <w:noProof/>
                <w:sz w:val="16"/>
                <w:szCs w:val="16"/>
              </w:rPr>
            </w:pPr>
            <w:r>
              <w:rPr>
                <w:b/>
                <w:noProof/>
                <w:sz w:val="16"/>
              </w:rPr>
              <w:t>Total</w:t>
            </w:r>
          </w:p>
        </w:tc>
        <w:tc>
          <w:tcPr>
            <w:tcW w:w="5604" w:type="dxa"/>
            <w:shd w:val="clear" w:color="auto" w:fill="D9D9D9"/>
          </w:tcPr>
          <w:p>
            <w:pPr>
              <w:spacing w:before="30" w:after="30"/>
              <w:jc w:val="right"/>
              <w:rPr>
                <w:b/>
                <w:noProof/>
                <w:sz w:val="16"/>
                <w:szCs w:val="16"/>
              </w:rPr>
            </w:pPr>
            <w:r>
              <w:rPr>
                <w:b/>
                <w:noProof/>
                <w:sz w:val="16"/>
              </w:rPr>
              <w:t>1 009,8</w:t>
            </w:r>
          </w:p>
        </w:tc>
      </w:tr>
    </w:tbl>
    <w:p>
      <w:pPr>
        <w:rPr>
          <w:noProof/>
        </w:rPr>
        <w:sectPr>
          <w:footerReference w:type="default" r:id="rId16"/>
          <w:footerReference w:type="first" r:id="rId17"/>
          <w:footnotePr>
            <w:numRestart w:val="eachSect"/>
          </w:footnotePr>
          <w:pgSz w:w="11907" w:h="16839"/>
          <w:pgMar w:top="1134" w:right="1417" w:bottom="1134" w:left="1417" w:header="709" w:footer="709" w:gutter="0"/>
          <w:cols w:space="708"/>
          <w:docGrid w:linePitch="360"/>
        </w:sectPr>
      </w:pPr>
    </w:p>
    <w:p>
      <w:pPr>
        <w:pStyle w:val="Statut"/>
        <w:rPr>
          <w:noProof/>
        </w:rPr>
      </w:pPr>
      <w:r>
        <w:rPr>
          <w:noProof/>
        </w:rPr>
        <w:t>Propunere de</w:t>
      </w:r>
    </w:p>
    <w:p>
      <w:pPr>
        <w:pStyle w:val="Typedudocument"/>
        <w:rPr>
          <w:noProof/>
        </w:rPr>
      </w:pPr>
      <w:r>
        <w:rPr>
          <w:noProof/>
        </w:rPr>
        <w:t>DECIZIE A PARLAMENTULUI EUROPEAN ȘI A CONSILIULUI</w:t>
      </w:r>
    </w:p>
    <w:p>
      <w:pPr>
        <w:pStyle w:val="Titreobjet"/>
        <w:rPr>
          <w:noProof/>
        </w:rPr>
      </w:pPr>
      <w:r>
        <w:rPr>
          <w:noProof/>
        </w:rPr>
        <w:t>privind mobilizarea Instrumentului de flexibilitate pentru finanțarea măsurilor bugetare imediate în scopul de a aborda provocările actuale în materie de migrație, fluxuri de refugiați și amenințări la adresa securității</w:t>
      </w:r>
    </w:p>
    <w:p>
      <w:pPr>
        <w:pStyle w:val="Institutionquiagit"/>
        <w:rPr>
          <w:noProof/>
        </w:rPr>
      </w:pPr>
      <w:r>
        <w:rPr>
          <w:noProof/>
        </w:rPr>
        <w:t>PARLAMENTUL EUROPEAN ȘI CONSILIUL UNIUNII EUROPENE,</w:t>
      </w:r>
    </w:p>
    <w:p>
      <w:pPr>
        <w:rPr>
          <w:noProof/>
        </w:rPr>
      </w:pPr>
      <w:r>
        <w:rPr>
          <w:noProof/>
        </w:rPr>
        <w:t>având în vedere Tratatul privind funcționarea Uniunii Europene,</w:t>
      </w:r>
    </w:p>
    <w:p>
      <w:pPr>
        <w:rPr>
          <w:noProof/>
        </w:rPr>
      </w:pPr>
      <w:r>
        <w:rPr>
          <w:noProof/>
        </w:rPr>
        <w:t>având în vedere Acordul interinstituțional din 2 decembrie 2013 între Parlamentul European, Consiliu și Comisie privind disciplina bugetară, cooperarea în chestiuni bugetare și buna gestiune financiară</w:t>
      </w:r>
      <w:r>
        <w:rPr>
          <w:rStyle w:val="FootnoteReference"/>
          <w:noProof/>
        </w:rPr>
        <w:footnoteReference w:id="4"/>
      </w:r>
      <w:r>
        <w:rPr>
          <w:noProof/>
        </w:rPr>
        <w:t>, în special punctul 12,</w:t>
      </w:r>
    </w:p>
    <w:p>
      <w:pPr>
        <w:rPr>
          <w:noProof/>
        </w:rPr>
      </w:pPr>
      <w:r>
        <w:rPr>
          <w:noProof/>
        </w:rPr>
        <w:t>având în vedere propunerea Comisiei Europene,</w:t>
      </w:r>
    </w:p>
    <w:p>
      <w:pPr>
        <w:rPr>
          <w:noProof/>
        </w:rPr>
      </w:pPr>
      <w:r>
        <w:rPr>
          <w:noProof/>
        </w:rPr>
        <w:t xml:space="preserve">întrucât: </w:t>
      </w:r>
    </w:p>
    <w:p>
      <w:pPr>
        <w:pStyle w:val="Point0number"/>
        <w:numPr>
          <w:ilvl w:val="0"/>
          <w:numId w:val="6"/>
        </w:numPr>
        <w:spacing w:before="0" w:after="0"/>
        <w:rPr>
          <w:noProof/>
        </w:rPr>
      </w:pPr>
      <w:r>
        <w:rPr>
          <w:noProof/>
        </w:rPr>
        <w:t>Instrumentul de flexibilitate este destinat să permită finanțarea cheltuielilor identificate precis, care nu au putut fi finanțate în limitele plafoanelor disponibile pentru una sau mai multe alte rubrici.</w:t>
      </w:r>
    </w:p>
    <w:p>
      <w:pPr>
        <w:pStyle w:val="Point0number"/>
        <w:numPr>
          <w:ilvl w:val="0"/>
          <w:numId w:val="6"/>
        </w:numPr>
        <w:rPr>
          <w:noProof/>
        </w:rPr>
      </w:pPr>
      <w:r>
        <w:rPr>
          <w:noProof/>
        </w:rPr>
        <w:t>Plafonul aplicabil sumei anuale disponibile pentru Instrumentul de flexibilitate este de 600 000 000 EUR (la prețurile din 2011), astfel cum se prevede la articolul 11 din Regulamentul (UE, Euratom) nr. 1311/2013 al Consiliului</w:t>
      </w:r>
      <w:r>
        <w:rPr>
          <w:rStyle w:val="FootnoteReference"/>
          <w:noProof/>
        </w:rPr>
        <w:footnoteReference w:id="5"/>
      </w:r>
      <w:r>
        <w:rPr>
          <w:noProof/>
        </w:rPr>
        <w:t xml:space="preserve">. </w:t>
      </w:r>
    </w:p>
    <w:p>
      <w:pPr>
        <w:pStyle w:val="Point0number"/>
        <w:numPr>
          <w:ilvl w:val="0"/>
          <w:numId w:val="6"/>
        </w:numPr>
        <w:spacing w:before="0" w:after="0"/>
        <w:rPr>
          <w:noProof/>
        </w:rPr>
      </w:pPr>
      <w:r>
        <w:rPr>
          <w:noProof/>
        </w:rPr>
        <w:t>Pentru a aborda provocările actuale în materie de migrație, fluxuri de refugiați și amenințări la adresa securității, este necesar să se mobilizeze urgent sume suplimentare importante în vederea finanțării acestor măsuri.</w:t>
      </w:r>
    </w:p>
    <w:p>
      <w:pPr>
        <w:pStyle w:val="Point0number"/>
        <w:rPr>
          <w:noProof/>
        </w:rPr>
      </w:pPr>
      <w:r>
        <w:rPr>
          <w:noProof/>
        </w:rPr>
        <w:t>După examinarea tuturor posibilităților de realocare a creditelor în cadrul plafoanelor de cheltuieli de la rubrica 3 (</w:t>
      </w:r>
      <w:r>
        <w:rPr>
          <w:i/>
          <w:noProof/>
        </w:rPr>
        <w:t>Securitate și cetățenie</w:t>
      </w:r>
      <w:r>
        <w:rPr>
          <w:noProof/>
        </w:rPr>
        <w:t>), reiese că este necesar să se mobilizeze Instrumentul de flexibilitate pentru a suplimenta finanțarea disponibilă din bugetul general al Uniunii pentru exercițiul financiar 2019 peste plafonul rubricii 3 cu o sumă de 1 009 839 138 EUR pentru a finanța măsuri în domeniul migrației, refugiaților și securității.</w:t>
      </w:r>
    </w:p>
    <w:p>
      <w:pPr>
        <w:pStyle w:val="Point0number"/>
        <w:rPr>
          <w:noProof/>
        </w:rPr>
      </w:pPr>
      <w:r>
        <w:rPr>
          <w:noProof/>
        </w:rPr>
        <w:t>Pe baza profilului de plată preconizat, creditele de plată aferente mobilizării Instrumentului de flexibilitate ar trebui să fie distribuite pe mai multe exerciții financiare.</w:t>
      </w:r>
    </w:p>
    <w:p>
      <w:pPr>
        <w:pStyle w:val="Point0number"/>
        <w:rPr>
          <w:noProof/>
        </w:rPr>
      </w:pPr>
      <w:r>
        <w:rPr>
          <w:noProof/>
        </w:rPr>
        <w:t>Pentru a permite utilizarea rapidă a fondurilor, prezenta decizie ar trebui să se aplice de la începutul exercițiului financiar 2019,</w:t>
      </w:r>
    </w:p>
    <w:p>
      <w:pPr>
        <w:pStyle w:val="Formuledadoption"/>
        <w:rPr>
          <w:noProof/>
        </w:rPr>
      </w:pPr>
      <w:r>
        <w:rPr>
          <w:noProof/>
        </w:rPr>
        <w:t>ADOPTĂ PREZENTA DECIZIE:</w:t>
      </w:r>
    </w:p>
    <w:p>
      <w:pPr>
        <w:pStyle w:val="Titrearticle"/>
        <w:rPr>
          <w:noProof/>
        </w:rPr>
      </w:pPr>
      <w:r>
        <w:rPr>
          <w:noProof/>
        </w:rPr>
        <w:t>Articolul 1</w:t>
      </w:r>
    </w:p>
    <w:p>
      <w:pPr>
        <w:pStyle w:val="Point0number"/>
        <w:numPr>
          <w:ilvl w:val="0"/>
          <w:numId w:val="5"/>
        </w:numPr>
        <w:spacing w:before="0" w:after="0"/>
        <w:rPr>
          <w:noProof/>
        </w:rPr>
      </w:pPr>
      <w:r>
        <w:rPr>
          <w:noProof/>
        </w:rPr>
        <w:t>În cadrul bugetului general al Uniunii pentru exercițiul financiar 2019, se mobilizează Instrumentul de flexibilitate pentru a se furniza suma de 1 009 839 138 EUR sub formă de credite de angajament înscrise la rubrica 3 (</w:t>
      </w:r>
      <w:r>
        <w:rPr>
          <w:i/>
          <w:noProof/>
        </w:rPr>
        <w:t>Securitate și cetățenie</w:t>
      </w:r>
      <w:r>
        <w:rPr>
          <w:noProof/>
        </w:rPr>
        <w:t>).</w:t>
      </w:r>
    </w:p>
    <w:p>
      <w:pPr>
        <w:rPr>
          <w:noProof/>
        </w:rPr>
      </w:pPr>
      <w:r>
        <w:rPr>
          <w:noProof/>
        </w:rPr>
        <w:t>Sumele menționate la primul paragraf sunt utilizate pentru a finanța măsuri menite să abordeze provocările actuale în materie de migrație, fluxuri de refugiați și amenințări la adresa securității.</w:t>
      </w:r>
    </w:p>
    <w:p>
      <w:pPr>
        <w:pStyle w:val="Point0number"/>
        <w:numPr>
          <w:ilvl w:val="0"/>
          <w:numId w:val="5"/>
        </w:numPr>
        <w:spacing w:before="0" w:after="0"/>
        <w:rPr>
          <w:noProof/>
        </w:rPr>
      </w:pPr>
      <w:r>
        <w:rPr>
          <w:noProof/>
        </w:rPr>
        <w:t>Pe baza profilului de plată preconizat, creditele de plată aferente mobilizării Instrumentului de flexibilitate sunt estimate după cum urmează:</w:t>
      </w:r>
    </w:p>
    <w:p>
      <w:pPr>
        <w:pStyle w:val="Point0letter"/>
        <w:tabs>
          <w:tab w:val="clear" w:pos="850"/>
          <w:tab w:val="num" w:pos="426"/>
        </w:tabs>
        <w:ind w:left="426" w:hanging="424"/>
        <w:rPr>
          <w:noProof/>
        </w:rPr>
      </w:pPr>
      <w:r>
        <w:rPr>
          <w:noProof/>
        </w:rPr>
        <w:t>508 897 672 EUR în 2019;</w:t>
      </w:r>
    </w:p>
    <w:p>
      <w:pPr>
        <w:pStyle w:val="Point0letter"/>
        <w:tabs>
          <w:tab w:val="clear" w:pos="850"/>
          <w:tab w:val="num" w:pos="426"/>
        </w:tabs>
        <w:ind w:left="426" w:hanging="424"/>
        <w:rPr>
          <w:noProof/>
        </w:rPr>
      </w:pPr>
      <w:r>
        <w:rPr>
          <w:noProof/>
        </w:rPr>
        <w:t>203 643 836 EUR în 2020;</w:t>
      </w:r>
    </w:p>
    <w:p>
      <w:pPr>
        <w:pStyle w:val="Point0letter"/>
        <w:tabs>
          <w:tab w:val="clear" w:pos="850"/>
          <w:tab w:val="num" w:pos="426"/>
        </w:tabs>
        <w:ind w:left="426" w:hanging="424"/>
        <w:rPr>
          <w:noProof/>
        </w:rPr>
      </w:pPr>
      <w:r>
        <w:rPr>
          <w:noProof/>
        </w:rPr>
        <w:t>121 431 721 EUR în 2021;</w:t>
      </w:r>
    </w:p>
    <w:p>
      <w:pPr>
        <w:pStyle w:val="Point0letter"/>
        <w:tabs>
          <w:tab w:val="clear" w:pos="850"/>
          <w:tab w:val="num" w:pos="426"/>
        </w:tabs>
        <w:ind w:left="426" w:hanging="424"/>
        <w:rPr>
          <w:noProof/>
        </w:rPr>
      </w:pPr>
      <w:r>
        <w:rPr>
          <w:noProof/>
        </w:rPr>
        <w:t>122 227 946 EUR în 2022;</w:t>
      </w:r>
    </w:p>
    <w:p>
      <w:pPr>
        <w:pStyle w:val="Point0letter"/>
        <w:tabs>
          <w:tab w:val="clear" w:pos="850"/>
          <w:tab w:val="num" w:pos="426"/>
        </w:tabs>
        <w:ind w:left="426" w:hanging="424"/>
        <w:rPr>
          <w:noProof/>
        </w:rPr>
      </w:pPr>
      <w:r>
        <w:rPr>
          <w:noProof/>
        </w:rPr>
        <w:t>53 637 963 EUR în 2023.</w:t>
      </w:r>
    </w:p>
    <w:p>
      <w:pPr>
        <w:rPr>
          <w:noProof/>
        </w:rPr>
      </w:pPr>
      <w:r>
        <w:rPr>
          <w:noProof/>
        </w:rPr>
        <w:t>Cuantumurile specifice ale creditelor de plată pentru fiecare exercițiu financiar se autorizează în conformitate cu procedura bugetară anuală.</w:t>
      </w:r>
    </w:p>
    <w:p>
      <w:pPr>
        <w:pStyle w:val="Titrearticle"/>
        <w:rPr>
          <w:noProof/>
        </w:rPr>
      </w:pPr>
      <w:r>
        <w:rPr>
          <w:noProof/>
        </w:rPr>
        <w:t>Articolul 2</w:t>
      </w:r>
    </w:p>
    <w:p>
      <w:pPr>
        <w:rPr>
          <w:i/>
          <w:noProof/>
        </w:rPr>
      </w:pPr>
      <w:r>
        <w:rPr>
          <w:noProof/>
        </w:rPr>
        <w:t xml:space="preserve">Prezenta decizie intră în vigoare la data publicării în </w:t>
      </w:r>
      <w:r>
        <w:rPr>
          <w:i/>
          <w:noProof/>
        </w:rPr>
        <w:t>Jurnalul Oficial al Uniunii Europene</w:t>
      </w:r>
      <w:r>
        <w:rPr>
          <w:noProof/>
        </w:rPr>
        <w:t>.</w:t>
      </w:r>
    </w:p>
    <w:p>
      <w:pPr>
        <w:rPr>
          <w:noProof/>
        </w:rPr>
      </w:pPr>
      <w:r>
        <w:rPr>
          <w:noProof/>
        </w:rPr>
        <w:t>Se aplică de la 1 ianuarie 2019.</w:t>
      </w:r>
    </w:p>
    <w:p>
      <w:pPr>
        <w:rPr>
          <w:i/>
          <w:noProof/>
        </w:rPr>
      </w:pPr>
    </w:p>
    <w:p>
      <w:pPr>
        <w:pStyle w:val="Fait"/>
        <w:rPr>
          <w:noProof/>
        </w:rPr>
      </w:pPr>
      <w:r>
        <w:t>Adoptată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i-FI"/>
        </w:rPr>
      </w:pPr>
      <w:r>
        <w:rPr>
          <w:rStyle w:val="FootnoteReference"/>
        </w:rPr>
        <w:footnoteRef/>
      </w:r>
      <w:r>
        <w:tab/>
        <w:t>JO L 347, 20.12.2013, p. 884.</w:t>
      </w:r>
    </w:p>
  </w:footnote>
  <w:footnote w:id="2">
    <w:p>
      <w:pPr>
        <w:pStyle w:val="FootnoteText"/>
        <w:rPr>
          <w:lang w:val="fi-FI"/>
        </w:rPr>
      </w:pPr>
      <w:r>
        <w:rPr>
          <w:rStyle w:val="FootnoteReference"/>
        </w:rPr>
        <w:footnoteRef/>
      </w:r>
      <w:r>
        <w:tab/>
        <w:t>JO C 373, 20.12.2013, p. 1.</w:t>
      </w:r>
    </w:p>
  </w:footnote>
  <w:footnote w:id="3">
    <w:p>
      <w:pPr>
        <w:pStyle w:val="FootnoteText"/>
        <w:rPr>
          <w:lang w:val="fi-FI"/>
        </w:rPr>
      </w:pPr>
      <w:r>
        <w:rPr>
          <w:rStyle w:val="FootnoteReference"/>
        </w:rPr>
        <w:footnoteRef/>
      </w:r>
      <w:r>
        <w:tab/>
        <w:t>COM(2018) 280, 23.5.2018.</w:t>
      </w:r>
    </w:p>
  </w:footnote>
  <w:footnote w:id="4">
    <w:p>
      <w:pPr>
        <w:pStyle w:val="FootnoteText"/>
        <w:rPr>
          <w:lang w:val="fi-FI"/>
        </w:rPr>
      </w:pPr>
      <w:r>
        <w:rPr>
          <w:rStyle w:val="FootnoteReference"/>
        </w:rPr>
        <w:footnoteRef/>
      </w:r>
      <w:r>
        <w:tab/>
        <w:t>JO C 373, 20.12.2013, p. 1.</w:t>
      </w:r>
    </w:p>
  </w:footnote>
  <w:footnote w:id="5">
    <w:p>
      <w:pPr>
        <w:pStyle w:val="FootnoteText"/>
      </w:pPr>
      <w:r>
        <w:rPr>
          <w:rStyle w:val="FootnoteReference"/>
        </w:rPr>
        <w:footnoteRef/>
      </w:r>
      <w:r>
        <w:tab/>
        <w:t>Regulamentul (UE, EURATOM) nr. 1311/2013 al Consiliului din 2 decembrie 2013 de stabilire a cadrului financiar multianual pentru perioada 2014-2020 (JO L 347, 20.12.2013, p. 884).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F5A3E1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B2AA32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A8E05A8"/>
    <w:lvl w:ilvl="0">
      <w:start w:val="1"/>
      <w:numFmt w:val="decimal"/>
      <w:pStyle w:val="ListNumber2"/>
      <w:lvlText w:val="%1."/>
      <w:lvlJc w:val="left"/>
      <w:pPr>
        <w:tabs>
          <w:tab w:val="num" w:pos="643"/>
        </w:tabs>
        <w:ind w:left="643" w:hanging="360"/>
      </w:pPr>
    </w:lvl>
  </w:abstractNum>
  <w:abstractNum w:abstractNumId="3">
    <w:nsid w:val="FFFFFF81"/>
    <w:multiLevelType w:val="singleLevel"/>
    <w:tmpl w:val="334694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0C6E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880952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9561700"/>
    <w:lvl w:ilvl="0">
      <w:start w:val="1"/>
      <w:numFmt w:val="decimal"/>
      <w:pStyle w:val="ListNumber"/>
      <w:lvlText w:val="%1."/>
      <w:lvlJc w:val="left"/>
      <w:pPr>
        <w:tabs>
          <w:tab w:val="num" w:pos="360"/>
        </w:tabs>
        <w:ind w:left="360" w:hanging="360"/>
      </w:pPr>
    </w:lvl>
  </w:abstractNum>
  <w:abstractNum w:abstractNumId="7">
    <w:nsid w:val="FFFFFF89"/>
    <w:multiLevelType w:val="singleLevel"/>
    <w:tmpl w:val="6A8ABE6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0-29 11:18:3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3C6F922-14D4-46E4-8A0C-886FF766104A"/>
    <w:docVar w:name="LW_COVERPAGE_TYPE" w:val="1"/>
    <w:docVar w:name="LW_CROSSREFERENCE" w:val="&lt;UNUSED&gt;"/>
    <w:docVar w:name="LW_DocType" w:val="COM"/>
    <w:docVar w:name="LW_EMISSION" w:val="16.10.2018"/>
    <w:docVar w:name="LW_EMISSION_ISODATE" w:val="2018-10-16"/>
    <w:docVar w:name="LW_EMISSION_LOCATION" w:val="BRX"/>
    <w:docVar w:name="LW_EMISSION_PREFIX" w:val="Bruxelles, "/>
    <w:docVar w:name="LW_EMISSION_SUFFIX" w:val="&lt;EMPTY&gt;"/>
    <w:docVar w:name="LW_ID_DOCMODEL" w:val="SJ-026"/>
    <w:docVar w:name="LW_ID_DOCSIGNATURE" w:val="SJ-026"/>
    <w:docVar w:name="LW_ID_DOCSTRUCTURE" w:val="COM/PL/ORG"/>
    <w:docVar w:name="LW_ID_DOCTYPE" w:val="SJ-026"/>
    <w:docVar w:name="LW_ID_EXP.MOTIFS.NEW" w:val="EM_PL_"/>
    <w:docVar w:name="LW_ID_STATUT" w:val="SJ-026"/>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8) 70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privind mobilizarea Instrumentului de flexibilitate pentru finan\u539?area m\u259?surilor bugetare imediate în scopul de a aborda provoc\u259?rile actuale în materie de migra\u539?ie, fluxuri de refugia\u539?i \u537?i amenin\u539?\u259?ri la adresa securit\u259?\u539?ii"/>
    <w:docVar w:name="LW_TYPE.DOC.CP" w:val="DECIZIE A PARLAMENTULUI EUROPEAN \u536?I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87BF9E7-B0A8-4C20-B9D9-74778D08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Pages>
  <Words>816</Words>
  <Characters>4800</Characters>
  <Application>Microsoft Office Word</Application>
  <DocSecurity>0</DocSecurity>
  <Lines>102</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17</cp:revision>
  <cp:lastPrinted>2018-10-05T12:09:00Z</cp:lastPrinted>
  <dcterms:created xsi:type="dcterms:W3CDTF">2018-10-25T15:25:00Z</dcterms:created>
  <dcterms:modified xsi:type="dcterms:W3CDTF">2018-10-29T10:18:00Z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SJ-026</vt:lpwstr>
  </property>
  <property fmtid="{D5CDD505-2E9C-101B-9397-08002B2CF9AE}" pid="10" name="DQCStatus">
    <vt:lpwstr>Green (DQC version 03)</vt:lpwstr>
  </property>
</Properties>
</file>