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90B9DE2B-E8BB-4F56-98F4-881CE171918D" style="width:450.5pt;height:352.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INDOKOLÁS</w:t>
      </w:r>
    </w:p>
    <w:p>
      <w:pPr>
        <w:rPr>
          <w:noProof/>
        </w:rPr>
      </w:pPr>
      <w:r>
        <w:rPr>
          <w:noProof/>
        </w:rPr>
        <w:t>A 2014–2020-as időszakra vonatkozó többéves pénzügyi keretről szóló, 2013. december 2-i 1311/2013/EU, Euratom tanácsi rendelet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lehetővé teszi a Rugalmassági Eszköz igénybevételét olyan pontosan meghatározott kiadások fedezésére, amelyeket a többéves pénzügyi keret egy vagy több fejezetének felső határán belül nem lehetne finanszírozni.</w:t>
      </w:r>
    </w:p>
    <w:p>
      <w:pPr>
        <w:rPr>
          <w:noProof/>
        </w:rPr>
      </w:pPr>
      <w:r>
        <w:rPr>
          <w:noProof/>
        </w:rPr>
        <w:t>Az 1311/2013/EU, Euratom tanácsi rendelet 11. cikke és az Európai Parlament, a Tanács és a Bizottság közötti, a költségvetési fegyelemről, a költségvetési ügyekben való együttműködésről és a hatékony és eredményes pénzgazdálkodásról szóló, 2013. december 2-i intézményközi megállapodás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12. pontja értelmében, az előirányzatok átcsoportosítására vonatkozó valamennyi lehetőség megvizsgálását és a </w:t>
      </w:r>
      <w:r>
        <w:rPr>
          <w:i/>
          <w:noProof/>
        </w:rPr>
        <w:t>Biztonság és uniós polgárság</w:t>
      </w:r>
      <w:r>
        <w:rPr>
          <w:noProof/>
        </w:rPr>
        <w:t xml:space="preserve"> elnevezésű kiadási fejezet (3. kiadási fejezet) rendelkezésre álló mozgásterének kimerítését követően, a Bizottság javasolja a Rugalmassági Eszköz igénybevételét 2019-ben. A 2019-ben rendelkezésre álló éves összeg (2011-es árakon) 600 millió EUR, amely folyó árakon 703 millió EUR-nak felel meg. Ezenfelül a fel nem használt 2018-as részből 520 millió EUR áll rendelkezésre. </w:t>
      </w:r>
    </w:p>
    <w:p>
      <w:pPr>
        <w:rPr>
          <w:noProof/>
        </w:rPr>
      </w:pPr>
      <w:r>
        <w:rPr>
          <w:noProof/>
        </w:rPr>
        <w:t>Ez az igénybevétel 1 009,8 millió EUR összegre vonatkozik a többéves pénzügyi keret 3. fejezetének felső határán felül, és arra szolgál, hogy finanszírozza a migrációs, menekültügyi és biztonsági válság kezelésére irányuló intézkedések támogatását. A Bizottság a 2019-es kezdeti költségvetési tervezettel együtt javaslatot tett a Rugalmassági Eszköz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ugyanerre a célra történő igénybevételére. E javaslat most hatályon kívül helyezi és felváltja ezt az első igénybevételt, amely magába foglalta továbbá 38,1 millió EUR igénybevételét az 1b. fejezet felső határán felül, a strukturálisreform-támogató program meghosszabbítására szolgáló finanszírozás biztosítása céljából.</w:t>
      </w:r>
    </w:p>
    <w:p>
      <w:pPr>
        <w:rPr>
          <w:noProof/>
        </w:rPr>
      </w:pPr>
      <w:r>
        <w:rPr>
          <w:noProof/>
        </w:rPr>
        <w:t>A Rugalmassági Eszköz javasolt igénybevételének megfelelő – és az alábbi táblázatban bemutatott – indikatív kifizetési előirányzatokat az előfinanszírozásra, az előfinanszírozás elszámolására, valamint a különböző típusú finanszírozandó intézkedések egyenlegkifizetésére vonatkozó szabályok alapján számították ki:</w:t>
      </w:r>
    </w:p>
    <w:p>
      <w:pPr>
        <w:ind w:left="5040" w:firstLine="720"/>
        <w:jc w:val="left"/>
        <w:rPr>
          <w:noProof/>
        </w:rPr>
      </w:pPr>
      <w:r>
        <w:rPr>
          <w:i/>
          <w:noProof/>
          <w:sz w:val="16"/>
        </w:rPr>
        <w:t>(millió EUR, folyó árakon)</w:t>
      </w:r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04"/>
      </w:tblGrid>
      <w:tr>
        <w:trPr>
          <w:jc w:val="center"/>
        </w:trPr>
        <w:tc>
          <w:tcPr>
            <w:tcW w:w="1560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Év</w:t>
            </w:r>
          </w:p>
        </w:tc>
        <w:tc>
          <w:tcPr>
            <w:tcW w:w="5604" w:type="dxa"/>
            <w:shd w:val="clear" w:color="auto" w:fill="D9D9D9"/>
          </w:tcPr>
          <w:p>
            <w:pPr>
              <w:spacing w:before="30" w:after="30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A Rugalmassági Eszköz 2019-es igénybevételéhez kapcsolódó kifizetési előirányzatok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2019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508,9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2020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203,7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2021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121,4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2022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122,2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spacing w:before="30" w:after="3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2023</w:t>
            </w:r>
          </w:p>
        </w:tc>
        <w:tc>
          <w:tcPr>
            <w:tcW w:w="5604" w:type="dxa"/>
            <w:shd w:val="clear" w:color="auto" w:fill="auto"/>
          </w:tcPr>
          <w:p>
            <w:pPr>
              <w:spacing w:before="30" w:after="30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53,6</w:t>
            </w:r>
          </w:p>
        </w:tc>
      </w:tr>
      <w:tr>
        <w:trPr>
          <w:jc w:val="center"/>
        </w:trPr>
        <w:tc>
          <w:tcPr>
            <w:tcW w:w="1560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Összesen</w:t>
            </w:r>
          </w:p>
        </w:tc>
        <w:tc>
          <w:tcPr>
            <w:tcW w:w="5604" w:type="dxa"/>
            <w:shd w:val="clear" w:color="auto" w:fill="D9D9D9"/>
          </w:tcPr>
          <w:p>
            <w:pPr>
              <w:spacing w:before="30" w:after="30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1 009,8</w:t>
            </w:r>
          </w:p>
        </w:tc>
      </w:tr>
    </w:tbl>
    <w:p>
      <w:pPr>
        <w:rPr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Javaslat</w:t>
      </w:r>
    </w:p>
    <w:p>
      <w:pPr>
        <w:pStyle w:val="Typedudocument"/>
        <w:rPr>
          <w:noProof/>
        </w:rPr>
      </w:pPr>
      <w:r>
        <w:rPr>
          <w:noProof/>
        </w:rPr>
        <w:t>AZ EURÓPAI PARLAMENT ÉS A TANÁCS HATÁROZATA</w:t>
      </w:r>
    </w:p>
    <w:p>
      <w:pPr>
        <w:pStyle w:val="Titreobjet"/>
        <w:rPr>
          <w:noProof/>
        </w:rPr>
      </w:pPr>
      <w:r>
        <w:rPr>
          <w:noProof/>
        </w:rPr>
        <w:t>a Rugalmassági Eszköznek a migráció, a menekültáradat és a biztonsági fenyegetések jelenlegi kihívásainak kezelésére szolgáló azonnali költségvetési intézkedések finanszírozása céljából történő igénybevételéről</w:t>
      </w:r>
    </w:p>
    <w:p>
      <w:pPr>
        <w:pStyle w:val="Institutionquiagit"/>
        <w:rPr>
          <w:noProof/>
        </w:rPr>
      </w:pPr>
      <w:r>
        <w:rPr>
          <w:noProof/>
        </w:rPr>
        <w:t>AZ EURÓPAI PARLAMENT ÉS 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szerződésre,</w:t>
      </w:r>
    </w:p>
    <w:p>
      <w:pPr>
        <w:rPr>
          <w:noProof/>
        </w:rPr>
      </w:pPr>
      <w:r>
        <w:rPr>
          <w:noProof/>
        </w:rPr>
        <w:t>tekintettel az Európai Parlament, a Tanács és a Bizottság közötti, a költségvetési fegyelemről, a költségvetési ügyekben való együttműködésről és a hatékony és eredményes pénzgazdálkodásról szóló, 2013. december 2-i intézményközi megállapodásra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és különösen annak 12. pontjára,</w:t>
      </w:r>
    </w:p>
    <w:p>
      <w:pPr>
        <w:rPr>
          <w:noProof/>
        </w:rPr>
      </w:pPr>
      <w:r>
        <w:rPr>
          <w:noProof/>
        </w:rPr>
        <w:t>tekintettel az Európai Bizottság javaslatára,</w:t>
      </w:r>
    </w:p>
    <w:p>
      <w:pPr>
        <w:rPr>
          <w:noProof/>
        </w:rPr>
      </w:pPr>
      <w:r>
        <w:rPr>
          <w:noProof/>
        </w:rPr>
        <w:t xml:space="preserve">mivel: </w:t>
      </w:r>
    </w:p>
    <w:p>
      <w:pPr>
        <w:pStyle w:val="Point0number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t>A Rugalmassági Eszköz azon egyértelműen meghatározható kiadások finanszírozásának lehetővé tételére szolgál, amelyeket más fejezethez vagy fejezetekhez tartozó felső határok korlátai között nem lehetett finanszírozni.</w:t>
      </w:r>
    </w:p>
    <w:p>
      <w:pPr>
        <w:pStyle w:val="Point0number"/>
        <w:numPr>
          <w:ilvl w:val="0"/>
          <w:numId w:val="6"/>
        </w:numPr>
        <w:rPr>
          <w:noProof/>
        </w:rPr>
      </w:pPr>
      <w:r>
        <w:rPr>
          <w:noProof/>
        </w:rPr>
        <w:t>Az 1311/2013/EU, Euratom tanácsi rendelet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11. cikkének értelmében a Rugalmassági Eszköz céljára rendelkezésre álló éves összeg felső határa (2011-es árakon) 600 000 000 EUR. </w:t>
      </w:r>
    </w:p>
    <w:p>
      <w:pPr>
        <w:pStyle w:val="Point0number"/>
        <w:numPr>
          <w:ilvl w:val="0"/>
          <w:numId w:val="6"/>
        </w:numPr>
        <w:spacing w:before="0" w:after="0"/>
        <w:rPr>
          <w:noProof/>
        </w:rPr>
      </w:pPr>
      <w:r>
        <w:rPr>
          <w:noProof/>
        </w:rPr>
        <w:t>A migráció, a menekültáradat és a biztonsági fenyegetések jelenlegi kihívásainak kezelése érdekében jelentős további összegeket kell igénybe venni sürgősen ezen intézkedések finanszírozása céljából.</w:t>
      </w:r>
    </w:p>
    <w:p>
      <w:pPr>
        <w:pStyle w:val="Point0number"/>
        <w:rPr>
          <w:noProof/>
        </w:rPr>
      </w:pPr>
      <w:r>
        <w:rPr>
          <w:noProof/>
        </w:rPr>
        <w:t>Miután a Bizottság megvizsgálta a 3. fejezet (</w:t>
      </w:r>
      <w:r>
        <w:rPr>
          <w:i/>
          <w:noProof/>
        </w:rPr>
        <w:t>Biztonság és uniós polgárság</w:t>
      </w:r>
      <w:r>
        <w:rPr>
          <w:noProof/>
        </w:rPr>
        <w:t>) kiadási felső határain belül az előirányzatok átcsoportosításának valamennyi lehetőségét, igénybe kell venni a Rugalmassági Eszközt annak érdekében, hogy az Unió 2019-es pénzügyi évre vonatkozó általános költségvetésében rendelkezésre álló finanszírozást a 3. fejezet felső határán felül 1 009 839 138 EUR-val ki lehessen egészíteni a migráció, a menekültügy és a biztonság területén való intézkedések finanszírozásának céljára.</w:t>
      </w:r>
    </w:p>
    <w:p>
      <w:pPr>
        <w:pStyle w:val="Point0number"/>
        <w:rPr>
          <w:noProof/>
        </w:rPr>
      </w:pPr>
      <w:r>
        <w:rPr>
          <w:noProof/>
        </w:rPr>
        <w:t>A várható kifizetési profil alapján a Rugalmassági Eszköz igénybevételének megfelelő kifizetési előirányzatokat több pénzügyi évre kell elosztani.</w:t>
      </w:r>
    </w:p>
    <w:p>
      <w:pPr>
        <w:pStyle w:val="Point0number"/>
        <w:rPr>
          <w:noProof/>
        </w:rPr>
      </w:pPr>
      <w:r>
        <w:rPr>
          <w:noProof/>
        </w:rPr>
        <w:t>A pénzeszközök mielőbbi felhasználásának lehetővé tétele érdekében indokolt, hogy ez a határozat a 2019-es pénzügyi év kezdetétől legyen alkalmazandó,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pStyle w:val="Point0number"/>
        <w:numPr>
          <w:ilvl w:val="0"/>
          <w:numId w:val="5"/>
        </w:numPr>
        <w:spacing w:before="0" w:after="0"/>
        <w:rPr>
          <w:noProof/>
        </w:rPr>
      </w:pPr>
      <w:r>
        <w:rPr>
          <w:noProof/>
        </w:rPr>
        <w:t>Az Unió 2019-es pénzügyi évre vonatkozó általános költségvetésének keretein belül a Rugalmassági Eszközből 1°009 839 138 EUR összeg igénybevételére kerül sor kötelezettségvállalási előirányzatok formájában a 3. fejezetben (</w:t>
      </w:r>
      <w:r>
        <w:rPr>
          <w:i/>
          <w:noProof/>
        </w:rPr>
        <w:t>Biztonság és uniós polgárság</w:t>
      </w:r>
      <w:r>
        <w:rPr>
          <w:noProof/>
        </w:rPr>
        <w:t>).</w:t>
      </w:r>
    </w:p>
    <w:p>
      <w:pPr>
        <w:rPr>
          <w:noProof/>
        </w:rPr>
      </w:pPr>
      <w:r>
        <w:rPr>
          <w:noProof/>
        </w:rPr>
        <w:t>Az első albekezdésben említett összegeket a migráció, a menekültáradat és a biztonsági fenyegetések jelenlegi kihívásainak kezelésére szolgáló intézkedések finanszírozásának céljára kell felhasználni.</w:t>
      </w:r>
    </w:p>
    <w:p>
      <w:pPr>
        <w:pStyle w:val="Point0number"/>
        <w:numPr>
          <w:ilvl w:val="0"/>
          <w:numId w:val="5"/>
        </w:numPr>
        <w:spacing w:before="0" w:after="0"/>
        <w:rPr>
          <w:noProof/>
        </w:rPr>
      </w:pPr>
      <w:r>
        <w:rPr>
          <w:noProof/>
        </w:rPr>
        <w:t>A várható kifizetési profil alapján a Rugalmassági Eszköz igénybevételének megfelelő kifizetési előirányzatok a becslések szerint a következőképpen alakulnak: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508 897 672 EUR 2019-ben;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203 643 836 EUR 2020-ban;</w:t>
      </w:r>
    </w:p>
    <w:p>
      <w:pPr>
        <w:pStyle w:val="Point0"/>
        <w:rPr>
          <w:noProof/>
        </w:rPr>
      </w:pPr>
      <w:r>
        <w:rPr>
          <w:noProof/>
        </w:rPr>
        <w:t>c)</w:t>
      </w:r>
      <w:r>
        <w:rPr>
          <w:noProof/>
        </w:rPr>
        <w:tab/>
        <w:t>121 431 721 EUR 2021-ben;</w:t>
      </w:r>
    </w:p>
    <w:p>
      <w:pPr>
        <w:pStyle w:val="Point0"/>
        <w:rPr>
          <w:noProof/>
        </w:rPr>
      </w:pPr>
      <w:r>
        <w:rPr>
          <w:noProof/>
        </w:rPr>
        <w:t>d)</w:t>
      </w:r>
      <w:r>
        <w:rPr>
          <w:noProof/>
        </w:rPr>
        <w:tab/>
        <w:t>122 227 946 EUR 2022-ben;</w:t>
      </w:r>
    </w:p>
    <w:p>
      <w:pPr>
        <w:pStyle w:val="Point0"/>
        <w:rPr>
          <w:noProof/>
        </w:rPr>
      </w:pPr>
      <w:r>
        <w:rPr>
          <w:noProof/>
        </w:rPr>
        <w:t>e)</w:t>
      </w:r>
      <w:r>
        <w:rPr>
          <w:noProof/>
        </w:rPr>
        <w:tab/>
        <w:t>53 637 963 EUR 2023-ban.</w:t>
      </w:r>
    </w:p>
    <w:p>
      <w:pPr>
        <w:rPr>
          <w:noProof/>
        </w:rPr>
      </w:pPr>
      <w:r>
        <w:rPr>
          <w:noProof/>
        </w:rPr>
        <w:t>Az egyes pénzügyi évekre vonatkozó kifizetési előirányzatok konkrét összegét az éves költségvetési eljárásnak megfelelően kell engedélyezni.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rPr>
          <w:i/>
          <w:noProof/>
        </w:rPr>
      </w:pPr>
      <w:r>
        <w:rPr>
          <w:noProof/>
        </w:rPr>
        <w:t xml:space="preserve">Ez a határozat az </w:t>
      </w:r>
      <w:r>
        <w:rPr>
          <w:i/>
          <w:noProof/>
        </w:rPr>
        <w:t>Európai Unió Hivatalos Lapjában</w:t>
      </w:r>
      <w:r>
        <w:rPr>
          <w:noProof/>
        </w:rPr>
        <w:t xml:space="preserve"> való kihirdetésének napján lép hatályba.</w:t>
      </w:r>
    </w:p>
    <w:p>
      <w:pPr>
        <w:rPr>
          <w:noProof/>
        </w:rPr>
      </w:pPr>
      <w:r>
        <w:rPr>
          <w:noProof/>
        </w:rPr>
        <w:t>Ezt a határozatot 2019. január 1-jétől kell alkalmazni.</w:t>
      </w:r>
    </w:p>
    <w:p>
      <w:pPr>
        <w:rPr>
          <w:i/>
          <w:noProof/>
        </w:rPr>
      </w:pP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>az Európai Parlament részéről</w:t>
      </w: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>az elnök</w:t>
      </w:r>
      <w:r>
        <w:rPr>
          <w:noProof/>
        </w:rPr>
        <w:tab/>
        <w:t>az elnök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HL L 347., 2013.12.20., 884. o.</w:t>
      </w:r>
    </w:p>
  </w:footnote>
  <w:footnote w:id="2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HL C 373., 2013.12.20., 1. o.</w:t>
      </w:r>
    </w:p>
  </w:footnote>
  <w:footnote w:id="3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COM(2018) 280, 2018.5.23.</w:t>
      </w:r>
    </w:p>
  </w:footnote>
  <w:footnote w:id="4">
    <w:p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ab/>
        <w:t>HL C 373., 2013.12.20., 1. o.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A Tanács 1311/2013/EU, Euratom rendelete (2013. december 2.) a 2014–2020-as időszakra vonatkozó többéves pénzügyi keretről (HL L 347., 2013.12.20., 884. 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F5A3E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B2AA3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A8E05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34694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0C6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88095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95617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A8ABE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29 11:16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90B9DE2B-E8BB-4F56-98F4-881CE171918D"/>
    <w:docVar w:name="LW_COVERPAGE_TYPE" w:val="1"/>
    <w:docVar w:name="LW_CROSSREFERENCE" w:val="&lt;UNUSED&gt;"/>
    <w:docVar w:name="LW_DocType" w:val="COM"/>
    <w:docVar w:name="LW_EMISSION" w:val="2018.10.16."/>
    <w:docVar w:name="LW_EMISSION_ISODATE" w:val="2018-10-16"/>
    <w:docVar w:name="LW_EMISSION_LOCATION" w:val="BRX"/>
    <w:docVar w:name="LW_EMISSION_PREFIX" w:val="Brüsszel, "/>
    <w:docVar w:name="LW_EMISSION_SUFFIX" w:val="&lt;EMPTY&gt;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8"/>
    <w:docVar w:name="LW_REF.INST.NEW" w:val="COM"/>
    <w:docVar w:name="LW_REF.INST.NEW_ADOPTED" w:val="final"/>
    <w:docVar w:name="LW_REF.INST.NEW_TEXT" w:val="(2018) 70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Javaslat"/>
    <w:docVar w:name="LW_SUPERTITRE" w:val="&lt;UNUSED&gt;"/>
    <w:docVar w:name="LW_TITRE.OBJ.CP" w:val="a Rugalmassági Eszköznek a migráció, a menekültáradat és a biztonsági fenyegetések jelenlegi kihívásainak kezelésére szolgáló azonnali költségvetési intézkedések finanszírozása céljából történ\u337? igénybevételér\u337?l"/>
    <w:docVar w:name="LW_TYPE.DOC.CP" w:val="AZ EURÓPAI PARLAMENT ÉS 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4541634-EAFB-469A-BB3F-C507C50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713</Words>
  <Characters>4906</Characters>
  <Application>Microsoft Office Word</Application>
  <DocSecurity>0</DocSecurity>
  <Lines>104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17</cp:revision>
  <cp:lastPrinted>2018-10-05T12:09:00Z</cp:lastPrinted>
  <dcterms:created xsi:type="dcterms:W3CDTF">2018-10-24T07:51:00Z</dcterms:created>
  <dcterms:modified xsi:type="dcterms:W3CDTF">2018-10-29T10:16:00Z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