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962AA1C-4595-446C-A73C-3153B28F2FB7" style="width:450.7pt;height:351.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rPr>
          <w:noProof/>
        </w:rPr>
      </w:pPr>
      <w:r>
        <w:rPr>
          <w:noProof/>
        </w:rPr>
        <w:t>Nařízení Rady (EU, Euratom) č. 1311/2013 ze dne 2. prosince 2013, kterým se stanoví víceletý finanční rámec na období 2014–2020</w:t>
      </w:r>
      <w:r>
        <w:rPr>
          <w:rStyle w:val="FootnoteReference"/>
          <w:noProof/>
        </w:rPr>
        <w:footnoteReference w:id="1"/>
      </w:r>
      <w:r>
        <w:rPr>
          <w:noProof/>
        </w:rPr>
        <w:t>, umožňuje uvolnit prostředky z nástroje pružnosti k financování přesně určených výdajů, které nebylo možné financovat v mezích stropů pro jeden nebo více jiných okruhů víceletého finančního rámce.</w:t>
      </w:r>
    </w:p>
    <w:p>
      <w:pPr>
        <w:rPr>
          <w:noProof/>
        </w:rPr>
      </w:pPr>
      <w:r>
        <w:rPr>
          <w:noProof/>
        </w:rPr>
        <w:t>V souladu s článkem 11 nařízení Rady č. 1311/2013 a bodem 12 Interinstitucionální dohody ze dne 2. prosince 2013 mezi Evropským parlamentem, Radou a Komisí o rozpočtové kázni, spolupráci v rozpočtových záležitostech a řádném finančním řízení</w:t>
      </w:r>
      <w:r>
        <w:rPr>
          <w:rStyle w:val="FootnoteReference"/>
          <w:noProof/>
        </w:rPr>
        <w:footnoteReference w:id="2"/>
      </w:r>
      <w:r>
        <w:rPr>
          <w:noProof/>
        </w:rPr>
        <w:t xml:space="preserve"> a poté, co byly ve výdajích </w:t>
      </w:r>
      <w:r>
        <w:rPr>
          <w:i/>
          <w:noProof/>
        </w:rPr>
        <w:t>Bezpečnost a občanství</w:t>
      </w:r>
      <w:r>
        <w:rPr>
          <w:noProof/>
        </w:rPr>
        <w:t xml:space="preserve"> (okruh 3) posouzeny všechny možnosti k přerozdělení prostředků a co v něm byla vyčerpána všechna nepřidělená rozpětí, navrhuje Komise uvolnit v roce 2019 prostředky z nástroje pružnosti. Roční částka, která je v roce 2019 k dispozici, činí 600 milionů EUR (v cenách roku 2011), což odpovídá 703 milionům EUR v běžných cenách. Kromě toho je k dispozici 520 milionů EUR z nevyužité části z roku 2018. </w:t>
      </w:r>
    </w:p>
    <w:p>
      <w:pPr>
        <w:rPr>
          <w:noProof/>
        </w:rPr>
      </w:pPr>
      <w:r>
        <w:rPr>
          <w:noProof/>
        </w:rPr>
        <w:t>Předmětná částka uvolňovaná nad rámec stropu okruhu 3 víceletého finančního rámce činí 1 009,8 milionu EUR. Financována z ní má být podpora opatření k řízení migrační, uprchlické a bezpečnostní krize. Společně s původním návrhem rozpočtu na rok 2019 Komise navrhla uvolnit prostředky z nástroje pružnosti</w:t>
      </w:r>
      <w:r>
        <w:rPr>
          <w:rStyle w:val="FootnoteReference"/>
          <w:noProof/>
        </w:rPr>
        <w:footnoteReference w:id="3"/>
      </w:r>
      <w:r>
        <w:rPr>
          <w:noProof/>
        </w:rPr>
        <w:t xml:space="preserve"> k témuž účelu. Toto první uvolnění prostředků, které rovněž zahrnuje částku 38,1 milionu EUR, která má být uvolněna nad rámec stropu podokruhu 1b za účelem poskytnutí financování rozšíření programu na podporu strukturálních reforem, se nyní ruší a nahrazuje tímto návrhem.</w:t>
      </w:r>
    </w:p>
    <w:p>
      <w:pPr>
        <w:rPr>
          <w:noProof/>
        </w:rPr>
      </w:pPr>
      <w:r>
        <w:rPr>
          <w:noProof/>
        </w:rPr>
        <w:t>Orientační výše prostředků na platby, jež odpovídá navrhovanému uvolnění prostředků z nástroje pružnosti, byla vypočtena podle pravidel, která platí pro předběžné financování, schvalování předběžného financování a konečnou výši plateb u různých druhů opatření určených k financování. Tyto orientační částky jsou uvedeny v tabulce níže:</w:t>
      </w:r>
    </w:p>
    <w:p>
      <w:pPr>
        <w:ind w:left="5040" w:firstLine="720"/>
        <w:jc w:val="left"/>
        <w:rPr>
          <w:noProof/>
        </w:rPr>
      </w:pPr>
      <w:r>
        <w:rPr>
          <w:i/>
          <w:noProof/>
          <w:sz w:val="16"/>
        </w:rPr>
        <w:t>(v mil. EUR, v běžných cenách)</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rPr>
              <w:t>Rok</w:t>
            </w:r>
          </w:p>
        </w:tc>
        <w:tc>
          <w:tcPr>
            <w:tcW w:w="5604" w:type="dxa"/>
            <w:shd w:val="clear" w:color="auto" w:fill="D9D9D9"/>
          </w:tcPr>
          <w:p>
            <w:pPr>
              <w:spacing w:before="30" w:after="30"/>
              <w:jc w:val="center"/>
              <w:rPr>
                <w:b/>
                <w:noProof/>
                <w:sz w:val="16"/>
                <w:szCs w:val="16"/>
              </w:rPr>
            </w:pPr>
            <w:r>
              <w:rPr>
                <w:b/>
                <w:noProof/>
                <w:sz w:val="16"/>
              </w:rPr>
              <w:t>Prostředky na platby plynoucí z uvolnění prostředků z nástroje pružnosti v roce 2019</w:t>
            </w:r>
          </w:p>
        </w:tc>
      </w:tr>
      <w:tr>
        <w:trPr>
          <w:jc w:val="center"/>
        </w:trPr>
        <w:tc>
          <w:tcPr>
            <w:tcW w:w="1560" w:type="dxa"/>
            <w:shd w:val="clear" w:color="auto" w:fill="auto"/>
          </w:tcPr>
          <w:p>
            <w:pPr>
              <w:spacing w:before="30" w:after="30"/>
              <w:jc w:val="center"/>
              <w:rPr>
                <w:noProof/>
                <w:sz w:val="16"/>
                <w:szCs w:val="16"/>
              </w:rPr>
            </w:pPr>
            <w:r>
              <w:rPr>
                <w:noProof/>
                <w:sz w:val="16"/>
              </w:rPr>
              <w:t>2019</w:t>
            </w:r>
          </w:p>
        </w:tc>
        <w:tc>
          <w:tcPr>
            <w:tcW w:w="5604" w:type="dxa"/>
            <w:shd w:val="clear" w:color="auto" w:fill="auto"/>
          </w:tcPr>
          <w:p>
            <w:pPr>
              <w:spacing w:before="30" w:after="30"/>
              <w:jc w:val="right"/>
              <w:rPr>
                <w:noProof/>
                <w:sz w:val="16"/>
                <w:szCs w:val="16"/>
              </w:rPr>
            </w:pPr>
            <w:r>
              <w:rPr>
                <w:noProof/>
                <w:sz w:val="16"/>
              </w:rPr>
              <w:t>508,9</w:t>
            </w:r>
          </w:p>
        </w:tc>
      </w:tr>
      <w:tr>
        <w:trPr>
          <w:jc w:val="center"/>
        </w:trPr>
        <w:tc>
          <w:tcPr>
            <w:tcW w:w="1560" w:type="dxa"/>
            <w:shd w:val="clear" w:color="auto" w:fill="auto"/>
          </w:tcPr>
          <w:p>
            <w:pPr>
              <w:spacing w:before="30" w:after="30"/>
              <w:jc w:val="center"/>
              <w:rPr>
                <w:noProof/>
                <w:sz w:val="16"/>
                <w:szCs w:val="16"/>
              </w:rPr>
            </w:pPr>
            <w:r>
              <w:rPr>
                <w:noProof/>
                <w:sz w:val="16"/>
              </w:rPr>
              <w:t>2020</w:t>
            </w:r>
          </w:p>
        </w:tc>
        <w:tc>
          <w:tcPr>
            <w:tcW w:w="5604" w:type="dxa"/>
            <w:shd w:val="clear" w:color="auto" w:fill="auto"/>
          </w:tcPr>
          <w:p>
            <w:pPr>
              <w:spacing w:before="30" w:after="30"/>
              <w:jc w:val="right"/>
              <w:rPr>
                <w:noProof/>
                <w:sz w:val="16"/>
                <w:szCs w:val="16"/>
              </w:rPr>
            </w:pPr>
            <w:r>
              <w:rPr>
                <w:noProof/>
                <w:sz w:val="16"/>
              </w:rPr>
              <w:t>203,7</w:t>
            </w:r>
          </w:p>
        </w:tc>
      </w:tr>
      <w:tr>
        <w:trPr>
          <w:jc w:val="center"/>
        </w:trPr>
        <w:tc>
          <w:tcPr>
            <w:tcW w:w="1560" w:type="dxa"/>
            <w:shd w:val="clear" w:color="auto" w:fill="auto"/>
          </w:tcPr>
          <w:p>
            <w:pPr>
              <w:spacing w:before="30" w:after="30"/>
              <w:jc w:val="center"/>
              <w:rPr>
                <w:noProof/>
                <w:sz w:val="16"/>
                <w:szCs w:val="16"/>
              </w:rPr>
            </w:pPr>
            <w:r>
              <w:rPr>
                <w:noProof/>
                <w:sz w:val="16"/>
              </w:rPr>
              <w:t>2021</w:t>
            </w:r>
          </w:p>
        </w:tc>
        <w:tc>
          <w:tcPr>
            <w:tcW w:w="5604" w:type="dxa"/>
            <w:shd w:val="clear" w:color="auto" w:fill="auto"/>
          </w:tcPr>
          <w:p>
            <w:pPr>
              <w:spacing w:before="30" w:after="30"/>
              <w:jc w:val="right"/>
              <w:rPr>
                <w:noProof/>
                <w:sz w:val="16"/>
                <w:szCs w:val="16"/>
              </w:rPr>
            </w:pPr>
            <w:r>
              <w:rPr>
                <w:noProof/>
                <w:sz w:val="16"/>
              </w:rPr>
              <w:t>121,4</w:t>
            </w:r>
          </w:p>
        </w:tc>
      </w:tr>
      <w:tr>
        <w:trPr>
          <w:jc w:val="center"/>
        </w:trPr>
        <w:tc>
          <w:tcPr>
            <w:tcW w:w="1560" w:type="dxa"/>
            <w:shd w:val="clear" w:color="auto" w:fill="auto"/>
          </w:tcPr>
          <w:p>
            <w:pPr>
              <w:spacing w:before="30" w:after="30"/>
              <w:jc w:val="center"/>
              <w:rPr>
                <w:noProof/>
                <w:sz w:val="16"/>
                <w:szCs w:val="16"/>
              </w:rPr>
            </w:pPr>
            <w:r>
              <w:rPr>
                <w:noProof/>
                <w:sz w:val="16"/>
              </w:rPr>
              <w:t>2022</w:t>
            </w:r>
          </w:p>
        </w:tc>
        <w:tc>
          <w:tcPr>
            <w:tcW w:w="5604" w:type="dxa"/>
            <w:shd w:val="clear" w:color="auto" w:fill="auto"/>
          </w:tcPr>
          <w:p>
            <w:pPr>
              <w:spacing w:before="30" w:after="30"/>
              <w:jc w:val="right"/>
              <w:rPr>
                <w:noProof/>
                <w:sz w:val="16"/>
                <w:szCs w:val="16"/>
              </w:rPr>
            </w:pPr>
            <w:r>
              <w:rPr>
                <w:noProof/>
                <w:sz w:val="16"/>
              </w:rPr>
              <w:t>122,2</w:t>
            </w:r>
          </w:p>
        </w:tc>
      </w:tr>
      <w:tr>
        <w:trPr>
          <w:jc w:val="center"/>
        </w:trPr>
        <w:tc>
          <w:tcPr>
            <w:tcW w:w="1560" w:type="dxa"/>
            <w:shd w:val="clear" w:color="auto" w:fill="auto"/>
          </w:tcPr>
          <w:p>
            <w:pPr>
              <w:spacing w:before="30" w:after="30"/>
              <w:jc w:val="center"/>
              <w:rPr>
                <w:noProof/>
                <w:sz w:val="16"/>
                <w:szCs w:val="16"/>
              </w:rPr>
            </w:pPr>
            <w:r>
              <w:rPr>
                <w:noProof/>
                <w:sz w:val="16"/>
              </w:rPr>
              <w:t>2023</w:t>
            </w:r>
          </w:p>
        </w:tc>
        <w:tc>
          <w:tcPr>
            <w:tcW w:w="5604" w:type="dxa"/>
            <w:shd w:val="clear" w:color="auto" w:fill="auto"/>
          </w:tcPr>
          <w:p>
            <w:pPr>
              <w:spacing w:before="30" w:after="30"/>
              <w:jc w:val="right"/>
              <w:rPr>
                <w:noProof/>
                <w:sz w:val="16"/>
                <w:szCs w:val="16"/>
              </w:rPr>
            </w:pPr>
            <w:r>
              <w:rPr>
                <w:noProof/>
                <w:sz w:val="16"/>
              </w:rPr>
              <w:t>53,6</w:t>
            </w:r>
          </w:p>
        </w:tc>
      </w:tr>
      <w:tr>
        <w:trPr>
          <w:jc w:val="center"/>
        </w:trPr>
        <w:tc>
          <w:tcPr>
            <w:tcW w:w="1560" w:type="dxa"/>
            <w:shd w:val="clear" w:color="auto" w:fill="D9D9D9"/>
          </w:tcPr>
          <w:p>
            <w:pPr>
              <w:spacing w:before="30" w:after="30"/>
              <w:jc w:val="right"/>
              <w:rPr>
                <w:b/>
                <w:noProof/>
                <w:sz w:val="16"/>
                <w:szCs w:val="16"/>
              </w:rPr>
            </w:pPr>
            <w:r>
              <w:rPr>
                <w:b/>
                <w:noProof/>
                <w:sz w:val="16"/>
              </w:rPr>
              <w:t>Celkem</w:t>
            </w:r>
          </w:p>
        </w:tc>
        <w:tc>
          <w:tcPr>
            <w:tcW w:w="5604" w:type="dxa"/>
            <w:shd w:val="clear" w:color="auto" w:fill="D9D9D9"/>
          </w:tcPr>
          <w:p>
            <w:pPr>
              <w:spacing w:before="30" w:after="30"/>
              <w:jc w:val="right"/>
              <w:rPr>
                <w:b/>
                <w:noProof/>
                <w:sz w:val="16"/>
                <w:szCs w:val="16"/>
              </w:rPr>
            </w:pPr>
            <w:r>
              <w:rPr>
                <w:b/>
                <w:noProof/>
                <w:sz w:val="16"/>
              </w:rPr>
              <w:t>1 009,8</w:t>
            </w:r>
          </w:p>
        </w:tc>
      </w:tr>
    </w:tbl>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Statut"/>
        <w:rPr>
          <w:noProof/>
        </w:rPr>
      </w:pPr>
      <w:r>
        <w:rPr>
          <w:noProof/>
        </w:rPr>
        <w:lastRenderedPageBreak/>
        <w:t>Návrh</w:t>
      </w:r>
    </w:p>
    <w:p>
      <w:pPr>
        <w:pStyle w:val="Typedudocument"/>
        <w:rPr>
          <w:noProof/>
        </w:rPr>
      </w:pPr>
      <w:r>
        <w:rPr>
          <w:noProof/>
        </w:rPr>
        <w:t>ROZHODNUTÍ EVROPSKÉHO PARLAMENTU A RADY</w:t>
      </w:r>
    </w:p>
    <w:p>
      <w:pPr>
        <w:pStyle w:val="Titreobjet"/>
        <w:rPr>
          <w:noProof/>
        </w:rPr>
      </w:pPr>
      <w:r>
        <w:rPr>
          <w:noProof/>
        </w:rPr>
        <w:t>o uvolnění prostředků z nástroje pružnosti za účelem financování okamžitých rozpočtových opatření k řešení přetrvávajících problémů v souvislosti s migrací, přílivem uprchlíků a bezpečnostními hrozbami</w:t>
      </w:r>
    </w:p>
    <w:p>
      <w:pPr>
        <w:pStyle w:val="Institutionquiagit"/>
        <w:rPr>
          <w:noProof/>
        </w:rPr>
      </w:pPr>
      <w:r>
        <w:rPr>
          <w:noProof/>
        </w:rPr>
        <w:t>EVROPSKÝ PARLAMENT A RADA EVROPSKÉ UNIE,</w:t>
      </w:r>
    </w:p>
    <w:p>
      <w:pPr>
        <w:rPr>
          <w:noProof/>
        </w:rPr>
      </w:pPr>
      <w:r>
        <w:rPr>
          <w:noProof/>
        </w:rPr>
        <w:t>s ohledem na Smlouvu o fungování Evropské unie,</w:t>
      </w:r>
    </w:p>
    <w:p>
      <w:pPr>
        <w:rPr>
          <w:noProof/>
        </w:rPr>
      </w:pPr>
      <w:r>
        <w:rPr>
          <w:noProof/>
        </w:rPr>
        <w:t>s ohledem na interinstitucionální dohodu ze dne 2. prosince 2013 mezi Evropským parlamentem, Radou a Komisí o rozpočtové kázni, spolupráci v rozpočtových záležitostech a řádném finančním řízení</w:t>
      </w:r>
      <w:r>
        <w:rPr>
          <w:rStyle w:val="FootnoteReference"/>
          <w:noProof/>
        </w:rPr>
        <w:footnoteReference w:id="4"/>
      </w:r>
      <w:r>
        <w:rPr>
          <w:noProof/>
        </w:rPr>
        <w:t>, a zejména na bod 12 této dohody,</w:t>
      </w:r>
    </w:p>
    <w:p>
      <w:pPr>
        <w:rPr>
          <w:noProof/>
        </w:rPr>
      </w:pPr>
      <w:r>
        <w:rPr>
          <w:noProof/>
        </w:rPr>
        <w:t>s ohledem na návrh Evropské komise,</w:t>
      </w:r>
    </w:p>
    <w:p>
      <w:pPr>
        <w:rPr>
          <w:noProof/>
        </w:rPr>
      </w:pPr>
      <w:r>
        <w:rPr>
          <w:noProof/>
        </w:rPr>
        <w:t xml:space="preserve">vzhledem k těmto důvodům: </w:t>
      </w:r>
    </w:p>
    <w:p>
      <w:pPr>
        <w:pStyle w:val="Point0number"/>
        <w:numPr>
          <w:ilvl w:val="0"/>
          <w:numId w:val="5"/>
        </w:numPr>
        <w:spacing w:before="0" w:after="0"/>
        <w:rPr>
          <w:noProof/>
        </w:rPr>
      </w:pPr>
      <w:r>
        <w:rPr>
          <w:noProof/>
        </w:rPr>
        <w:t>Nástroj pružnosti má umožnit financování přesně určených výdajů, které nebylo možné financovat v mezích stropů pro jeden nebo více jiných okruhů.</w:t>
      </w:r>
    </w:p>
    <w:p>
      <w:pPr>
        <w:pStyle w:val="Point0number"/>
        <w:numPr>
          <w:ilvl w:val="0"/>
          <w:numId w:val="5"/>
        </w:numPr>
        <w:rPr>
          <w:noProof/>
        </w:rPr>
      </w:pPr>
      <w:r>
        <w:rPr>
          <w:noProof/>
        </w:rPr>
        <w:t>Podle článku 11 nařízení Rady (EU, Euratom) č. 1311/2013</w:t>
      </w:r>
      <w:r>
        <w:rPr>
          <w:rStyle w:val="FootnoteReference"/>
          <w:noProof/>
        </w:rPr>
        <w:footnoteReference w:id="5"/>
      </w:r>
      <w:r>
        <w:rPr>
          <w:noProof/>
        </w:rPr>
        <w:t xml:space="preserve"> činí strop pro roční disponibilní částky pro nástroj pružnosti 600 000 000 EUR (v cenách z roku 2011). </w:t>
      </w:r>
    </w:p>
    <w:p>
      <w:pPr>
        <w:pStyle w:val="Point0number"/>
        <w:numPr>
          <w:ilvl w:val="0"/>
          <w:numId w:val="5"/>
        </w:numPr>
        <w:spacing w:before="0" w:after="0"/>
        <w:rPr>
          <w:noProof/>
        </w:rPr>
      </w:pPr>
      <w:r>
        <w:rPr>
          <w:noProof/>
        </w:rPr>
        <w:t>Za účelem řešení přetrvávajících problémů v souvislosti s migrací, přílivem uprchlíků a bezpečnostními hrozbami je nutné urychleně uvolnit další, významné částky na financování příslušných opatření.</w:t>
      </w:r>
    </w:p>
    <w:p>
      <w:pPr>
        <w:pStyle w:val="Point0number"/>
        <w:rPr>
          <w:noProof/>
        </w:rPr>
      </w:pPr>
      <w:r>
        <w:rPr>
          <w:noProof/>
        </w:rPr>
        <w:t>Po prozkoumání všech možností přerozdělení prostředků v rámci výdajového stropu okruhu 3 (</w:t>
      </w:r>
      <w:r>
        <w:rPr>
          <w:i/>
          <w:noProof/>
        </w:rPr>
        <w:t>Bezpečnost a občanství</w:t>
      </w:r>
      <w:r>
        <w:rPr>
          <w:noProof/>
        </w:rPr>
        <w:t>) je nutné uvolnit prostředky z nástroje pružnosti, aby byly doplněny finanční prostředky dostupné v souhrnném rozpočtu Unie na rozpočtový rok 2019 o částku ve výši  1 009 839 138 EUR nad rámec stropu okruhu 3 za účelem financování opatření v oblasti migrace, uprchlické krize a bezpečnosti.</w:t>
      </w:r>
    </w:p>
    <w:p>
      <w:pPr>
        <w:pStyle w:val="Point0number"/>
        <w:rPr>
          <w:noProof/>
        </w:rPr>
      </w:pPr>
      <w:r>
        <w:rPr>
          <w:noProof/>
        </w:rPr>
        <w:t>Na základě očekávaného profilu plateb by prostředky na platby odpovídající prostředkům uvolněným z nástroje pružnosti měly být rozloženy do několika rozpočtových let.</w:t>
      </w:r>
    </w:p>
    <w:p>
      <w:pPr>
        <w:pStyle w:val="Point0number"/>
        <w:rPr>
          <w:noProof/>
        </w:rPr>
      </w:pPr>
      <w:r>
        <w:rPr>
          <w:noProof/>
        </w:rPr>
        <w:t>Aby bylo možné uvedené finanční prostředky urychleně využít, mělo by se toto rozhodnutí použít od začátku rozpočtového roku 2019,</w:t>
      </w:r>
    </w:p>
    <w:p>
      <w:pPr>
        <w:pStyle w:val="Formuledadoption"/>
        <w:rPr>
          <w:noProof/>
        </w:rPr>
      </w:pPr>
      <w:r>
        <w:rPr>
          <w:noProof/>
        </w:rPr>
        <w:t>PŘIJALY TOTO ROZHODNUTÍ:</w:t>
      </w:r>
    </w:p>
    <w:p>
      <w:pPr>
        <w:pStyle w:val="Titrearticle"/>
        <w:rPr>
          <w:noProof/>
        </w:rPr>
      </w:pPr>
      <w:r>
        <w:rPr>
          <w:noProof/>
        </w:rPr>
        <w:t>Článek 1</w:t>
      </w:r>
    </w:p>
    <w:p>
      <w:pPr>
        <w:pStyle w:val="Point0"/>
        <w:rPr>
          <w:noProof/>
        </w:rPr>
      </w:pPr>
      <w:r>
        <w:rPr>
          <w:noProof/>
        </w:rPr>
        <w:t>1)</w:t>
      </w:r>
      <w:r>
        <w:rPr>
          <w:noProof/>
        </w:rPr>
        <w:tab/>
        <w:t>Ve prospěch souhrnného rozpočtu Unie na rozpočtový rok 2019 se z nástroje pružnosti uvolňuje částka ve výši  1°009 839 138 EUR ke krytí prostředků na závazky v okruhu 3 (</w:t>
      </w:r>
      <w:r>
        <w:rPr>
          <w:i/>
          <w:noProof/>
        </w:rPr>
        <w:t>Bezpečnost a občanství</w:t>
      </w:r>
      <w:r>
        <w:rPr>
          <w:noProof/>
        </w:rPr>
        <w:t>).</w:t>
      </w:r>
    </w:p>
    <w:p>
      <w:pPr>
        <w:rPr>
          <w:noProof/>
        </w:rPr>
      </w:pPr>
      <w:r>
        <w:rPr>
          <w:noProof/>
        </w:rPr>
        <w:t>Částky uvedené v prvním pododstavci se použijí k financování opatření zaměřených na řešení přetrvávajících problémů v souvislosti s migrací, přílivem uprchlíků a bezpečnostními hrozbami.</w:t>
      </w:r>
    </w:p>
    <w:p>
      <w:pPr>
        <w:pStyle w:val="Point0"/>
        <w:rPr>
          <w:noProof/>
        </w:rPr>
      </w:pPr>
      <w:r>
        <w:rPr>
          <w:noProof/>
        </w:rPr>
        <w:t>2)</w:t>
      </w:r>
      <w:r>
        <w:rPr>
          <w:noProof/>
        </w:rPr>
        <w:tab/>
        <w:t>Na základě očekávaného profilu plateb jsou odpovídající prostředky na platby uvolněné z nástroje pružnosti odhadovány v této výši:</w:t>
      </w:r>
    </w:p>
    <w:p>
      <w:pPr>
        <w:pStyle w:val="Point0"/>
        <w:rPr>
          <w:noProof/>
        </w:rPr>
      </w:pPr>
      <w:r>
        <w:rPr>
          <w:noProof/>
        </w:rPr>
        <w:t>a)</w:t>
      </w:r>
      <w:r>
        <w:rPr>
          <w:noProof/>
        </w:rPr>
        <w:tab/>
        <w:t>508 897 672 EUR v roce 2019;</w:t>
      </w:r>
    </w:p>
    <w:p>
      <w:pPr>
        <w:pStyle w:val="Point0"/>
        <w:rPr>
          <w:noProof/>
        </w:rPr>
      </w:pPr>
      <w:r>
        <w:rPr>
          <w:noProof/>
        </w:rPr>
        <w:t>b)</w:t>
      </w:r>
      <w:r>
        <w:rPr>
          <w:noProof/>
        </w:rPr>
        <w:tab/>
        <w:t>203 643 836 EUR v roce 2020;</w:t>
      </w:r>
    </w:p>
    <w:p>
      <w:pPr>
        <w:pStyle w:val="Point0"/>
        <w:rPr>
          <w:noProof/>
        </w:rPr>
      </w:pPr>
      <w:r>
        <w:rPr>
          <w:noProof/>
        </w:rPr>
        <w:t>c)</w:t>
      </w:r>
      <w:r>
        <w:rPr>
          <w:noProof/>
        </w:rPr>
        <w:tab/>
        <w:t>121 431 721 EUR v roce 2021;</w:t>
      </w:r>
    </w:p>
    <w:p>
      <w:pPr>
        <w:pStyle w:val="Point0"/>
        <w:rPr>
          <w:noProof/>
        </w:rPr>
      </w:pPr>
      <w:r>
        <w:rPr>
          <w:noProof/>
        </w:rPr>
        <w:t>d)</w:t>
      </w:r>
      <w:r>
        <w:rPr>
          <w:noProof/>
        </w:rPr>
        <w:tab/>
        <w:t>122 227 946 EUR v roce 2022;</w:t>
      </w:r>
    </w:p>
    <w:p>
      <w:pPr>
        <w:pStyle w:val="Point0"/>
        <w:rPr>
          <w:noProof/>
        </w:rPr>
      </w:pPr>
      <w:r>
        <w:rPr>
          <w:noProof/>
        </w:rPr>
        <w:t>e)</w:t>
      </w:r>
      <w:r>
        <w:rPr>
          <w:noProof/>
        </w:rPr>
        <w:tab/>
        <w:t>53 637 963 EUR v roce 2023.</w:t>
      </w:r>
    </w:p>
    <w:p>
      <w:pPr>
        <w:rPr>
          <w:noProof/>
        </w:rPr>
      </w:pPr>
      <w:r>
        <w:rPr>
          <w:noProof/>
        </w:rPr>
        <w:t>Konkrétní částky na krytí prostředků na platby na jednotlivé rozpočtové roky se schvalují v souladu s ročním rozpočtovým procesem.</w:t>
      </w:r>
    </w:p>
    <w:p>
      <w:pPr>
        <w:pStyle w:val="Titrearticle"/>
        <w:rPr>
          <w:noProof/>
        </w:rPr>
      </w:pPr>
      <w:r>
        <w:rPr>
          <w:noProof/>
        </w:rPr>
        <w:t>Článek 2</w:t>
      </w:r>
    </w:p>
    <w:p>
      <w:pPr>
        <w:rPr>
          <w:i/>
          <w:noProof/>
        </w:rPr>
      </w:pPr>
      <w:r>
        <w:rPr>
          <w:noProof/>
        </w:rPr>
        <w:t>Toto rozhodnutí vstupuje v platnost dnem vyhlášení v </w:t>
      </w:r>
      <w:r>
        <w:rPr>
          <w:i/>
          <w:noProof/>
        </w:rPr>
        <w:t>Úředním věstníku Evropské unie.</w:t>
      </w:r>
    </w:p>
    <w:p>
      <w:pPr>
        <w:rPr>
          <w:noProof/>
        </w:rPr>
      </w:pPr>
      <w:r>
        <w:rPr>
          <w:noProof/>
        </w:rPr>
        <w:t>Použije se od 1. ledna 2019.</w:t>
      </w:r>
    </w:p>
    <w:p>
      <w:pPr>
        <w:rPr>
          <w:i/>
          <w:noProof/>
        </w:rPr>
      </w:pP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Úř. věst. L 347, 20.12.2013, s. 884.</w:t>
      </w:r>
    </w:p>
  </w:footnote>
  <w:footnote w:id="2">
    <w:p>
      <w:pPr>
        <w:pStyle w:val="FootnoteText"/>
        <w:rPr>
          <w:lang w:val="pt-PT"/>
        </w:rPr>
      </w:pPr>
      <w:r>
        <w:rPr>
          <w:rStyle w:val="FootnoteReference"/>
        </w:rPr>
        <w:footnoteRef/>
      </w:r>
      <w:r>
        <w:tab/>
        <w:t>Úř. věst. C 373, 20.12.2013, s. 1.</w:t>
      </w:r>
    </w:p>
  </w:footnote>
  <w:footnote w:id="3">
    <w:p>
      <w:pPr>
        <w:pStyle w:val="FootnoteText"/>
        <w:rPr>
          <w:lang w:val="pt-PT"/>
        </w:rPr>
      </w:pPr>
      <w:r>
        <w:rPr>
          <w:rStyle w:val="FootnoteReference"/>
        </w:rPr>
        <w:footnoteRef/>
      </w:r>
      <w:r>
        <w:tab/>
        <w:t>COM(2018) 280, 23.5.2018.</w:t>
      </w:r>
    </w:p>
  </w:footnote>
  <w:footnote w:id="4">
    <w:p>
      <w:pPr>
        <w:pStyle w:val="FootnoteText"/>
      </w:pPr>
      <w:r>
        <w:rPr>
          <w:rStyle w:val="FootnoteReference"/>
        </w:rPr>
        <w:footnoteRef/>
      </w:r>
      <w:r>
        <w:tab/>
        <w:t>Úř. věst. C 373, 20.12.2013, s. 1.</w:t>
      </w:r>
    </w:p>
  </w:footnote>
  <w:footnote w:id="5">
    <w:p>
      <w:pPr>
        <w:pStyle w:val="FootnoteText"/>
      </w:pPr>
      <w:r>
        <w:rPr>
          <w:rStyle w:val="FootnoteReference"/>
        </w:rPr>
        <w:footnoteRef/>
      </w:r>
      <w:r>
        <w:tab/>
        <w:t>Nařízení Rady (EU, Euratom) č. 1311/2013 ze dne 2. prosince 2013, kterým se stanoví víceletý finanční rámec na období 2014–2020 (Úř. věst. L 347, 20.12.2013, s.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5A3E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2AA3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8E05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694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C6E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8095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561700"/>
    <w:lvl w:ilvl="0">
      <w:start w:val="1"/>
      <w:numFmt w:val="decimal"/>
      <w:pStyle w:val="ListNumber"/>
      <w:lvlText w:val="%1."/>
      <w:lvlJc w:val="left"/>
      <w:pPr>
        <w:tabs>
          <w:tab w:val="num" w:pos="360"/>
        </w:tabs>
        <w:ind w:left="360" w:hanging="360"/>
      </w:pPr>
    </w:lvl>
  </w:abstractNum>
  <w:abstractNum w:abstractNumId="7">
    <w:nsid w:val="FFFFFF89"/>
    <w:multiLevelType w:val="singleLevel"/>
    <w:tmpl w:val="6A8AB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9 11:18: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962AA1C-4595-446C-A73C-3153B28F2FB7"/>
    <w:docVar w:name="LW_COVERPAGE_TYPE" w:val="1"/>
    <w:docVar w:name="LW_CROSSREFERENCE" w:val="&lt;UNUSED&gt;"/>
    <w:docVar w:name="LW_DocType" w:val="COM"/>
    <w:docVar w:name="LW_EMISSION" w:val="16.10.2018"/>
    <w:docVar w:name="LW_EMISSION_ISODATE" w:val="2018-10-16"/>
    <w:docVar w:name="LW_EMISSION_LOCATION" w:val="BRX"/>
    <w:docVar w:name="LW_EMISSION_PREFIX" w:val="V Bruselu dne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7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uvoln\u283?ní prost\u345?edk\u367? z nástroje pru\u382?nosti za ú\u269?elem financování okam\u382?itých rozpo\u269?tových opat\u345?ení k \u345?e\u353?ení p\u345?etrvávajících problém\u367? v souvislosti s migrací, p\u345?ílivem uprchlík\u367? a bezpe\u269?nostními hrozbami"/>
    <w:docVar w:name="LW_TYPE.DOC.CP" w:val="ROZHODNUT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34C5DC-B8E7-4F57-A5B5-D16533EA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Pages>
  <Words>763</Words>
  <Characters>4278</Characters>
  <Application>Microsoft Office Word</Application>
  <DocSecurity>0</DocSecurity>
  <Lines>97</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2018-10-05T12:09:00Z</cp:lastPrinted>
  <dcterms:created xsi:type="dcterms:W3CDTF">2018-10-26T07:43:00Z</dcterms:created>
  <dcterms:modified xsi:type="dcterms:W3CDTF">2018-10-29T10:18:00Z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