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2D58DDC-994F-4D49-808D-FE4D3E53AD19" style="width:450.8pt;height:320.8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rPr>
          <w:rFonts w:cs="Times New Roman"/>
          <w:noProof/>
          <w:sz w:val="24"/>
          <w:szCs w:val="24"/>
        </w:rPr>
      </w:pPr>
      <w:bookmarkStart w:id="1" w:name="_GoBack"/>
      <w:bookmarkEnd w:id="1"/>
      <w:r>
        <w:rPr>
          <w:noProof/>
          <w:sz w:val="24"/>
        </w:rPr>
        <w:lastRenderedPageBreak/>
        <w:t>INTRODUZIONE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Gli interferenti endocrini sono sostanze chimiche che alterano il funzionamento del sistema endocrino e incidono negativamente sulla salute degli esseri umani e degli animali; possono essere di origine naturale o sintetica. Le fonti che possono originare un'esposizione agli interferenti endocrini sono varie, ad esempio i residui di pesticidi o i prodotti di consumo utilizzati o presenti nella vita di tutti i giorni.</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b/>
          <w:i/>
          <w:noProof/>
          <w:sz w:val="24"/>
        </w:rPr>
        <w:t>Cos'è il sistema endocrino?</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i/>
          <w:noProof/>
          <w:sz w:val="24"/>
        </w:rPr>
        <w:t>Il sistema endocrino è un sistema che trasmette messaggi al resto del corpo utilizzando ormoni – molecole di segnalamento che circolano nel sangue – come strumento di comunicazione per produrre effetti su cellule, tessuti e organi lontani. Gli ormoni sono fondamentali per il controllo di un gran numero di processi dell'organismo, dai primi stadi della vita – quali lo sviluppo embrionale e la formazione degli organi – fino al controllo delle funzioni tissutali e organiche in età adulta.</w:t>
      </w:r>
    </w:p>
    <w:p>
      <w:pPr>
        <w:spacing w:after="120" w:line="240" w:lineRule="auto"/>
        <w:jc w:val="both"/>
        <w:rPr>
          <w:rFonts w:ascii="Times New Roman" w:hAnsi="Times New Roman" w:cs="Times New Roman"/>
          <w:noProof/>
          <w:sz w:val="24"/>
          <w:szCs w:val="24"/>
        </w:rPr>
      </w:pPr>
      <w:r>
        <w:rPr>
          <w:rFonts w:ascii="Times New Roman" w:hAnsi="Times New Roman"/>
          <w:noProof/>
          <w:sz w:val="24"/>
        </w:rPr>
        <w:t>Dagli anni '90, le preoccupazioni suscitate dagli interferenti endocrini non hanno cessato di aumentare</w:t>
      </w:r>
      <w:r>
        <w:rPr>
          <w:rStyle w:val="FootnoteReference"/>
          <w:rFonts w:ascii="Times New Roman" w:hAnsi="Times New Roman"/>
          <w:noProof/>
          <w:sz w:val="24"/>
        </w:rPr>
        <w:footnoteReference w:id="2"/>
      </w:r>
      <w:r>
        <w:rPr>
          <w:rFonts w:ascii="Times New Roman" w:hAnsi="Times New Roman"/>
          <w:noProof/>
          <w:sz w:val="24"/>
        </w:rPr>
        <w:t>. A seguito dell'adozione, da parte del Parlamento europeo, di una risoluzione sugli interferenti endocrini nel 1998</w:t>
      </w:r>
      <w:r>
        <w:rPr>
          <w:rStyle w:val="FootnoteReference"/>
          <w:rFonts w:ascii="Times New Roman" w:hAnsi="Times New Roman"/>
          <w:noProof/>
          <w:sz w:val="24"/>
        </w:rPr>
        <w:footnoteReference w:id="3"/>
      </w:r>
      <w:r>
        <w:rPr>
          <w:rFonts w:ascii="Times New Roman" w:hAnsi="Times New Roman"/>
          <w:noProof/>
          <w:sz w:val="24"/>
        </w:rPr>
        <w:t>, nel dicembre 1999 la Commissione ha adottato la "Strategia comunitaria in materia di sostanze che alterano il sistema endocrino"</w:t>
      </w:r>
      <w:r>
        <w:rPr>
          <w:rStyle w:val="FootnoteReference"/>
          <w:rFonts w:ascii="Times New Roman" w:hAnsi="Times New Roman"/>
          <w:noProof/>
          <w:sz w:val="24"/>
        </w:rPr>
        <w:footnoteReference w:id="4"/>
      </w:r>
      <w:r>
        <w:rPr>
          <w:rFonts w:ascii="Times New Roman" w:hAnsi="Times New Roman"/>
          <w:noProof/>
          <w:sz w:val="24"/>
        </w:rPr>
        <w:t>, che da allora è stata portata avanti con interventi a livello di ricerca, regolamentazione e cooperazione internazionale.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Significativi progressi sono stati compiuti nella comprensione e nella regolamentazione degli interferenti endocrini e l'UE viene oggi riconosciuta come uno dei principali attori, a livello mondiale, per quanto concerne il trattamento di tali sostanze. Cionondimeno la società continua ad esprimere forti preoccupazioni in materia.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Commissione è stata sempre – e continuerà ad essere – impegnata nella protezione dei cittadini dell'UE e dell'ambiente dall'azione di tutte le sostanze chimiche pericolose. In tale contesto, a quasi vent'anni dall'adozione della strategia comunitaria del 1999, è necessario aggiornare l'approccio dell'UE alla questione degli interferenti endocrini, adeguandolo ai progressi scientifici intervenuti, in modo che continui ad affrontare in modo coerente i problemi posti da tali sostanze nei diversi settori, sulla base delle nuove conoscenze, dei risultati ottenuti e dell'esperienza acquisita. A tal fine, la Commissione delinea oggi il suo approccio strategico agli interferenti endocrini per gli anni a venire, con l'obiettivo generale di garantire un elevato livello di protezione per i cittadini e l'ambiente dell'Unione europea e, allo stesso tempo, di preservare un mercato interno che offra vantaggi ai consumatori e in cui tutte le imprese dell'UE possano prosperare.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presente comunicazione risponde alle richieste del Parlamento europeo e del Consiglio</w:t>
      </w:r>
      <w:r>
        <w:rPr>
          <w:rStyle w:val="FootnoteReference"/>
          <w:rFonts w:ascii="Times New Roman" w:hAnsi="Times New Roman"/>
          <w:noProof/>
          <w:sz w:val="24"/>
        </w:rPr>
        <w:footnoteReference w:id="5"/>
      </w:r>
      <w:r>
        <w:rPr>
          <w:rFonts w:ascii="Times New Roman" w:hAnsi="Times New Roman"/>
          <w:noProof/>
          <w:sz w:val="24"/>
        </w:rPr>
        <w:t>, dà seguito al 7</w:t>
      </w:r>
      <w:r>
        <w:rPr>
          <w:rFonts w:ascii="Times New Roman" w:hAnsi="Times New Roman"/>
          <w:noProof/>
          <w:sz w:val="24"/>
          <w:vertAlign w:val="superscript"/>
        </w:rPr>
        <w:t>º</w:t>
      </w:r>
      <w:r>
        <w:rPr>
          <w:rFonts w:ascii="Times New Roman" w:hAnsi="Times New Roman"/>
          <w:noProof/>
          <w:sz w:val="24"/>
        </w:rPr>
        <w:t xml:space="preserve"> programma d'azione per l'ambiente</w:t>
      </w:r>
      <w:r>
        <w:rPr>
          <w:rStyle w:val="FootnoteReference"/>
          <w:rFonts w:ascii="Times New Roman" w:hAnsi="Times New Roman"/>
          <w:noProof/>
          <w:sz w:val="24"/>
        </w:rPr>
        <w:footnoteReference w:id="6"/>
      </w:r>
      <w:r>
        <w:rPr>
          <w:rFonts w:ascii="Times New Roman" w:hAnsi="Times New Roman"/>
          <w:noProof/>
          <w:sz w:val="24"/>
        </w:rPr>
        <w:t xml:space="preserve"> e si inserisce nel quadro degli impegni, assunti a livello internazionale, di intervenire in materia di sostanze chimiche pericolose</w:t>
      </w:r>
      <w:r>
        <w:rPr>
          <w:rStyle w:val="FootnoteReference"/>
          <w:rFonts w:ascii="Times New Roman" w:hAnsi="Times New Roman"/>
          <w:noProof/>
          <w:sz w:val="24"/>
        </w:rPr>
        <w:footnoteReference w:id="7"/>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 sezione 1 descrive i progressi scientifici realizzati in materia di interferenti endocrini negli ultimi 20 anni, la sezione 2 riassume le azioni che l'UE ha adottato mentre la sezione 3 delinea l'approccio proposto dalla Commissione per portare avanti efficacemente la politica dell'UE sugli interferenti endocrini anche in futuro.</w:t>
      </w:r>
    </w:p>
    <w:p>
      <w:pPr>
        <w:pStyle w:val="Heading1"/>
        <w:spacing w:before="360" w:after="120" w:line="240" w:lineRule="auto"/>
        <w:rPr>
          <w:rFonts w:cs="Times New Roman"/>
          <w:noProof/>
          <w:sz w:val="24"/>
          <w:szCs w:val="24"/>
        </w:rPr>
      </w:pPr>
      <w:r>
        <w:rPr>
          <w:noProof/>
          <w:sz w:val="24"/>
        </w:rPr>
        <w:t>1. LA SCIENZA DEGLI INTERFERENTI ENDOCRINI</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Negli ultimi decenni,</w:t>
      </w:r>
      <w:r>
        <w:rPr>
          <w:rFonts w:ascii="Times New Roman" w:hAnsi="Times New Roman"/>
          <w:b/>
          <w:noProof/>
          <w:sz w:val="24"/>
        </w:rPr>
        <w:t xml:space="preserve"> </w:t>
      </w:r>
      <w:r>
        <w:rPr>
          <w:rFonts w:ascii="Times New Roman" w:hAnsi="Times New Roman"/>
          <w:noProof/>
          <w:sz w:val="24"/>
        </w:rPr>
        <w:t>le conoscenze scientifiche relative all'interferenza endocrina sono progredite in misura considerevole. Rispetto all'epoca dell'adozione della strategia comunitaria del 1999 sono ora disponibili molte migliaia di pubblicazioni scientifiche, sottoposte a un esame inter pares, sugli studi che indagano la natura dell'interferenza endocrina, le sue cause e le sue conseguenze sulla salute umana e sulle specie selvatiche. Inoltre, numerose relazioni pubblicate dalla Commissione europea, dalle agenzie dell'UE o nel contesto di attività coordinate dalla Commissione testimoniano i progressi registrati in materia.</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A partire dal 1999, </w:t>
      </w:r>
      <w:r>
        <w:rPr>
          <w:rFonts w:ascii="Times New Roman" w:hAnsi="Times New Roman"/>
          <w:b/>
          <w:noProof/>
          <w:sz w:val="24"/>
        </w:rPr>
        <w:t>le prove scientifiche che stabiliscono un collegamento tra l'esposizione agli interferenti endocrini e le malattie umane o gli effetti negativi sulla fauna selvatica si sono consolidate</w:t>
      </w:r>
      <w:r>
        <w:rPr>
          <w:rFonts w:ascii="Times New Roman" w:hAnsi="Times New Roman"/>
          <w:noProof/>
          <w:sz w:val="24"/>
        </w:rPr>
        <w:t xml:space="preserve">. Inoltre, i progressi scientifici hanno consentito di raggiungere un accordo su una serie di questioni rilevanti ai fini della comprensione dell'interferenza endocrina. Esiste attualmente un ampio consenso sulla </w:t>
      </w:r>
      <w:r>
        <w:rPr>
          <w:rFonts w:ascii="Times New Roman" w:hAnsi="Times New Roman"/>
          <w:b/>
          <w:noProof/>
          <w:sz w:val="24"/>
        </w:rPr>
        <w:t>definizione</w:t>
      </w:r>
      <w:r>
        <w:rPr>
          <w:rFonts w:ascii="Times New Roman" w:hAnsi="Times New Roman"/>
          <w:noProof/>
          <w:sz w:val="24"/>
        </w:rPr>
        <w:t xml:space="preserve"> fornita nel 2002 dal Programma internazionale per la sicurezza nel settore chimico, un programma congiunto di varie agenzie delle Nazioni Unite, compresa l'Organizzazione mondiale della sanità, in base alla quale è interferente endocrino "</w:t>
      </w:r>
      <w:r>
        <w:rPr>
          <w:rFonts w:ascii="Times New Roman" w:hAnsi="Times New Roman"/>
          <w:i/>
          <w:noProof/>
          <w:sz w:val="24"/>
        </w:rPr>
        <w:t>una sostanza o miscela esogena che altera la funzione o le funzioni del sistema endocrino causando di conseguenza effetti avversi sulla salute di un organismo integro o della sua progenie o delle (sotto)popolazioni</w:t>
      </w:r>
      <w:r>
        <w:rPr>
          <w:rFonts w:ascii="Times New Roman" w:hAnsi="Times New Roman"/>
          <w:noProof/>
          <w:sz w:val="24"/>
        </w:rPr>
        <w:t>"</w:t>
      </w:r>
      <w:r>
        <w:rPr>
          <w:rStyle w:val="FootnoteReference"/>
          <w:rFonts w:ascii="Times New Roman" w:hAnsi="Times New Roman"/>
          <w:noProof/>
          <w:sz w:val="24"/>
        </w:rPr>
        <w:footnoteReference w:id="8"/>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Esiste inoltre consenso sul fatto che </w:t>
      </w:r>
      <w:r>
        <w:rPr>
          <w:rFonts w:ascii="Times New Roman" w:hAnsi="Times New Roman"/>
          <w:b/>
          <w:noProof/>
          <w:sz w:val="24"/>
        </w:rPr>
        <w:t>il periodo più sensibile di esposizione</w:t>
      </w:r>
      <w:r>
        <w:rPr>
          <w:rFonts w:ascii="Times New Roman" w:hAnsi="Times New Roman"/>
          <w:noProof/>
          <w:sz w:val="24"/>
        </w:rPr>
        <w:t xml:space="preserve"> agli interferenti endocrini si situa nelle fasi importanti dello sviluppo, quali lo sviluppo fetale e la pubertà</w:t>
      </w:r>
      <w:r>
        <w:rPr>
          <w:rStyle w:val="FootnoteReference"/>
          <w:rFonts w:ascii="Times New Roman" w:hAnsi="Times New Roman"/>
          <w:noProof/>
          <w:sz w:val="24"/>
        </w:rPr>
        <w:footnoteReference w:id="9"/>
      </w:r>
      <w:r>
        <w:rPr>
          <w:rFonts w:ascii="Times New Roman" w:hAnsi="Times New Roman"/>
          <w:noProof/>
          <w:sz w:val="24"/>
        </w:rPr>
        <w:t xml:space="preserve">. L'esposizione agli interferenti endocrini durante tali periodi può provocare effetti permanenti e determinare una maggiore sensibilità alle malattie nel corso delle successive fasi della vita. È inoltre generalmente riconosciuto che </w:t>
      </w:r>
      <w:r>
        <w:rPr>
          <w:rFonts w:ascii="Times New Roman" w:hAnsi="Times New Roman"/>
          <w:b/>
          <w:noProof/>
          <w:sz w:val="24"/>
        </w:rPr>
        <w:t>gli interferenti endocrini possono alterare il sistema endocrino in modi diversi</w:t>
      </w:r>
      <w:r>
        <w:rPr>
          <w:rFonts w:ascii="Times New Roman" w:hAnsi="Times New Roman"/>
          <w:noProof/>
          <w:sz w:val="24"/>
        </w:rPr>
        <w:t>. Finora, la ricerca scientifica si è concentrata soprattutto su un numero limitato di meccanismi di azione endocrina</w:t>
      </w:r>
      <w:r>
        <w:rPr>
          <w:rStyle w:val="FootnoteReference"/>
          <w:rFonts w:ascii="Times New Roman" w:hAnsi="Times New Roman"/>
          <w:noProof/>
          <w:sz w:val="24"/>
        </w:rPr>
        <w:footnoteReference w:id="10"/>
      </w:r>
      <w:r>
        <w:rPr>
          <w:rFonts w:ascii="Times New Roman" w:hAnsi="Times New Roman"/>
          <w:noProof/>
          <w:sz w:val="24"/>
        </w:rPr>
        <w:t>, ma negli ultimi anni è stato dimostrato che anche altri aspetti del sistema endocrino possono essere sensibili agli interferenti endocrini. Prove sempre più numerose dimostrano che diversi interferenti endocrini possono agire insieme e produrre effetti supplementari ("</w:t>
      </w:r>
      <w:r>
        <w:rPr>
          <w:rFonts w:ascii="Times New Roman" w:hAnsi="Times New Roman"/>
          <w:b/>
          <w:noProof/>
          <w:sz w:val="24"/>
        </w:rPr>
        <w:t>effetti miscela</w:t>
      </w:r>
      <w:r>
        <w:rPr>
          <w:rFonts w:ascii="Times New Roman" w:hAnsi="Times New Roman"/>
          <w:noProof/>
          <w:sz w:val="24"/>
        </w:rPr>
        <w:t>" o "</w:t>
      </w:r>
      <w:r>
        <w:rPr>
          <w:rFonts w:ascii="Times New Roman" w:hAnsi="Times New Roman"/>
          <w:b/>
          <w:noProof/>
          <w:sz w:val="24"/>
        </w:rPr>
        <w:t>effetti cocktail</w:t>
      </w:r>
      <w:r>
        <w:rPr>
          <w:rFonts w:ascii="Times New Roman" w:hAnsi="Times New Roman"/>
          <w:noProof/>
          <w:sz w:val="24"/>
        </w:rPr>
        <w:t>") di modo che l'esposizione a una combinazione di interferenti endocrini può produrre un effetto negativo a concentrazioni alle quali non è stato collegato alcun effetto se osservate individualmente</w:t>
      </w:r>
      <w:r>
        <w:rPr>
          <w:rStyle w:val="FootnoteReference"/>
          <w:rFonts w:ascii="Times New Roman" w:hAnsi="Times New Roman"/>
          <w:noProof/>
          <w:sz w:val="24"/>
        </w:rPr>
        <w:footnoteReference w:id="11"/>
      </w:r>
      <w:r>
        <w:rPr>
          <w:rFonts w:ascii="Times New Roman" w:hAnsi="Times New Roman"/>
          <w:noProof/>
          <w:sz w:val="24"/>
        </w:rPr>
        <w:t xml:space="preserve"> (anche se tale effetto non è un effetto esclusivo degli interferenti endocrini)</w:t>
      </w:r>
      <w:r>
        <w:rPr>
          <w:rStyle w:val="FootnoteReference"/>
          <w:rFonts w:ascii="Times New Roman" w:hAnsi="Times New Roman"/>
          <w:noProof/>
          <w:sz w:val="24"/>
        </w:rPr>
        <w:footnoteReference w:id="12"/>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Tuttavia, </w:t>
      </w:r>
      <w:r>
        <w:rPr>
          <w:rFonts w:ascii="Times New Roman" w:hAnsi="Times New Roman"/>
          <w:b/>
          <w:noProof/>
          <w:sz w:val="24"/>
        </w:rPr>
        <w:t>le conoscenze sono ancora lacunose</w:t>
      </w:r>
      <w:r>
        <w:rPr>
          <w:rFonts w:ascii="Times New Roman" w:hAnsi="Times New Roman"/>
          <w:noProof/>
          <w:sz w:val="24"/>
        </w:rPr>
        <w:t>, in particolare per quanto riguarda:</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l'impatto che </w:t>
      </w:r>
      <w:r>
        <w:rPr>
          <w:rFonts w:ascii="Times New Roman" w:hAnsi="Times New Roman"/>
          <w:b/>
          <w:noProof/>
          <w:sz w:val="24"/>
        </w:rPr>
        <w:t>l'esposizione agli interferenti endocrini ha sullo sviluppo delle malattie e sulla fauna selvatica</w:t>
      </w:r>
      <w:r>
        <w:rPr>
          <w:rFonts w:ascii="Times New Roman" w:hAnsi="Times New Roman"/>
          <w:noProof/>
          <w:sz w:val="24"/>
        </w:rPr>
        <w:t>. In tale contesto, la comprensione del contributo specifico dell'esposizione alle sostanze chimiche è ancora limitata, così come la comprensione di come si possa distinguerlo dalle altre possibili cause degli impatti negativi oggetto di studio. Anche altri fattori concorrono infatti allo sviluppo di tali disturbi del sistema endocrino (ad esempio, fattori legati alla genetica, all'alimentazione o allo stile di vita o altri fattori ambientali) o agli effetti sulla fauna selvatica (ad esempio, eccessivo sfruttamento, cambiamenti climatici);</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 xml:space="preserve">l'attuale controversia relativa all'opportunità e alle modalità di applicazione di determinati principi tossicologici, ad esempio il principio della "soglia di sicurezza" </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ovverossia la dose al di sotto della quale non sono previsti effetti negativi –</w:t>
      </w:r>
      <w:r>
        <w:rPr>
          <w:rFonts w:ascii="Times New Roman" w:hAnsi="Times New Roman"/>
          <w:b/>
          <w:noProof/>
          <w:sz w:val="24"/>
        </w:rPr>
        <w:t xml:space="preserve"> per valutare la sicurezza degli interferenti endocrini</w:t>
      </w:r>
      <w:r>
        <w:rPr>
          <w:rStyle w:val="FootnoteReference"/>
          <w:rFonts w:ascii="Times New Roman" w:hAnsi="Times New Roman"/>
          <w:noProof/>
          <w:sz w:val="24"/>
        </w:rPr>
        <w:footnoteReference w:id="13"/>
      </w:r>
      <w:r>
        <w:rPr>
          <w:rFonts w:ascii="Times New Roman" w:hAnsi="Times New Roman"/>
          <w:b/>
          <w:noProof/>
          <w:sz w:val="24"/>
        </w:rPr>
        <w:t>.</w:t>
      </w:r>
      <w:r>
        <w:rPr>
          <w:rFonts w:ascii="Times New Roman" w:hAnsi="Times New Roman"/>
          <w:noProof/>
          <w:sz w:val="24"/>
        </w:rPr>
        <w:t xml:space="preserve"> Un certo numero di studiosi è del parere che non sia possibile stabilire una soglia di sicurezza per gli interferenti endocrini;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la comprensione completa del funzionamento delle esposizioni combinate</w:t>
      </w:r>
      <w:r>
        <w:rPr>
          <w:noProof/>
        </w:rPr>
        <w:t xml:space="preserve"> </w:t>
      </w:r>
      <w:r>
        <w:rPr>
          <w:rFonts w:ascii="Times New Roman" w:hAnsi="Times New Roman"/>
          <w:noProof/>
          <w:sz w:val="24"/>
        </w:rPr>
        <w:t>("effetti miscela/effetti cocktail");</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l'elaborazione di alternative più sicure</w:t>
      </w:r>
      <w:r>
        <w:rPr>
          <w:rFonts w:ascii="Times New Roman" w:hAnsi="Times New Roman"/>
          <w:noProof/>
          <w:sz w:val="24"/>
        </w:rPr>
        <w:t xml:space="preserve"> (compresi gli approcci non chimici) per sostituire gli interferenti endocrini;</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i </w:t>
      </w:r>
      <w:r>
        <w:rPr>
          <w:rFonts w:ascii="Times New Roman" w:hAnsi="Times New Roman"/>
          <w:b/>
          <w:noProof/>
          <w:sz w:val="24"/>
        </w:rPr>
        <w:t>meccanismi</w:t>
      </w:r>
      <w:r>
        <w:rPr>
          <w:rFonts w:ascii="Times New Roman" w:hAnsi="Times New Roman"/>
          <w:noProof/>
          <w:sz w:val="24"/>
        </w:rPr>
        <w:t xml:space="preserve"> delle interferenze endocrine.</w:t>
      </w:r>
    </w:p>
    <w:p>
      <w:pPr>
        <w:pStyle w:val="Heading2"/>
        <w:spacing w:before="0" w:line="240" w:lineRule="auto"/>
        <w:rPr>
          <w:rFonts w:cs="Times New Roman"/>
          <w:noProof/>
          <w:szCs w:val="24"/>
        </w:rPr>
      </w:pPr>
      <w:r>
        <w:rPr>
          <w:noProof/>
        </w:rPr>
        <w:t xml:space="preserve">Sperimentazione e grado di informazione che la scienza può fornire alle autorità di regolamentazione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Un altro settore in cui la scienza ha compiuto significativi progressi, ma in cui occorre compiere ulteriori passi in avanti, è quello relativo </w:t>
      </w:r>
      <w:r>
        <w:rPr>
          <w:rFonts w:ascii="Times New Roman" w:hAnsi="Times New Roman"/>
          <w:b/>
          <w:noProof/>
          <w:sz w:val="24"/>
        </w:rPr>
        <w:t>all'elaborazione e alla validazione dei metodi di prova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Per individuare gli interferenti endocrini e per gestirli in modo appropriato è sono infatti necessari protocolli sperimentali affidabili, che tengano conto delle diverse modalità in cui gli interferenti endocrini possono alterare il sistema endocrino. L'Organizzazione per la cooperazione e lo sviluppo economico è il principale organismo riconosciuto per l'elaborazione di linee guida internazionali per i metodi di prova</w:t>
      </w:r>
      <w:r>
        <w:rPr>
          <w:rStyle w:val="FootnoteReference"/>
          <w:rFonts w:ascii="Times New Roman" w:hAnsi="Times New Roman"/>
          <w:noProof/>
          <w:sz w:val="24"/>
        </w:rPr>
        <w:footnoteReference w:id="14"/>
      </w:r>
      <w:r>
        <w:rPr>
          <w:rFonts w:ascii="Times New Roman" w:hAnsi="Times New Roman"/>
          <w:noProof/>
          <w:sz w:val="24"/>
        </w:rPr>
        <w:t>, che sono recepiti nella pertinente legislazione dell'UE, come opportuno. Nel 2013 l'Autorità europea per la sicurezza alimentare ha esaminato le linee guida per i metodi di prova relativi agli interferenti endocrini, concludendo</w:t>
      </w:r>
      <w:r>
        <w:rPr>
          <w:rStyle w:val="FootnoteReference"/>
          <w:rFonts w:ascii="Times New Roman" w:hAnsi="Times New Roman"/>
          <w:noProof/>
          <w:sz w:val="24"/>
        </w:rPr>
        <w:footnoteReference w:id="15"/>
      </w:r>
      <w:r>
        <w:rPr>
          <w:rFonts w:ascii="Times New Roman" w:hAnsi="Times New Roman"/>
          <w:noProof/>
          <w:sz w:val="24"/>
        </w:rPr>
        <w:t xml:space="preserve"> che per alcuni meccanismi d'azione endocrina che possono essere attivati dagli interferenti endocrini</w:t>
      </w:r>
      <w:r>
        <w:rPr>
          <w:rStyle w:val="FootnoteReference"/>
          <w:rFonts w:ascii="Times New Roman" w:hAnsi="Times New Roman"/>
          <w:noProof/>
          <w:sz w:val="24"/>
        </w:rPr>
        <w:footnoteReference w:id="16"/>
      </w:r>
      <w:r>
        <w:rPr>
          <w:rFonts w:ascii="Times New Roman" w:hAnsi="Times New Roman"/>
          <w:noProof/>
          <w:sz w:val="24"/>
        </w:rPr>
        <w:t xml:space="preserve"> nei mammiferi e nei pesci era – o sarebbe presto stato – disponibile un buon numero di metodi di prova, mentre per gli uccelli e gli anfibi i metodi di prova disponibili erano meno numerosi. L'Autorità ha inoltre accertato che i metodi di prova relativi ad altri aspetti del sistema endocrino o ad altre specie animali dovevano ancora essere sviluppati e/o validati e che per alcune malattie legate al sistema endocrino – ad esempio, per alcune forme di tumore ormonale o per i disturbi metabolici e l'obesità – non esistono modelli predittivi idonei e che non era mai stato condotto alcuno studio per valutare gli effetti sui mammiferi dell'esposizione lungo l'intero ciclo di vita</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Inoltre, come in altri settori della ricerca scientifica, anche per gli interferenti endocrini vi è la necessità di registrare progressi nello sviluppo di alternative alla sperimentazione animale: ciò implicherebbe il miglioramento del ricorso ai dati esistenti (e l'aumento del ricorso a tecniche di estrapolazione</w:t>
      </w:r>
      <w:r>
        <w:rPr>
          <w:rStyle w:val="FootnoteReference"/>
          <w:rFonts w:ascii="Times New Roman" w:hAnsi="Times New Roman"/>
          <w:noProof/>
          <w:sz w:val="24"/>
        </w:rPr>
        <w:footnoteReference w:id="18"/>
      </w:r>
      <w:r>
        <w:rPr>
          <w:rFonts w:ascii="Times New Roman" w:hAnsi="Times New Roman"/>
          <w:noProof/>
          <w:sz w:val="24"/>
        </w:rPr>
        <w:t xml:space="preserve">) e l'attribuzione di una maggiore importanza alla modellizzazione matematica e allo sviluppo di nuovi metodi </w:t>
      </w:r>
      <w:r>
        <w:rPr>
          <w:rFonts w:ascii="Times New Roman" w:hAnsi="Times New Roman"/>
          <w:i/>
          <w:noProof/>
          <w:sz w:val="24"/>
        </w:rPr>
        <w:t>in vitro</w:t>
      </w:r>
      <w:r>
        <w:rPr>
          <w:rFonts w:ascii="Times New Roman" w:hAnsi="Times New Roman"/>
          <w:noProof/>
          <w:sz w:val="24"/>
        </w:rPr>
        <w:t>.</w:t>
      </w:r>
    </w:p>
    <w:p>
      <w:pPr>
        <w:pStyle w:val="Heading1"/>
        <w:spacing w:before="360" w:after="120" w:line="240" w:lineRule="auto"/>
        <w:rPr>
          <w:rFonts w:cs="Times New Roman"/>
          <w:caps/>
          <w:noProof/>
          <w:sz w:val="24"/>
          <w:szCs w:val="24"/>
        </w:rPr>
      </w:pPr>
      <w:r>
        <w:rPr>
          <w:caps/>
          <w:noProof/>
          <w:sz w:val="24"/>
        </w:rPr>
        <w:t>2. Le politiche dell'UE e la REGOLAMENTAZIONE in materia di interferenti endocrini FINO AD OGGI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Dopo l'adozione della strategia comunitaria del 1999, l'UE ha elaborato una risposta politica alla questione degli interferenti endocrini che si è incentrata sulla </w:t>
      </w:r>
      <w:r>
        <w:rPr>
          <w:rFonts w:ascii="Times New Roman" w:hAnsi="Times New Roman"/>
          <w:b/>
          <w:noProof/>
          <w:sz w:val="24"/>
        </w:rPr>
        <w:t>promozione della ricerca scientifica</w:t>
      </w:r>
      <w:r>
        <w:rPr>
          <w:rFonts w:ascii="Times New Roman" w:hAnsi="Times New Roman"/>
          <w:noProof/>
          <w:sz w:val="24"/>
        </w:rPr>
        <w:t xml:space="preserve">, sull'adozione di una </w:t>
      </w:r>
      <w:r>
        <w:rPr>
          <w:rFonts w:ascii="Times New Roman" w:hAnsi="Times New Roman"/>
          <w:b/>
          <w:noProof/>
          <w:sz w:val="24"/>
        </w:rPr>
        <w:t>regolamentazione efficace in materia di interferenti endocrini</w:t>
      </w:r>
      <w:r>
        <w:rPr>
          <w:rFonts w:ascii="Times New Roman" w:hAnsi="Times New Roman"/>
          <w:noProof/>
          <w:sz w:val="24"/>
        </w:rPr>
        <w:t xml:space="preserve"> e sullo sviluppo della </w:t>
      </w:r>
      <w:r>
        <w:rPr>
          <w:rFonts w:ascii="Times New Roman" w:hAnsi="Times New Roman"/>
          <w:b/>
          <w:noProof/>
          <w:sz w:val="24"/>
        </w:rPr>
        <w:t>cooperazione internazionale</w:t>
      </w:r>
      <w:r>
        <w:rPr>
          <w:rFonts w:ascii="Times New Roman" w:hAnsi="Times New Roman"/>
          <w:noProof/>
          <w:sz w:val="24"/>
        </w:rPr>
        <w:t xml:space="preserve"> in materia.</w:t>
      </w:r>
    </w:p>
    <w:p>
      <w:pPr>
        <w:pStyle w:val="Heading2"/>
        <w:spacing w:before="0" w:after="120" w:line="240" w:lineRule="auto"/>
        <w:rPr>
          <w:rFonts w:cs="Times New Roman"/>
          <w:noProof/>
          <w:szCs w:val="24"/>
        </w:rPr>
      </w:pPr>
      <w:r>
        <w:rPr>
          <w:noProof/>
        </w:rPr>
        <w:t>Ricerca dell'UE e elaborazione di linee guida per i metodi di prova sugli interferenti endocrini</w:t>
      </w:r>
    </w:p>
    <w:p>
      <w:pPr>
        <w:spacing w:after="120" w:line="240" w:lineRule="auto"/>
        <w:jc w:val="both"/>
        <w:rPr>
          <w:rFonts w:ascii="Times New Roman" w:hAnsi="Times New Roman" w:cs="Times New Roman"/>
          <w:noProof/>
          <w:sz w:val="24"/>
          <w:szCs w:val="24"/>
        </w:rPr>
      </w:pPr>
      <w:r>
        <w:rPr>
          <w:rFonts w:ascii="Times New Roman" w:hAnsi="Times New Roman"/>
          <w:noProof/>
          <w:sz w:val="24"/>
        </w:rPr>
        <w:t>Dal 1999 i programmi quadro dell'Unione europea per la ricerca e lo sviluppo tecnologico rappresentano strumenti fondamentali per sostenere i progressi scientifici nel settore degli interferenti endocrini. Sono stati finanziati più di 50 progetti collaborativi multinazionali, per uno stanziamento complessivo di oltre 150 milioni di EUR dal bilancio dell'UE, per migliorare la comprensione del meccanismo d'azione endocrino, individuare gli effetti negativi sulla salute umana e sulla fauna selvatica dell'esposizione agli interferenti endocrini e sviluppare strumenti per individuare gli interferenti endocrini e valutare gli effetti dell'esposizione agli stessi. Nell'ambito di Orizzonte 2020 sono stati stanziati altri 52 milioni di EUR, destinati a progetti riguardanti nuovi metodi di prova sugli interferenti endocrini, che saranno attribuiti entro la fine dell'anno.</w:t>
      </w:r>
    </w:p>
    <w:p>
      <w:pPr>
        <w:spacing w:after="120" w:line="240" w:lineRule="auto"/>
        <w:jc w:val="both"/>
        <w:rPr>
          <w:rFonts w:ascii="Times New Roman" w:hAnsi="Times New Roman" w:cs="Times New Roman"/>
          <w:noProof/>
          <w:sz w:val="24"/>
          <w:szCs w:val="24"/>
        </w:rPr>
      </w:pPr>
      <w:r>
        <w:rPr>
          <w:rFonts w:ascii="Times New Roman" w:hAnsi="Times New Roman"/>
          <w:noProof/>
          <w:sz w:val="24"/>
        </w:rPr>
        <w:t>Oltre alle ricerche finanziate nell'ambito di Orizzonte 2020, negli ultimi anni è stato compiuto, sotto l'egida dell'Organizzazione per la cooperazione e lo sviluppo economico, uno sforzo particolare per migliorare ulteriormente la disponibilità di linee guida per i metodi di prova in grado di individuare interferenti endocrini e di porre rimedio alle carenze riguardanti alcuni metodi di prova segnalate a livello dell'UE e internazionale. La disponibilità di protocolli più affidabili rappresenta uno strumento importante per migliorare l'efficacia dei controlli. La Commissione europea ha finanziato diverse attività incentrate sull'individuazione delle lacune presenti nelle linee guida per i metodi di prova e dei possibili modi per colmarle, sulla definizione delle priorità per l'ulteriore sviluppo di linee guida o sull'elaborazione di nuove linee guida o sul miglioramento di quelle esistenti</w:t>
      </w:r>
      <w:r>
        <w:rPr>
          <w:rStyle w:val="FootnoteReference"/>
          <w:rFonts w:ascii="Times New Roman" w:hAnsi="Times New Roman"/>
          <w:noProof/>
          <w:sz w:val="24"/>
        </w:rPr>
        <w:footnoteReference w:id="19"/>
      </w:r>
      <w:r>
        <w:rPr>
          <w:rFonts w:ascii="Times New Roman" w:hAnsi="Times New Roman"/>
          <w:noProof/>
          <w:sz w:val="24"/>
        </w:rPr>
        <w:t>.</w:t>
      </w:r>
    </w:p>
    <w:p>
      <w:pPr>
        <w:pStyle w:val="Heading2"/>
        <w:spacing w:before="0" w:after="120" w:line="240" w:lineRule="auto"/>
        <w:rPr>
          <w:rFonts w:cs="Times New Roman"/>
          <w:noProof/>
          <w:szCs w:val="24"/>
        </w:rPr>
      </w:pPr>
      <w:r>
        <w:rPr>
          <w:noProof/>
        </w:rPr>
        <w:t xml:space="preserve">Norme dell'UE in materia di interferenti endocrini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In parallelo ai progressi scientifici, negli ultimi decenni l'UE ha gradualmente aggiornato il corpus normativo che disciplina le sostanze chimiche, con l'obiettivo di garantire un elevato livello di tutela della salute umana, della salute degli animali e dell'ambiente, assicurando al tempo stesso il corretto funzionamento del mercato interno. La legislazione dell'UE è oggi riconosciuta per essere tra le più protettive al mondo e si applica a tutte le sostanze chimiche, comprese quelle con proprietà di interferenza endocrina.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L'approccio dell'UE si fonda sui pareri scientifici di alto livello dei pertinenti organi di valutazione dei rischi dell'UE, quali l'Agenzia europea per le sostanze chimiche, l'Autorità europea per la sicurezza alimentare o il comitato scientifico per la sicurezza dei consumatori, nonché sulle decisioni in materia di gestione dei rischi adottate dalla Commissione di concerto con gli Stati membri. Quando una valutazione scientifica non giunge ad una conclusione sufficientemente certa, la Commissione, per adottare misure protettive nei confronti dei cittadini e dell'ambiente, si affida al cosiddetto </w:t>
      </w:r>
      <w:r>
        <w:rPr>
          <w:rFonts w:ascii="Times New Roman" w:hAnsi="Times New Roman"/>
          <w:i/>
          <w:noProof/>
          <w:sz w:val="24"/>
        </w:rPr>
        <w:t>principio di precauzione</w:t>
      </w:r>
      <w:r>
        <w:rPr>
          <w:rFonts w:ascii="Times New Roman" w:hAnsi="Times New Roman"/>
          <w:noProof/>
          <w:sz w:val="24"/>
        </w:rPr>
        <w:t>. L'applicazione delle normative è effettuata dagli Stati membri e la Commissione agevola lo scambio di informazioni tra le autorità nazionali competenti, al fine di migliorare le loro attività in tal senso</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480" w:line="240" w:lineRule="auto"/>
        <w:jc w:val="both"/>
        <w:rPr>
          <w:rFonts w:ascii="Times New Roman" w:hAnsi="Times New Roman" w:cs="Times New Roman"/>
          <w:noProof/>
          <w:sz w:val="24"/>
          <w:szCs w:val="24"/>
        </w:rPr>
      </w:pPr>
      <w:r>
        <w:rPr>
          <w:rFonts w:ascii="Times New Roman" w:hAnsi="Times New Roman"/>
          <w:noProof/>
          <w:sz w:val="24"/>
        </w:rPr>
        <w:t>Negli ultimi anni la Commissione ha adottato provvedimenti nei confronti degli interferenti endocrini, in linea con i diversi requisiti previsti dalla legislazione pertinente. Ormai le normative in materia di pesticidi</w:t>
      </w:r>
      <w:r>
        <w:rPr>
          <w:rStyle w:val="FootnoteReference"/>
          <w:rFonts w:ascii="Times New Roman" w:hAnsi="Times New Roman"/>
          <w:noProof/>
          <w:sz w:val="24"/>
        </w:rPr>
        <w:footnoteReference w:id="21"/>
      </w:r>
      <w:r>
        <w:rPr>
          <w:rFonts w:ascii="Times New Roman" w:hAnsi="Times New Roman"/>
          <w:noProof/>
          <w:sz w:val="24"/>
        </w:rPr>
        <w:t xml:space="preserve"> e biocidi</w:t>
      </w:r>
      <w:r>
        <w:rPr>
          <w:rStyle w:val="FootnoteReference"/>
          <w:rFonts w:ascii="Times New Roman" w:hAnsi="Times New Roman"/>
          <w:noProof/>
          <w:sz w:val="24"/>
        </w:rPr>
        <w:footnoteReference w:id="22"/>
      </w:r>
      <w:r>
        <w:rPr>
          <w:rFonts w:ascii="Times New Roman" w:hAnsi="Times New Roman"/>
          <w:noProof/>
          <w:sz w:val="24"/>
        </w:rPr>
        <w:t>, sostanze chimiche in generale ("regolamento REACH")</w:t>
      </w:r>
      <w:r>
        <w:rPr>
          <w:rStyle w:val="FootnoteReference"/>
          <w:rFonts w:ascii="Times New Roman" w:hAnsi="Times New Roman"/>
          <w:noProof/>
          <w:sz w:val="24"/>
        </w:rPr>
        <w:footnoteReference w:id="23"/>
      </w:r>
      <w:r>
        <w:rPr>
          <w:rFonts w:ascii="Times New Roman" w:hAnsi="Times New Roman"/>
          <w:noProof/>
          <w:sz w:val="24"/>
        </w:rPr>
        <w:t>, dispositivi medici</w:t>
      </w:r>
      <w:r>
        <w:rPr>
          <w:rStyle w:val="FootnoteReference"/>
          <w:rFonts w:ascii="Times New Roman" w:hAnsi="Times New Roman"/>
          <w:noProof/>
          <w:sz w:val="24"/>
        </w:rPr>
        <w:footnoteReference w:id="24"/>
      </w:r>
      <w:r>
        <w:rPr>
          <w:rFonts w:ascii="Times New Roman" w:hAnsi="Times New Roman"/>
          <w:noProof/>
          <w:sz w:val="24"/>
        </w:rPr>
        <w:t xml:space="preserve"> e acqua</w:t>
      </w:r>
      <w:r>
        <w:rPr>
          <w:rStyle w:val="FootnoteReference"/>
          <w:rFonts w:ascii="Times New Roman" w:hAnsi="Times New Roman"/>
          <w:noProof/>
          <w:sz w:val="24"/>
        </w:rPr>
        <w:footnoteReference w:id="25"/>
      </w:r>
      <w:r>
        <w:rPr>
          <w:rFonts w:ascii="Times New Roman" w:hAnsi="Times New Roman"/>
          <w:noProof/>
          <w:sz w:val="24"/>
        </w:rPr>
        <w:t xml:space="preserve"> comprendono disposizioni applicabili agli interferenti endocrini. Tali requisiti variano in funzione della specifica legislazione. Altre normative, ad esempio quelle sui materiali che entrano in contatto con gli alimenti</w:t>
      </w:r>
      <w:r>
        <w:rPr>
          <w:rStyle w:val="FootnoteReference"/>
          <w:rFonts w:ascii="Times New Roman" w:hAnsi="Times New Roman"/>
          <w:noProof/>
          <w:sz w:val="24"/>
        </w:rPr>
        <w:footnoteReference w:id="26"/>
      </w:r>
      <w:r>
        <w:rPr>
          <w:rFonts w:ascii="Times New Roman" w:hAnsi="Times New Roman"/>
          <w:noProof/>
          <w:sz w:val="24"/>
        </w:rPr>
        <w:t>, sui cosmetici</w:t>
      </w:r>
      <w:r>
        <w:rPr>
          <w:rStyle w:val="FootnoteReference"/>
          <w:rFonts w:ascii="Times New Roman" w:hAnsi="Times New Roman"/>
          <w:noProof/>
          <w:sz w:val="24"/>
        </w:rPr>
        <w:footnoteReference w:id="27"/>
      </w:r>
      <w:r>
        <w:rPr>
          <w:rFonts w:ascii="Times New Roman" w:hAnsi="Times New Roman"/>
          <w:noProof/>
          <w:sz w:val="24"/>
        </w:rPr>
        <w:t>, sui giocattoli</w:t>
      </w:r>
      <w:r>
        <w:rPr>
          <w:rStyle w:val="FootnoteReference"/>
          <w:rFonts w:ascii="Times New Roman" w:hAnsi="Times New Roman"/>
          <w:noProof/>
          <w:sz w:val="24"/>
        </w:rPr>
        <w:footnoteReference w:id="28"/>
      </w:r>
      <w:r>
        <w:rPr>
          <w:rFonts w:ascii="Times New Roman" w:hAnsi="Times New Roman"/>
          <w:noProof/>
          <w:sz w:val="24"/>
        </w:rPr>
        <w:t xml:space="preserve"> o sulla protezione dei lavoratori sul luogo di lavoro</w:t>
      </w:r>
      <w:r>
        <w:rPr>
          <w:rStyle w:val="FootnoteReference"/>
          <w:rFonts w:ascii="Times New Roman" w:hAnsi="Times New Roman"/>
          <w:noProof/>
          <w:sz w:val="24"/>
        </w:rPr>
        <w:footnoteReference w:id="29"/>
      </w:r>
      <w:r>
        <w:rPr>
          <w:rFonts w:ascii="Times New Roman" w:hAnsi="Times New Roman"/>
          <w:noProof/>
          <w:sz w:val="24"/>
        </w:rPr>
        <w:t xml:space="preserve">, non contengono disposizioni specifiche per quanto riguarda gli interferenti endocrini. Tuttavia, le sostanze con proprietà di interferenza endocrina sono oggetto di un'azione di </w:t>
      </w: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6192" behindDoc="1" locked="0" layoutInCell="1" allowOverlap="1">
                <wp:simplePos x="0" y="0"/>
                <wp:positionH relativeFrom="column">
                  <wp:posOffset>-104148</wp:posOffset>
                </wp:positionH>
                <wp:positionV relativeFrom="paragraph">
                  <wp:posOffset>964631</wp:posOffset>
                </wp:positionV>
                <wp:extent cx="6010275" cy="4013860"/>
                <wp:effectExtent l="0" t="0" r="28575" b="24765"/>
                <wp:wrapNone/>
                <wp:docPr id="5" name="Rectangle 5"/>
                <wp:cNvGraphicFramePr/>
                <a:graphic xmlns:a="http://schemas.openxmlformats.org/drawingml/2006/main">
                  <a:graphicData uri="http://schemas.microsoft.com/office/word/2010/wordprocessingShape">
                    <wps:wsp>
                      <wps:cNvSpPr/>
                      <wps:spPr>
                        <a:xfrm>
                          <a:off x="0" y="0"/>
                          <a:ext cx="6010275" cy="40138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8F8655" id="Rectangle 5" o:spid="_x0000_s1026" style="position:absolute;margin-left:-8.2pt;margin-top:75.95pt;width:473.25pt;height:3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uFoAIAALcFAAAOAAAAZHJzL2Uyb0RvYy54bWysVEtv2zAMvg/YfxB0X21nSR9BnSJo0WFA&#10;0QZth54VWYoFyKImKXGyXz9KfqTtih2G5aCIJvmR/ETy8mrfaLITziswJS1OckqE4VApsynpj+fb&#10;L+eU+MBMxTQYUdKD8PRq8fnTZWvnYgI16Eo4giDGz1tb0joEO88yz2vRMH8CVhhUSnANCyi6TVY5&#10;1iJ6o7NJnp9mLbjKOuDCe/x60ynpIuFLKXh4kNKLQHRJMbeQTpfOdTyzxSWbbxyzteJ9GuwfsmiY&#10;Mhh0hLphgZGtU39ANYo78CDDCYcmAykVF6kGrKbI31XzVDMrUi1IjrcjTf7/wfL73coRVZV0Rolh&#10;DT7RI5LGzEYLMov0tNbP0erJrlwvebzGWvfSNfEfqyD7ROlhpFTsA+H48RSrmpwhNkfdNC++np8m&#10;0rOju3U+fBPQkHgpqcPwiUq2u/MBQ6LpYBKjedCqulVaJyH2ibjWjuwYvvB6U8SU0eONlTakxeac&#10;nOV5Qn6jTK12hAj7DyAQUBvEjVx01adbOGgRs9DmUUgkEeuddAHepsU4FyYUnapmleiyneX4G/Id&#10;PFL2CTAiS6xzxO4BBssOZMDuyu7to6tI3T8695X/zXn0SJHBhNG5UQbcR5VprKqP3NkPJHXURJbW&#10;UB2wxRx0s+ctv1X40HfMhxVzOGw4lrhAwgMeUgM+FPQ3Smpwvz76Hu1xBlBLSYvDW1L/c8ucoER/&#10;NzgdF8V0Gqc9CdPZ2QQF91qzfq0x2+YasHsKXFWWp2u0D3q4SgfNC+6ZZYyKKmY4xi4pD24QrkO3&#10;VHBTcbFcJjOccMvCnXmyPIJHVmMjP+9fmLN9twcclHsYBp3N3zV9Zxs9DSy3AaRKE3Hktecbt0Nq&#10;nH6TxfXzWk5Wx327+A0AAP//AwBQSwMEFAAGAAgAAAAhADf3CePgAAAACwEAAA8AAABkcnMvZG93&#10;bnJldi54bWxMj8tOwzAQRfdI/IM1SOxaO6WkbYhT8RBUsKM81tNkSCLicRS7beDrGVawHN2je8/k&#10;69F16kBDaD1bSKYGFHHpq5ZrC68v95MlqBCRK+w8k4UvCrAuTk9yzCp/5Gc6bGOtpIRDhhaaGPtM&#10;61A25DBMfU8s2YcfHEY5h1pXAx6l3HV6ZkyqHbYsCw32dNtQ+bndOwvuiW/6t41BN0sfv4MrHxZ3&#10;7bu152fj9RWoSGP8g+FXX9ShEKed33MVVGdhkqRzQSW4TFaghFhdmATUzsJiOTegi1z//6H4AQAA&#10;//8DAFBLAQItABQABgAIAAAAIQC2gziS/gAAAOEBAAATAAAAAAAAAAAAAAAAAAAAAABbQ29udGVu&#10;dF9UeXBlc10ueG1sUEsBAi0AFAAGAAgAAAAhADj9If/WAAAAlAEAAAsAAAAAAAAAAAAAAAAALwEA&#10;AF9yZWxzLy5yZWxzUEsBAi0AFAAGAAgAAAAhAOeoW4WgAgAAtwUAAA4AAAAAAAAAAAAAAAAALgIA&#10;AGRycy9lMm9Eb2MueG1sUEsBAi0AFAAGAAgAAAAhADf3CePgAAAACwEAAA8AAAAAAAAAAAAAAAAA&#10;+gQAAGRycy9kb3ducmV2LnhtbFBLBQYAAAAABAAEAPMAAAAHBgAAAAA=&#10;" fillcolor="white [3212]" strokecolor="black [3213]" strokeweight="1pt"/>
            </w:pict>
          </mc:Fallback>
        </mc:AlternateContent>
      </w:r>
      <w:r>
        <w:rPr>
          <w:rFonts w:ascii="Times New Roman" w:hAnsi="Times New Roman"/>
          <w:noProof/>
          <w:sz w:val="24"/>
        </w:rPr>
        <w:t xml:space="preserve">regolamentazione caso per caso, sulla base dei requisiti generali della legislazione. </w:t>
      </w:r>
    </w:p>
    <w:p>
      <w:pPr>
        <w:spacing w:before="360" w:after="120" w:line="240" w:lineRule="auto"/>
        <w:jc w:val="center"/>
        <w:rPr>
          <w:rFonts w:ascii="Times New Roman" w:hAnsi="Times New Roman" w:cs="Times New Roman"/>
          <w:b/>
          <w:i/>
          <w:noProof/>
          <w:sz w:val="24"/>
          <w:szCs w:val="24"/>
        </w:rPr>
      </w:pPr>
      <w:r>
        <w:rPr>
          <w:rFonts w:ascii="Times New Roman" w:hAnsi="Times New Roman"/>
          <w:b/>
          <w:i/>
          <w:noProof/>
          <w:sz w:val="24"/>
        </w:rPr>
        <w:t>Regolamentazione in materia di interferenti endocrini: qualche esempio</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Recentemente la Commissione ha fissato i </w:t>
      </w:r>
      <w:r>
        <w:rPr>
          <w:rFonts w:ascii="Times New Roman" w:hAnsi="Times New Roman"/>
          <w:b/>
          <w:noProof/>
          <w:sz w:val="24"/>
        </w:rPr>
        <w:t>criteri per individuare gli interferenti endocrini nel quadro della legislazione sui pesticidi e sui biocidi</w:t>
      </w:r>
      <w:r>
        <w:rPr>
          <w:rFonts w:ascii="Times New Roman" w:hAnsi="Times New Roman"/>
          <w:noProof/>
          <w:sz w:val="24"/>
        </w:rPr>
        <w:t>, sulla base della definizione dell'Organizzazione mondiale della sanità</w:t>
      </w:r>
      <w:r>
        <w:rPr>
          <w:rStyle w:val="FootnoteReference"/>
          <w:rFonts w:ascii="Times New Roman" w:hAnsi="Times New Roman"/>
          <w:noProof/>
          <w:sz w:val="24"/>
        </w:rPr>
        <w:footnoteReference w:id="30"/>
      </w:r>
      <w:r>
        <w:rPr>
          <w:rFonts w:ascii="Times New Roman" w:hAnsi="Times New Roman"/>
          <w:noProof/>
          <w:sz w:val="24"/>
        </w:rPr>
        <w:t>. Tale iniziativa costituisce una pietra miliare, essendo la prima volta che i criteri per individuare gli interferenti endocrini vengono stabiliti in un contesto normativo. In linea di principio, non sarà più possibile in futuro utilizzare gli interferenti endocrini in tali categorie di prodotti, ad eccezione dei casi cui si applicano le limitatissime possibilità di deroga.</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 xml:space="preserve">A norma del regolamento REACH, </w:t>
      </w:r>
      <w:r>
        <w:rPr>
          <w:rFonts w:ascii="Times New Roman" w:hAnsi="Times New Roman"/>
          <w:b/>
          <w:noProof/>
          <w:color w:val="000000" w:themeColor="text1"/>
          <w:sz w:val="24"/>
        </w:rPr>
        <w:t>due interferenti endocrini sono stati inseriti</w:t>
      </w:r>
      <w:r>
        <w:rPr>
          <w:rFonts w:ascii="Times New Roman" w:hAnsi="Times New Roman"/>
          <w:noProof/>
          <w:color w:val="000000" w:themeColor="text1"/>
          <w:sz w:val="24"/>
        </w:rPr>
        <w:t xml:space="preserve"> nell'elenco delle sostanze che necessitano di una specifica autorizzazione per poter essere immesse sul mercato</w:t>
      </w:r>
      <w:r>
        <w:rPr>
          <w:rStyle w:val="FootnoteReference"/>
          <w:rFonts w:ascii="Times New Roman" w:hAnsi="Times New Roman"/>
          <w:noProof/>
          <w:sz w:val="24"/>
        </w:rPr>
        <w:footnoteReference w:id="31"/>
      </w:r>
      <w:r>
        <w:rPr>
          <w:rFonts w:ascii="Times New Roman" w:hAnsi="Times New Roman"/>
          <w:noProof/>
          <w:color w:val="000000" w:themeColor="text1"/>
          <w:sz w:val="24"/>
        </w:rPr>
        <w:t>. Altre 13 sostanze sono state classificate come interferenti endocrini e incluse nell'</w:t>
      </w:r>
      <w:r>
        <w:rPr>
          <w:rFonts w:ascii="Times New Roman" w:hAnsi="Times New Roman"/>
          <w:i/>
          <w:noProof/>
          <w:color w:val="000000" w:themeColor="text1"/>
          <w:sz w:val="24"/>
        </w:rPr>
        <w:t>elenco delle sostanze candidate</w:t>
      </w:r>
      <w:r>
        <w:rPr>
          <w:rFonts w:ascii="Times New Roman" w:hAnsi="Times New Roman"/>
          <w:noProof/>
          <w:color w:val="000000" w:themeColor="text1"/>
          <w:sz w:val="24"/>
        </w:rPr>
        <w:t>, che potranno in futuro essere inserite nell'elenco delle sostanze soggette ad autorizzazione</w:t>
      </w:r>
      <w:r>
        <w:rPr>
          <w:rStyle w:val="FootnoteReference"/>
          <w:rFonts w:ascii="Times New Roman" w:hAnsi="Times New Roman"/>
          <w:noProof/>
          <w:color w:val="000000" w:themeColor="text1"/>
          <w:sz w:val="24"/>
        </w:rPr>
        <w:footnoteReference w:id="32"/>
      </w:r>
      <w:r>
        <w:rPr>
          <w:rFonts w:ascii="Times New Roman" w:hAnsi="Times New Roman"/>
          <w:noProof/>
          <w:color w:val="000000" w:themeColor="text1"/>
          <w:sz w:val="24"/>
        </w:rPr>
        <w:t>. Anche le sostanze con proprietà</w:t>
      </w:r>
      <w:r>
        <w:rPr>
          <w:rFonts w:ascii="Times New Roman" w:hAnsi="Times New Roman"/>
          <w:noProof/>
          <w:sz w:val="24"/>
        </w:rPr>
        <w:t xml:space="preserve"> di interferenza endocrina sono soggette a restrizioni</w:t>
      </w:r>
      <w:r>
        <w:rPr>
          <w:rStyle w:val="FootnoteReference"/>
          <w:rFonts w:ascii="Times New Roman" w:hAnsi="Times New Roman"/>
          <w:noProof/>
          <w:color w:val="000000" w:themeColor="text1"/>
          <w:sz w:val="24"/>
        </w:rPr>
        <w:footnoteReference w:id="33"/>
      </w:r>
      <w:r>
        <w:rPr>
          <w:rFonts w:ascii="Times New Roman" w:hAnsi="Times New Roman"/>
          <w:noProof/>
          <w:color w:val="000000" w:themeColor="text1"/>
          <w:sz w:val="24"/>
        </w:rPr>
        <w:t>. Ad esempio,</w:t>
      </w:r>
      <w:r>
        <w:rPr>
          <w:rFonts w:ascii="Times New Roman" w:hAnsi="Times New Roman"/>
          <w:noProof/>
          <w:sz w:val="24"/>
        </w:rPr>
        <w:t xml:space="preserve"> la Commissione ha recentemente ottenuto il sostegno degli Stati membri</w:t>
      </w:r>
      <w:r>
        <w:rPr>
          <w:rStyle w:val="FootnoteReference"/>
          <w:rFonts w:ascii="Times New Roman" w:hAnsi="Times New Roman"/>
          <w:noProof/>
          <w:sz w:val="24"/>
        </w:rPr>
        <w:footnoteReference w:id="34"/>
      </w:r>
      <w:r>
        <w:rPr>
          <w:rFonts w:ascii="Times New Roman" w:hAnsi="Times New Roman"/>
          <w:noProof/>
          <w:sz w:val="24"/>
        </w:rPr>
        <w:t xml:space="preserve"> relativamente alla proposta di </w:t>
      </w:r>
      <w:r>
        <w:rPr>
          <w:rFonts w:ascii="Times New Roman" w:hAnsi="Times New Roman"/>
          <w:b/>
          <w:noProof/>
          <w:sz w:val="24"/>
        </w:rPr>
        <w:t>vietare</w:t>
      </w:r>
      <w:r>
        <w:rPr>
          <w:rFonts w:ascii="Times New Roman" w:hAnsi="Times New Roman"/>
          <w:noProof/>
          <w:sz w:val="24"/>
        </w:rPr>
        <w:t xml:space="preserve">, </w:t>
      </w:r>
      <w:r>
        <w:rPr>
          <w:rFonts w:ascii="Times New Roman" w:hAnsi="Times New Roman"/>
          <w:noProof/>
          <w:color w:val="000000" w:themeColor="text1"/>
          <w:sz w:val="24"/>
        </w:rPr>
        <w:t>in una serie di prodotti di uso quotidiano, la presenza, in una percentuale pari o superiore allo 0,1 %, di</w:t>
      </w:r>
      <w:r>
        <w:rPr>
          <w:rFonts w:ascii="Times New Roman" w:hAnsi="Times New Roman"/>
          <w:noProof/>
          <w:sz w:val="24"/>
        </w:rPr>
        <w:t xml:space="preserve"> </w:t>
      </w:r>
      <w:r>
        <w:rPr>
          <w:rFonts w:ascii="Times New Roman" w:hAnsi="Times New Roman"/>
          <w:b/>
          <w:noProof/>
          <w:sz w:val="24"/>
        </w:rPr>
        <w:t>quattro ftalati</w:t>
      </w:r>
      <w:r>
        <w:rPr>
          <w:rFonts w:ascii="Times New Roman" w:hAnsi="Times New Roman"/>
          <w:noProof/>
          <w:sz w:val="24"/>
        </w:rPr>
        <w:t xml:space="preserve"> –</w:t>
      </w:r>
      <w:r>
        <w:rPr>
          <w:rFonts w:ascii="Times New Roman" w:hAnsi="Times New Roman"/>
          <w:noProof/>
          <w:color w:val="000000" w:themeColor="text1"/>
          <w:sz w:val="24"/>
        </w:rPr>
        <w:t xml:space="preserve"> sostanze chimiche frequentemente utilizzate per ammorbidire la plastica</w:t>
      </w:r>
      <w:r>
        <w:rPr>
          <w:rStyle w:val="FootnoteReference"/>
          <w:rFonts w:ascii="Times New Roman" w:hAnsi="Times New Roman"/>
          <w:noProof/>
          <w:color w:val="000000" w:themeColor="text1"/>
          <w:sz w:val="24"/>
        </w:rPr>
        <w:footnoteReference w:id="35"/>
      </w:r>
      <w:r>
        <w:rPr>
          <w:rFonts w:ascii="Times New Roman" w:hAnsi="Times New Roman"/>
          <w:noProof/>
          <w:sz w:val="24"/>
        </w:rPr>
        <w:t>.</w:t>
      </w:r>
      <w:r>
        <w:rPr>
          <w:rFonts w:ascii="Times New Roman" w:hAnsi="Times New Roman"/>
          <w:noProof/>
          <w:color w:val="000000" w:themeColor="text1"/>
          <w:sz w:val="24"/>
        </w:rPr>
        <w:t xml:space="preserve"> Inoltre,</w:t>
      </w:r>
      <w:r>
        <w:rPr>
          <w:rFonts w:ascii="Times New Roman" w:hAnsi="Times New Roman"/>
          <w:noProof/>
          <w:sz w:val="24"/>
        </w:rPr>
        <w:t xml:space="preserve"> più di 80 sostanze chimiche che suscitano preoccupazioni in quanto sospettate di avere proprietà di interferenza endocrina sono attualmente oggetto di valutazione.</w:t>
      </w:r>
    </w:p>
    <w:p>
      <w:pPr>
        <w:pStyle w:val="ListParagraph"/>
        <w:keepLines/>
        <w:numPr>
          <w:ilvl w:val="0"/>
          <w:numId w:val="49"/>
        </w:numPr>
        <w:spacing w:before="120" w:after="120" w:line="240" w:lineRule="auto"/>
        <w:ind w:left="714" w:hanging="357"/>
        <w:jc w:val="both"/>
        <w:rPr>
          <w:rFonts w:ascii="Times New Roman" w:hAnsi="Times New Roman" w:cs="Times New Roman"/>
          <w:noProof/>
          <w:sz w:val="24"/>
          <w:szCs w:val="24"/>
        </w:rPr>
      </w:pPr>
      <w:r>
        <w:rPr>
          <w:noProof/>
          <w:lang w:val="en-GB" w:eastAsia="en-GB" w:bidi="ar-SA"/>
        </w:rPr>
        <mc:AlternateContent>
          <mc:Choice Requires="wps">
            <w:drawing>
              <wp:anchor distT="0" distB="0" distL="114300" distR="114300" simplePos="0" relativeHeight="251658240" behindDoc="1" locked="0" layoutInCell="1" allowOverlap="1">
                <wp:simplePos x="0" y="0"/>
                <wp:positionH relativeFrom="column">
                  <wp:posOffset>-108585</wp:posOffset>
                </wp:positionH>
                <wp:positionV relativeFrom="paragraph">
                  <wp:posOffset>-121920</wp:posOffset>
                </wp:positionV>
                <wp:extent cx="6010275" cy="3869055"/>
                <wp:effectExtent l="0" t="0" r="28575" b="17145"/>
                <wp:wrapNone/>
                <wp:docPr id="1" name="Rectangle 5"/>
                <wp:cNvGraphicFramePr/>
                <a:graphic xmlns:a="http://schemas.openxmlformats.org/drawingml/2006/main">
                  <a:graphicData uri="http://schemas.microsoft.com/office/word/2010/wordprocessingShape">
                    <wps:wsp>
                      <wps:cNvSpPr/>
                      <wps:spPr>
                        <a:xfrm>
                          <a:off x="0" y="0"/>
                          <a:ext cx="6010275" cy="386905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55pt;margin-top:-9.6pt;width:473.25pt;height:30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wpoAIAALcFAAAOAAAAZHJzL2Uyb0RvYy54bWysVN1PGzEMf5+0/yHK+7hrR/mouKIKxDQJ&#10;AQImntNc0ouUxFmS9tr99XNyHwWG9jCtD2l8tn/2z7F9cbkzmmyFDwpsRSdHJSXCcqiVXVf0x/PN&#10;lzNKQmS2ZhqsqOheBHq5+PzponVzMYUGdC08QRAb5q2raBOjmxdF4I0wLByBExaVErxhEUW/LmrP&#10;WkQ3upiW5UnRgq+dBy5CwK/XnZIuMr6Ugsd7KYOIRFcUc4v59PlcpbNYXLD52jPXKN6nwf4hC8OU&#10;xaAj1DWLjGy8+gPKKO4hgIxHHEwBUiouMgdkMynfsXlqmBOZCxYnuLFM4f/B8rvtgyeqxrejxDKD&#10;T/SIRWN2rQWZpfK0LszR6sk9+F4KeE1cd9Kb9I8syC6XdD+WVOwi4fjxBFlNT2eUcNR9PTs5L2cZ&#10;tTi4Ox/iNwGGpEtFPYbPpWTb2xAxJJoOJilaAK3qG6V1FlKfiCvtyZbhC6/Wk5Qyeryx0pa0SHB6&#10;WpYZ+Y0yt9oBIu4+gEBAbRE31aJjn29xr0XKQttHIbGIyHfaBXibFuNc2DjpVA2rRZftrMTfkO/g&#10;kbPPgAlZIs8RuwcYLDuQAbuj3dsnV5G7f3Tumf/NefTIkcHG0dkoC/4jZhpZ9ZE7+6FIXWlSlVZQ&#10;77HFPHSzFxy/UfjQtyzEB+Zx2HAscYHEezykBnwo6G+UNOB/ffQ92eMMoJaSFoe3ouHnhnlBif5u&#10;cTrOJ8fHadqzcDw7naLgX2tWrzV2Y64AuwcnALPL12Qf9XCVHswL7plliooqZjnGriiPfhCuYrdU&#10;cFNxsVxmM5xwx+KtfXI8gaeqpkZ+3r0w7/pujzgodzAMOpu/a/rONnlaWG4iSJUn4lDXvt64HXLj&#10;9JssrZ/XcrY67NvFbwAAAP//AwBQSwMEFAAGAAgAAAAhAIdZVIHgAAAACwEAAA8AAABkcnMvZG93&#10;bnJldi54bWxMj01PwzAMhu9I+w+RkbhtSSvYaNd04kOAxo0BO3uNaas1TtVkW+HXk53gZsuPXj9v&#10;sRptJ440+NaxhmSmQBBXzrRca/h4f5regvAB2WDnmDR8k4dVObkoMDfuxG903IRaxBD2OWpoQuhz&#10;KX3VkEU/cz1xvH25wWKI61BLM+AphttOpkrNpcWW44cGe3poqNpvDlaDfeX7/vNFoU3n6x9vq+fF&#10;Y7vV+upyvFuCCDSGPxjO+lEdyui0cwc2XnQapskiieh5yFIQkcjS7BrETsNNphKQZSH/dyh/AQAA&#10;//8DAFBLAQItABQABgAIAAAAIQC2gziS/gAAAOEBAAATAAAAAAAAAAAAAAAAAAAAAABbQ29udGVu&#10;dF9UeXBlc10ueG1sUEsBAi0AFAAGAAgAAAAhADj9If/WAAAAlAEAAAsAAAAAAAAAAAAAAAAALwEA&#10;AF9yZWxzLy5yZWxzUEsBAi0AFAAGAAgAAAAhAJfXzCmgAgAAtwUAAA4AAAAAAAAAAAAAAAAALgIA&#10;AGRycy9lMm9Eb2MueG1sUEsBAi0AFAAGAAgAAAAhAIdZVIHgAAAACwEAAA8AAAAAAAAAAAAAAAAA&#10;+gQAAGRycy9kb3ducmV2LnhtbFBLBQYAAAAABAAEAPMAAAAHBgAAAAA=&#10;" fillcolor="white [3212]" strokecolor="black [3213]" strokeweight="1pt"/>
            </w:pict>
          </mc:Fallback>
        </mc:AlternateContent>
      </w:r>
      <w:r>
        <w:rPr>
          <w:rFonts w:ascii="Times New Roman" w:hAnsi="Times New Roman"/>
          <w:noProof/>
          <w:sz w:val="24"/>
        </w:rPr>
        <w:t xml:space="preserve">Ai sensi della legislazione in materia di </w:t>
      </w:r>
      <w:r>
        <w:rPr>
          <w:rFonts w:ascii="Times New Roman" w:hAnsi="Times New Roman"/>
          <w:b/>
          <w:noProof/>
          <w:sz w:val="24"/>
        </w:rPr>
        <w:t>acque</w:t>
      </w:r>
      <w:r>
        <w:rPr>
          <w:rFonts w:ascii="Times New Roman" w:hAnsi="Times New Roman"/>
          <w:noProof/>
          <w:sz w:val="24"/>
        </w:rPr>
        <w:t xml:space="preserve">, la Commissione ha </w:t>
      </w:r>
      <w:r>
        <w:rPr>
          <w:rFonts w:ascii="Times New Roman" w:hAnsi="Times New Roman"/>
          <w:b/>
          <w:noProof/>
          <w:sz w:val="24"/>
        </w:rPr>
        <w:t>inserito numerosi interferenti endocrini</w:t>
      </w:r>
      <w:r>
        <w:rPr>
          <w:rStyle w:val="FootnoteReference"/>
          <w:rFonts w:ascii="Times New Roman" w:hAnsi="Times New Roman"/>
          <w:b/>
          <w:noProof/>
          <w:sz w:val="24"/>
        </w:rPr>
        <w:footnoteReference w:id="36"/>
      </w:r>
      <w:r>
        <w:rPr>
          <w:rFonts w:ascii="Times New Roman" w:hAnsi="Times New Roman"/>
          <w:b/>
          <w:noProof/>
          <w:sz w:val="24"/>
        </w:rPr>
        <w:t xml:space="preserve"> nell'elenco delle "sostanze prioritarie" che destano particolari preoccupazioni</w:t>
      </w:r>
      <w:r>
        <w:rPr>
          <w:rStyle w:val="FootnoteReference"/>
          <w:rFonts w:ascii="Times New Roman" w:hAnsi="Times New Roman"/>
          <w:noProof/>
          <w:sz w:val="24"/>
        </w:rPr>
        <w:footnoteReference w:id="37"/>
      </w:r>
      <w:r>
        <w:rPr>
          <w:rFonts w:ascii="Times New Roman" w:hAnsi="Times New Roman"/>
          <w:noProof/>
          <w:sz w:val="24"/>
        </w:rPr>
        <w:t xml:space="preserve"> alle quali si applicano gli standard di qualità ambientale e i controlli sulle emissioni. La Commissione ha inoltre incluso tre interferenti endocrini nell'"elenco di controllo" delle sostanze per le quali dovrebbero essere raccolti, a livello di Unione europea, dati a fini di monitoraggio</w:t>
      </w:r>
      <w:r>
        <w:rPr>
          <w:rStyle w:val="FootnoteReference"/>
          <w:rFonts w:ascii="Times New Roman" w:hAnsi="Times New Roman"/>
          <w:noProof/>
          <w:sz w:val="24"/>
        </w:rPr>
        <w:footnoteReference w:id="38"/>
      </w:r>
      <w:r>
        <w:rPr>
          <w:rFonts w:ascii="Times New Roman" w:hAnsi="Times New Roman"/>
          <w:noProof/>
          <w:sz w:val="24"/>
        </w:rPr>
        <w:t>.</w:t>
      </w:r>
    </w:p>
    <w:p>
      <w:pPr>
        <w:pStyle w:val="ListParagraph"/>
        <w:numPr>
          <w:ilvl w:val="0"/>
          <w:numId w:val="49"/>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A causa dei timori che suscita per le sue proprietà di interferenza endocrina, </w:t>
      </w:r>
      <w:r>
        <w:rPr>
          <w:rFonts w:ascii="Times New Roman" w:hAnsi="Times New Roman"/>
          <w:b/>
          <w:noProof/>
          <w:sz w:val="24"/>
        </w:rPr>
        <w:t>l'utilizzo della sostanza chimica bisfenolo A è stato vietato nei biberon e in altri contenitori per alimenti destinati a lattanti e a bambini</w:t>
      </w:r>
      <w:r>
        <w:rPr>
          <w:rFonts w:ascii="Times New Roman" w:hAnsi="Times New Roman"/>
          <w:noProof/>
          <w:sz w:val="24"/>
        </w:rPr>
        <w:t xml:space="preserve"> e sono stati fissati limiti di migrazione molto bassi per altri materiali che entrano a contatto con i prodotti alimentari</w:t>
      </w:r>
      <w:r>
        <w:rPr>
          <w:rStyle w:val="FootnoteReference"/>
          <w:rFonts w:ascii="Times New Roman" w:hAnsi="Times New Roman"/>
          <w:noProof/>
          <w:sz w:val="24"/>
        </w:rPr>
        <w:footnoteReference w:id="39"/>
      </w:r>
      <w:r>
        <w:rPr>
          <w:rFonts w:ascii="Times New Roman" w:hAnsi="Times New Roman"/>
          <w:noProof/>
          <w:sz w:val="24"/>
        </w:rPr>
        <w:t xml:space="preserve">. Il bisfenolo A è inoltre </w:t>
      </w:r>
      <w:r>
        <w:rPr>
          <w:rFonts w:ascii="Times New Roman" w:hAnsi="Times New Roman"/>
          <w:b/>
          <w:noProof/>
          <w:sz w:val="24"/>
        </w:rPr>
        <w:t>soggetto a valori limite nei giocattoli</w:t>
      </w:r>
      <w:r>
        <w:rPr>
          <w:rFonts w:ascii="Times New Roman" w:hAnsi="Times New Roman"/>
          <w:noProof/>
          <w:sz w:val="24"/>
        </w:rPr>
        <w:t xml:space="preserve"> destinati a bambini di età inferiore a 36 mesi, nei giocattoli destinati a essere messi in bocca</w:t>
      </w:r>
      <w:r>
        <w:rPr>
          <w:rStyle w:val="FootnoteReference"/>
          <w:rFonts w:ascii="Times New Roman" w:hAnsi="Times New Roman"/>
          <w:noProof/>
          <w:sz w:val="24"/>
        </w:rPr>
        <w:footnoteReference w:id="40"/>
      </w:r>
      <w:r>
        <w:rPr>
          <w:rFonts w:ascii="Times New Roman" w:hAnsi="Times New Roman"/>
          <w:noProof/>
          <w:sz w:val="24"/>
        </w:rPr>
        <w:t xml:space="preserve"> e nella </w:t>
      </w:r>
      <w:r>
        <w:rPr>
          <w:rFonts w:ascii="Times New Roman" w:hAnsi="Times New Roman"/>
          <w:b/>
          <w:noProof/>
          <w:sz w:val="24"/>
        </w:rPr>
        <w:t>carta</w:t>
      </w:r>
      <w:r>
        <w:rPr>
          <w:rFonts w:ascii="Times New Roman" w:hAnsi="Times New Roman"/>
          <w:noProof/>
          <w:sz w:val="24"/>
        </w:rPr>
        <w:t xml:space="preserve"> utilizzata per gli scontrini di cassa</w:t>
      </w:r>
      <w:r>
        <w:rPr>
          <w:rStyle w:val="FootnoteReference"/>
          <w:rFonts w:ascii="Times New Roman" w:hAnsi="Times New Roman"/>
          <w:noProof/>
          <w:sz w:val="24"/>
        </w:rPr>
        <w:footnoteReference w:id="41"/>
      </w:r>
      <w:r>
        <w:rPr>
          <w:rFonts w:ascii="Times New Roman" w:hAnsi="Times New Roman"/>
          <w:noProof/>
          <w:sz w:val="24"/>
        </w:rPr>
        <w:t>.</w:t>
      </w:r>
      <w:r>
        <w:rPr>
          <w:rFonts w:ascii="Times New Roman" w:hAnsi="Times New Roman"/>
          <w:noProof/>
          <w:color w:val="000000"/>
          <w:sz w:val="24"/>
        </w:rPr>
        <w:t xml:space="preserve"> Limiti molto bassi</w:t>
      </w:r>
      <w:r>
        <w:rPr>
          <w:rFonts w:ascii="Times New Roman" w:hAnsi="Times New Roman"/>
          <w:noProof/>
          <w:sz w:val="24"/>
        </w:rPr>
        <w:t xml:space="preserve"> all'utilizzo del bisfenolo A sono stati fissati anche </w:t>
      </w:r>
      <w:r>
        <w:rPr>
          <w:rFonts w:ascii="Times New Roman" w:hAnsi="Times New Roman"/>
          <w:b/>
          <w:noProof/>
          <w:sz w:val="24"/>
        </w:rPr>
        <w:t>per proteggere i lavoratori dall'esposizione</w:t>
      </w:r>
      <w:r>
        <w:rPr>
          <w:rFonts w:ascii="Times New Roman" w:hAnsi="Times New Roman"/>
          <w:noProof/>
          <w:sz w:val="24"/>
        </w:rPr>
        <w:t xml:space="preserve"> attraverso le polveri inalabili</w:t>
      </w:r>
      <w:r>
        <w:rPr>
          <w:rStyle w:val="FootnoteReference"/>
          <w:rFonts w:ascii="Times New Roman" w:hAnsi="Times New Roman"/>
          <w:noProof/>
          <w:sz w:val="24"/>
        </w:rPr>
        <w:footnoteReference w:id="42"/>
      </w:r>
      <w:r>
        <w:rPr>
          <w:rFonts w:ascii="Times New Roman" w:hAnsi="Times New Roman"/>
          <w:noProof/>
          <w:sz w:val="24"/>
        </w:rPr>
        <w:t xml:space="preserve">. </w:t>
      </w:r>
    </w:p>
    <w:p>
      <w:pPr>
        <w:pStyle w:val="ListParagraph"/>
        <w:numPr>
          <w:ilvl w:val="0"/>
          <w:numId w:val="49"/>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A norma della legislazione sui </w:t>
      </w:r>
      <w:r>
        <w:rPr>
          <w:rFonts w:ascii="Times New Roman" w:hAnsi="Times New Roman"/>
          <w:b/>
          <w:noProof/>
          <w:sz w:val="24"/>
        </w:rPr>
        <w:t>cosmetici</w:t>
      </w:r>
      <w:r>
        <w:rPr>
          <w:rFonts w:ascii="Times New Roman" w:hAnsi="Times New Roman"/>
          <w:noProof/>
          <w:sz w:val="24"/>
        </w:rPr>
        <w:t>, è stata fissata una serie di restrizioni specifiche e di divieti specifici su alcuni conservanti con proprietà di interferenza endocrina, in particolare per proteggere i lattanti e i bambini</w:t>
      </w:r>
      <w:r>
        <w:rPr>
          <w:rStyle w:val="FootnoteReference"/>
          <w:rFonts w:ascii="Times New Roman" w:hAnsi="Times New Roman"/>
          <w:noProof/>
          <w:sz w:val="24"/>
        </w:rPr>
        <w:footnoteReference w:id="43"/>
      </w:r>
      <w:r>
        <w:rPr>
          <w:rFonts w:ascii="Times New Roman" w:hAnsi="Times New Roman"/>
          <w:noProof/>
          <w:sz w:val="24"/>
        </w:rPr>
        <w:t xml:space="preserve">. Inoltre, </w:t>
      </w:r>
      <w:r>
        <w:rPr>
          <w:rFonts w:ascii="Times New Roman" w:hAnsi="Times New Roman"/>
          <w:b/>
          <w:noProof/>
          <w:sz w:val="24"/>
        </w:rPr>
        <w:t>è stata vietata</w:t>
      </w:r>
      <w:r>
        <w:rPr>
          <w:rStyle w:val="FootnoteReference"/>
          <w:rFonts w:ascii="Times New Roman" w:hAnsi="Times New Roman"/>
          <w:noProof/>
          <w:sz w:val="24"/>
        </w:rPr>
        <w:footnoteReference w:id="44"/>
      </w:r>
      <w:r>
        <w:rPr>
          <w:rFonts w:ascii="Times New Roman" w:hAnsi="Times New Roman"/>
          <w:noProof/>
          <w:sz w:val="24"/>
        </w:rPr>
        <w:t xml:space="preserve"> una sostanza utilizzata nelle creme solari come </w:t>
      </w:r>
      <w:r>
        <w:rPr>
          <w:rFonts w:ascii="Times New Roman" w:hAnsi="Times New Roman"/>
          <w:b/>
          <w:noProof/>
          <w:sz w:val="24"/>
        </w:rPr>
        <w:t>filtro per le radiazioni ultraviolette</w:t>
      </w:r>
      <w:r>
        <w:rPr>
          <w:rFonts w:ascii="Times New Roman" w:hAnsi="Times New Roman"/>
          <w:noProof/>
          <w:sz w:val="24"/>
        </w:rPr>
        <w:t xml:space="preserve"> alla luce, in particolare, dei sospetti che abbia proprietà di interferenza endocrina.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Per esprimere appieno il potenziale della legislazione dell'UE in materia di interferenti endocrini, la Commissione è attualmente impegnata in una serie di attività, tra cui:</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lo sviluppo di un approccio orizzontale per l'identificazione degli interferenti endocrini in tutta la normativa dell'UE sulla base dei criteri elaborati per i pesticidi e i biocidi;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l'aggiornamento dei requisiti in materia di dati nei diversi quadri legislativi, per migliorare l'identificazione degli interferenti endocrini;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noProof/>
          <w:sz w:val="24"/>
        </w:rPr>
        <w:t>la valutazione delle possibilità di miglioramento della comunicazione lungo la catena di approvvigionamento degli interferenti endocrini nel quadro del regolamento REACH, nel contesto delle attività relative alle schede dei dati di sicurezza</w:t>
      </w:r>
      <w:r>
        <w:rPr>
          <w:rStyle w:val="FootnoteReference"/>
          <w:rFonts w:ascii="Times New Roman" w:eastAsiaTheme="majorEastAsia" w:hAnsi="Times New Roman"/>
          <w:noProof/>
          <w:sz w:val="24"/>
        </w:rPr>
        <w:footnoteReference w:id="45"/>
      </w:r>
      <w:r>
        <w:rPr>
          <w:rFonts w:ascii="Times New Roman" w:eastAsiaTheme="majorEastAsia" w:hAnsi="Times New Roman"/>
          <w:noProof/>
          <w:sz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il proseguimento della valutazione scientifica degli interferenti endocrini al fine di adottare ulteriori iniziative normative;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il sostegno alla condivisione dei dati e alle attività di controllo;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l'elaborazione di documenti di orientamento e di relazioni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rPr>
        <w:t xml:space="preserve">e l'organizzazione di attività di formazione per i responsabili della valutazione e della gestione dei rischi.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Esistono inoltre alcune iniziative della Commissione – all'esame del Parlamento europeo e del Consiglio o in procinto di essere attuate – che, una volta pienamente in vigore, forniranno ulteriori strumenti per trattare gli interferenti endocrini, tra cui: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proposta di regolamento </w:t>
      </w:r>
      <w:r>
        <w:rPr>
          <w:rFonts w:ascii="Times New Roman" w:hAnsi="Times New Roman"/>
          <w:b/>
          <w:noProof/>
          <w:sz w:val="24"/>
        </w:rPr>
        <w:t>sulla trasparenza e la sostenibilità dell'analisi del rischio</w:t>
      </w:r>
      <w:r>
        <w:rPr>
          <w:rFonts w:ascii="Times New Roman" w:hAnsi="Times New Roman"/>
          <w:noProof/>
          <w:sz w:val="24"/>
        </w:rPr>
        <w:t xml:space="preserve"> nel quadro della legislazione alimentare dell'UE</w:t>
      </w:r>
      <w:r>
        <w:rPr>
          <w:rStyle w:val="FootnoteReference"/>
          <w:rFonts w:ascii="Times New Roman" w:hAnsi="Times New Roman"/>
          <w:noProof/>
          <w:sz w:val="24"/>
        </w:rPr>
        <w:footnoteReference w:id="46"/>
      </w:r>
      <w:r>
        <w:rPr>
          <w:rFonts w:ascii="Times New Roman" w:hAnsi="Times New Roman"/>
          <w:noProof/>
          <w:sz w:val="24"/>
        </w:rPr>
        <w:t xml:space="preserve">, che si prefigge di aumentare la fiducia nel processo di regolamentazione, anche per quanto riguarda la valutazione delle sostanze sospettate di essere interferenti endocrini;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strategia europea sulla plastica</w:t>
      </w:r>
      <w:r>
        <w:rPr>
          <w:rStyle w:val="FootnoteReference"/>
          <w:rFonts w:ascii="Times New Roman" w:hAnsi="Times New Roman"/>
          <w:noProof/>
          <w:sz w:val="24"/>
        </w:rPr>
        <w:footnoteReference w:id="47"/>
      </w:r>
      <w:r>
        <w:rPr>
          <w:rFonts w:ascii="Times New Roman" w:hAnsi="Times New Roman"/>
          <w:noProof/>
          <w:sz w:val="24"/>
        </w:rPr>
        <w:t>, che mira ad accelerare la sostituzione delle sostanze che destano preoccupazione, compresi gli interferenti endocrini, al fine di promuovere il riciclaggio;</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proposta di revisione della </w:t>
      </w:r>
      <w:r>
        <w:rPr>
          <w:rFonts w:ascii="Times New Roman" w:hAnsi="Times New Roman"/>
          <w:b/>
          <w:noProof/>
          <w:sz w:val="24"/>
        </w:rPr>
        <w:t>direttiva sull'acqua potabile</w:t>
      </w:r>
      <w:r>
        <w:rPr>
          <w:rStyle w:val="FootnoteReference"/>
          <w:rFonts w:ascii="Times New Roman" w:hAnsi="Times New Roman"/>
          <w:noProof/>
          <w:sz w:val="24"/>
        </w:rPr>
        <w:footnoteReference w:id="48"/>
      </w:r>
      <w:r>
        <w:rPr>
          <w:rFonts w:ascii="Times New Roman" w:hAnsi="Times New Roman"/>
          <w:noProof/>
          <w:sz w:val="24"/>
        </w:rPr>
        <w:t>, che aggiunge tre interferenti endocrini</w:t>
      </w:r>
      <w:r>
        <w:rPr>
          <w:rStyle w:val="FootnoteReference"/>
          <w:rFonts w:ascii="Times New Roman" w:hAnsi="Times New Roman"/>
          <w:noProof/>
          <w:sz w:val="24"/>
        </w:rPr>
        <w:footnoteReference w:id="49"/>
      </w:r>
      <w:r>
        <w:rPr>
          <w:rFonts w:ascii="Times New Roman" w:hAnsi="Times New Roman"/>
          <w:noProof/>
          <w:sz w:val="24"/>
        </w:rPr>
        <w:t xml:space="preserve"> all'elenco dei parametri per determinare la sicurezza dell'acqua potabile;</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New deal per i consumatori</w:t>
      </w:r>
      <w:r>
        <w:rPr>
          <w:rStyle w:val="FootnoteReference"/>
          <w:rFonts w:ascii="Times New Roman" w:hAnsi="Times New Roman"/>
          <w:b/>
          <w:noProof/>
          <w:sz w:val="24"/>
        </w:rPr>
        <w:footnoteReference w:id="50"/>
      </w:r>
      <w:r>
        <w:rPr>
          <w:rFonts w:ascii="Times New Roman" w:hAnsi="Times New Roman"/>
          <w:noProof/>
          <w:sz w:val="24"/>
        </w:rPr>
        <w:t xml:space="preserve"> e il </w:t>
      </w:r>
      <w:r>
        <w:rPr>
          <w:rFonts w:ascii="Times New Roman" w:hAnsi="Times New Roman"/>
          <w:b/>
          <w:noProof/>
          <w:sz w:val="24"/>
        </w:rPr>
        <w:t>pacchetto merci</w:t>
      </w:r>
      <w:r>
        <w:rPr>
          <w:rStyle w:val="FootnoteReference"/>
          <w:rFonts w:ascii="Times New Roman" w:hAnsi="Times New Roman"/>
          <w:noProof/>
          <w:sz w:val="24"/>
        </w:rPr>
        <w:footnoteReference w:id="51"/>
      </w:r>
      <w:r>
        <w:rPr>
          <w:rFonts w:ascii="Times New Roman" w:hAnsi="Times New Roman"/>
          <w:noProof/>
          <w:sz w:val="24"/>
        </w:rPr>
        <w:t>, che miglioreranno l'applicazione dei requisiti relativi alla sicurezza dei prodotti e contribuiranno a porre rimedio alla presenza illegale di interferenti endocrini in una serie di prodotti</w:t>
      </w:r>
      <w:r>
        <w:rPr>
          <w:rStyle w:val="FootnoteReference"/>
          <w:rFonts w:ascii="Times New Roman" w:hAnsi="Times New Roman"/>
          <w:noProof/>
          <w:sz w:val="24"/>
        </w:rPr>
        <w:footnoteReference w:id="52"/>
      </w:r>
      <w:r>
        <w:rPr>
          <w:rFonts w:ascii="Times New Roman" w:hAnsi="Times New Roman"/>
          <w:noProof/>
          <w:sz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 l'aggiornamento del quadro normativo esistente in materia di </w:t>
      </w:r>
      <w:r>
        <w:rPr>
          <w:rFonts w:ascii="Times New Roman" w:hAnsi="Times New Roman"/>
          <w:b/>
          <w:noProof/>
          <w:sz w:val="24"/>
        </w:rPr>
        <w:t>sicurezza e salute sul luogo di lavoro</w:t>
      </w:r>
      <w:r>
        <w:rPr>
          <w:rFonts w:ascii="Times New Roman" w:hAnsi="Times New Roman"/>
          <w:noProof/>
          <w:sz w:val="24"/>
        </w:rPr>
        <w:t>, sulla base di solide consulenze scientifiche, per proteggere i lavoratori esposti a sostanze chimiche pericolose, alcune delle quali aventi proprietà di interferenza endocrina.</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b/>
          <w:noProof/>
          <w:sz w:val="24"/>
          <w:u w:val="single"/>
        </w:rPr>
        <w:t>Cooperazione internazionale in materia di interferenti endocrini</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Commissione e gli Stati membri partecipano attivamente ai lavori dell'Organizzazione per la cooperazione e lo sviluppo economico, contribuendo così all'impegno di quest'ultima a favore dell'elaborazione di metodi di prova sugli interferenti endocrini che siano riconosciuti a livello internazionale e del miglioramento del coordinamento a livello internazionale.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La Commissione e gli Stati membri sostengono i lavori dell'Organizzazione mondiale della sanità</w:t>
      </w:r>
      <w:r>
        <w:rPr>
          <w:rStyle w:val="FootnoteReference"/>
          <w:rFonts w:ascii="Times New Roman" w:hAnsi="Times New Roman"/>
          <w:noProof/>
          <w:sz w:val="24"/>
        </w:rPr>
        <w:footnoteReference w:id="53"/>
      </w:r>
      <w:r>
        <w:rPr>
          <w:rFonts w:ascii="Times New Roman" w:hAnsi="Times New Roman"/>
          <w:noProof/>
          <w:sz w:val="24"/>
        </w:rPr>
        <w:t>, l'approccio strategico al programma internazionale di gestione delle sostanze chimiche e il programma delle Nazioni Unite per l'ambiente. La Commissione e gli Stati membri cooperano inoltre e scambiano informazioni con i partner internazionali sotto l'egida dell'Organizzazione mondiale del commercio per quanto riguarda gli sviluppi normativi a livello dell'UE che possono incidere sugli scambi</w:t>
      </w:r>
      <w:r>
        <w:rPr>
          <w:rStyle w:val="FootnoteReference"/>
          <w:rFonts w:ascii="Times New Roman" w:hAnsi="Times New Roman"/>
          <w:noProof/>
          <w:sz w:val="24"/>
        </w:rPr>
        <w:footnoteReference w:id="54"/>
      </w:r>
      <w:r>
        <w:rPr>
          <w:rFonts w:ascii="Times New Roman" w:hAnsi="Times New Roman"/>
          <w:noProof/>
          <w:sz w:val="24"/>
        </w:rPr>
        <w:t>. Inoltre, a livello bilaterale, sono avvenuti scambi di informazioni con i partner internazionali, in particolare con Stati Uniti, Canada e Giappone, e ultimamente anche con la Cina. Pur proponendo diversi approcci su come affrontare il problema degli interferenti endocrini, tutti i partner concordano sull'importanza di trattare la questione in via prioritaria</w:t>
      </w:r>
      <w:r>
        <w:rPr>
          <w:rStyle w:val="FootnoteReference"/>
          <w:rFonts w:ascii="Times New Roman" w:hAnsi="Times New Roman"/>
          <w:noProof/>
          <w:sz w:val="24"/>
        </w:rPr>
        <w:footnoteReference w:id="55"/>
      </w:r>
      <w:r>
        <w:rPr>
          <w:rFonts w:ascii="Times New Roman" w:hAnsi="Times New Roman"/>
          <w:noProof/>
          <w:sz w:val="24"/>
        </w:rPr>
        <w:t xml:space="preserve">. Anche gli accordi di cooperazione bilaterale con i partner commerciali prevedono discussioni su questioni relative agli interferenti endocrini. </w:t>
      </w:r>
    </w:p>
    <w:p>
      <w:pPr>
        <w:pStyle w:val="Heading1"/>
        <w:spacing w:before="360" w:after="120" w:line="240" w:lineRule="auto"/>
        <w:rPr>
          <w:rFonts w:cs="Times New Roman"/>
          <w:caps/>
          <w:noProof/>
          <w:sz w:val="24"/>
          <w:szCs w:val="24"/>
        </w:rPr>
      </w:pPr>
      <w:r>
        <w:rPr>
          <w:caps/>
          <w:noProof/>
          <w:sz w:val="24"/>
        </w:rPr>
        <w:t>3. Portare avanti la politica dell'UE in materia di interferenti endocrini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Commissione si è sempre impegnata – e sempre si impegnerà – a garantire un elevato livello di protezione per i cittadini e l'ambiente dell'Unione europea e, allo stesso tempo, a preservare un mercato interno che offra vantaggi ai consumatori e in cui tutte le imprese dell'UE possano prosperare.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L'attuazione della strategia comunitaria del 1999 ha collocato l'UE in prima linea nella comprensione e nella regolamentazione di queste pericolose sostanze chimiche. Tuttavia, per compiere ulteriori progressi e per mantenere l'elevato livello di protezione auspicato, è importante garantire che il quadro normativo dell'UE continui a trattare in modo coerente gli interferenti endocrini nei diversi settori.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L'approccio strategico dell'UE rispetto agli interferenti endocrini per gli anni a venire dovrebbe basarsi sull'applicazione del principio di precauzione, ponendosi come obiettivi:</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riduzione al minimo dell'esposizione complessiva</w:t>
      </w:r>
      <w:r>
        <w:rPr>
          <w:rFonts w:ascii="Times New Roman" w:hAnsi="Times New Roman"/>
          <w:noProof/>
          <w:sz w:val="24"/>
        </w:rPr>
        <w:t xml:space="preserve"> degli esseri umani e dell'ambiente agli interferenti endocrini, prestando particolare attenzione all'esposizione durante i periodi importanti dello sviluppo di un organismo, ad esempio lo sviluppo fetale e la pubertà;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l'</w:t>
      </w:r>
      <w:r>
        <w:rPr>
          <w:rFonts w:ascii="Times New Roman" w:hAnsi="Times New Roman"/>
          <w:b/>
          <w:noProof/>
          <w:sz w:val="24"/>
        </w:rPr>
        <w:t>accelerazione dello sviluppo di una solida base di ricerca</w:t>
      </w:r>
      <w:r>
        <w:rPr>
          <w:rFonts w:ascii="Times New Roman" w:hAnsi="Times New Roman"/>
          <w:noProof/>
          <w:sz w:val="24"/>
        </w:rPr>
        <w:t xml:space="preserve"> al servizio di processi decisionali efficaci e lungimiranti</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e la </w:t>
      </w:r>
      <w:r>
        <w:rPr>
          <w:rFonts w:ascii="Times New Roman" w:hAnsi="Times New Roman"/>
          <w:b/>
          <w:noProof/>
          <w:sz w:val="24"/>
        </w:rPr>
        <w:t>promozione di un dialogo attivo</w:t>
      </w:r>
      <w:r>
        <w:rPr>
          <w:rFonts w:ascii="Times New Roman" w:hAnsi="Times New Roman"/>
          <w:noProof/>
          <w:sz w:val="24"/>
        </w:rPr>
        <w:t xml:space="preserve"> che permetta a tutti i portatori di interesse di essere sentiti e di lavorare insieme.</w:t>
      </w:r>
    </w:p>
    <w:p>
      <w:pPr>
        <w:pStyle w:val="Heading2"/>
        <w:spacing w:before="0" w:after="120" w:line="240" w:lineRule="auto"/>
        <w:rPr>
          <w:rFonts w:cs="Times New Roman"/>
          <w:noProof/>
          <w:szCs w:val="24"/>
        </w:rPr>
      </w:pPr>
      <w:r>
        <w:rPr>
          <w:noProof/>
        </w:rPr>
        <w:t>Un approccio coerente alla regolamentazione in materia di interferenti endocrini</w:t>
      </w:r>
    </w:p>
    <w:p>
      <w:pPr>
        <w:pStyle w:val="NormalWeb"/>
        <w:spacing w:before="0" w:beforeAutospacing="0" w:after="120" w:afterAutospacing="0"/>
        <w:jc w:val="both"/>
        <w:rPr>
          <w:noProof/>
        </w:rPr>
      </w:pPr>
      <w:r>
        <w:rPr>
          <w:noProof/>
        </w:rPr>
        <w:t>Le misure legislative che costituiscono il quadro giuridico dell'UE che disciplina le sostanze chimiche sono state elaborate in momenti diversi ed hanno, in alcuni casi, obiettivi diversi. Questa situazione ha dato luogo ad approcci diversi alla questione degli interferenti endocrini, in funzione del settore disciplinato, ed ha dato adito a perplessità in merito alla sufficiente coerenza del quadro giuridico dell'UE che disciplina gli interferenti endocrini. Vi sono in particolare due punti che meritano un'attenzione particolare.</w:t>
      </w:r>
    </w:p>
    <w:p>
      <w:pPr>
        <w:pStyle w:val="NormalWeb"/>
        <w:spacing w:before="120" w:beforeAutospacing="0" w:after="120" w:afterAutospacing="0"/>
        <w:jc w:val="both"/>
        <w:rPr>
          <w:noProof/>
        </w:rPr>
      </w:pPr>
      <w:r>
        <w:rPr>
          <w:b/>
          <w:noProof/>
        </w:rPr>
        <w:t>Approccio orizzontale all'identificazione degli interferenti endocrini</w:t>
      </w:r>
      <w:r>
        <w:rPr>
          <w:noProof/>
        </w:rPr>
        <w:t>:</w:t>
      </w:r>
      <w:r>
        <w:rPr>
          <w:b/>
          <w:noProof/>
        </w:rPr>
        <w:t xml:space="preserve"> </w:t>
      </w:r>
      <w:r>
        <w:rPr>
          <w:noProof/>
        </w:rPr>
        <w:t xml:space="preserve">la Commissione ritiene che vi dovrebbe essere un approccio coerente all'identificazione degli interferenti endocrini in tutta la pertinente legislazione dell'Unione, basato sulla definizione, ampiamente riconosciuta, dell'Organizzazione mondiale della sanità. </w:t>
      </w:r>
    </w:p>
    <w:p>
      <w:pPr>
        <w:pStyle w:val="NormalWeb"/>
        <w:spacing w:before="120" w:beforeAutospacing="0" w:after="120" w:afterAutospacing="0"/>
        <w:jc w:val="both"/>
        <w:rPr>
          <w:noProof/>
        </w:rPr>
      </w:pPr>
      <w:r>
        <w:rPr>
          <w:noProof/>
        </w:rPr>
        <w:t>I criteri recentemente introdotti in materia di pesticidi e biocidi costituiscono un primo passo in tale direzione, ma la legislazione dell'UE in altri settori non contiene criteri di questo tipo.</w:t>
      </w:r>
    </w:p>
    <w:p>
      <w:pPr>
        <w:pStyle w:val="NormalWeb"/>
        <w:spacing w:before="120" w:beforeAutospacing="0" w:after="120" w:afterAutospacing="0"/>
        <w:jc w:val="both"/>
        <w:rPr>
          <w:noProof/>
        </w:rPr>
      </w:pPr>
    </w:p>
    <w:p>
      <w:pPr>
        <w:pStyle w:val="NormalWeb"/>
        <w:spacing w:before="120" w:beforeAutospacing="0" w:after="120" w:afterAutospacing="0"/>
        <w:jc w:val="both"/>
        <w:rPr>
          <w:noProof/>
        </w:rPr>
      </w:pPr>
      <w:r>
        <w:rPr>
          <w:noProof/>
        </w:rPr>
        <w:t xml:space="preserve">Si è sostenuto che i criteri per l'identificazione degli interferenti endocrini vengano stabiliti dalla legislazione, per motivi di certezza giuridica e per evitare il possibile rischio che una sostanza venga classificata come interferente endocrino in alcuni atti legislativi ma non in altri. Tale questione merita un ulteriore approfondimento. </w:t>
      </w:r>
    </w:p>
    <w:p>
      <w:pPr>
        <w:pStyle w:val="NormalWeb"/>
        <w:spacing w:before="120" w:beforeAutospacing="0" w:after="120" w:afterAutospacing="0"/>
        <w:jc w:val="both"/>
        <w:rPr>
          <w:noProof/>
        </w:rPr>
      </w:pPr>
      <w:r>
        <w:rPr>
          <w:b/>
          <w:noProof/>
        </w:rPr>
        <w:t xml:space="preserve">Conseguenze normative per gli interferenti endocrini: </w:t>
      </w:r>
      <w:r>
        <w:rPr>
          <w:noProof/>
        </w:rPr>
        <w:t xml:space="preserve">nei diversi atti legislativi esistono diversi approcci normativi alle sostanze identificate come interferenti endocrini. </w:t>
      </w:r>
    </w:p>
    <w:p>
      <w:pPr>
        <w:pStyle w:val="NormalWeb"/>
        <w:spacing w:before="120" w:beforeAutospacing="0" w:after="120" w:afterAutospacing="0"/>
        <w:jc w:val="both"/>
        <w:rPr>
          <w:noProof/>
        </w:rPr>
      </w:pPr>
      <w:r>
        <w:rPr>
          <w:noProof/>
        </w:rPr>
        <w:t>Per i pesticidi e i biocidi, i colegislatori hanno adottato disposizioni specifiche che "</w:t>
      </w:r>
      <w:r>
        <w:rPr>
          <w:i/>
          <w:noProof/>
        </w:rPr>
        <w:t>si fondano sul principio di precauzione</w:t>
      </w:r>
      <w:r>
        <w:rPr>
          <w:noProof/>
        </w:rPr>
        <w:t>"</w:t>
      </w:r>
      <w:r>
        <w:rPr>
          <w:rStyle w:val="FootnoteReference"/>
          <w:noProof/>
        </w:rPr>
        <w:footnoteReference w:id="56"/>
      </w:r>
      <w:r>
        <w:rPr>
          <w:noProof/>
        </w:rPr>
        <w:t xml:space="preserve">, sulla base di un certo numero di considerazioni. Prendendo ad esempio in considerazione la natura specifica dei prodotti in questione, il fatto che gli interferenti endocrini sono sostanze che destano particolare preoccupazione e che permane tuttora una certa incertezza scientifica relativamente alla valutazione del loro impatto (ad esempio, per quanto riguarda l'esistenza di un limite di esposizione sicuro), essi hanno deciso che, una volta dimostrato che una sostanza è un interferente endocrino, l'impiego di tale sostanza non può, in linea di principio, essere autorizzato. Esistono alcune possibilità – peraltro molto limitate – di deroga. </w:t>
      </w:r>
    </w:p>
    <w:p>
      <w:pPr>
        <w:pStyle w:val="NormalWeb"/>
        <w:spacing w:before="120" w:beforeAutospacing="0" w:after="120" w:afterAutospacing="0"/>
        <w:jc w:val="both"/>
        <w:rPr>
          <w:noProof/>
        </w:rPr>
      </w:pPr>
      <w:r>
        <w:rPr>
          <w:noProof/>
        </w:rPr>
        <w:t xml:space="preserve">Nell'ambito del regolamento REACH, agli interferenti endocrini si fa esplicitamente riferimento come sostanze che possono rientrare nella categoria delle "sostanze estremamente preoccupanti" e che, se considerate prioritarie, sono soggette ai requisiti di autorizzazione. Le limitazioni possono riguardare anche gli interferenti endocrini. </w:t>
      </w:r>
    </w:p>
    <w:p>
      <w:pPr>
        <w:pStyle w:val="NormalWeb"/>
        <w:spacing w:before="120" w:beforeAutospacing="0" w:after="120" w:afterAutospacing="0"/>
        <w:jc w:val="both"/>
        <w:rPr>
          <w:noProof/>
        </w:rPr>
      </w:pPr>
      <w:r>
        <w:rPr>
          <w:noProof/>
        </w:rPr>
        <w:t>Altri strumenti legislativi, ad esempio il regolamento sui cosmetici, anche se non li menzionano espressamente, considerano gli interferenti endocrini alla stregua di altre sostanze che possono incidere negativamente sulla salute umana.</w:t>
      </w:r>
    </w:p>
    <w:p>
      <w:pPr>
        <w:pStyle w:val="NormalWeb"/>
        <w:spacing w:before="120" w:beforeAutospacing="0" w:after="120" w:afterAutospacing="0"/>
        <w:jc w:val="both"/>
        <w:rPr>
          <w:b/>
          <w:noProof/>
        </w:rPr>
      </w:pPr>
      <w:r>
        <w:rPr>
          <w:noProof/>
        </w:rPr>
        <w:t>Alcuni portatori di interessi hanno sostenuto che, in alcuni settori, la legislazione dell'UE non fornisce approcci normativi adeguati per affrontare in modo efficace la questione degli interferenti endocrini. Tale questione merita un esame più approfondito.</w:t>
      </w:r>
    </w:p>
    <w:p>
      <w:pPr>
        <w:pStyle w:val="NormalWeb"/>
        <w:spacing w:before="0" w:beforeAutospacing="0" w:after="120" w:afterAutospacing="0"/>
        <w:jc w:val="both"/>
        <w:rPr>
          <w:noProof/>
        </w:rPr>
      </w:pPr>
      <w:r>
        <w:rPr>
          <w:noProof/>
        </w:rPr>
        <w:t>In linea con l'agenda "Legiferare meglio" della Commissione e con l'impegno di garantire che le normative dell'UE rimangano adeguate allo scopo, sono state effettuate – o sono in corso – diverse valutazioni che sono rilevanti, anche se in misura diversa, per la questione degli interferenti endocrini</w:t>
      </w:r>
      <w:r>
        <w:rPr>
          <w:rStyle w:val="FootnoteReference"/>
          <w:noProof/>
        </w:rPr>
        <w:footnoteReference w:id="57"/>
      </w:r>
      <w:r>
        <w:rPr>
          <w:noProof/>
        </w:rPr>
        <w:t xml:space="preserve">. Tuttavia, nessuna valutazione ha finora interessato tutti i diversi aspetti verticali e orizzontali degli interferenti endocrini.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 La Commissione </w:t>
      </w:r>
      <w:r>
        <w:rPr>
          <w:b/>
          <w:noProof/>
        </w:rPr>
        <w:t>avvierà un controllo dell'adeguatezza</w:t>
      </w:r>
      <w:r>
        <w:rPr>
          <w:noProof/>
        </w:rPr>
        <w:t xml:space="preserve"> per</w:t>
      </w:r>
      <w:r>
        <w:rPr>
          <w:b/>
          <w:noProof/>
        </w:rPr>
        <w:t xml:space="preserve"> </w:t>
      </w:r>
      <w:r>
        <w:rPr>
          <w:noProof/>
        </w:rPr>
        <w:t>valutare se la pertinente normativa dell'UE sugli interferenti endocrini</w:t>
      </w:r>
      <w:r>
        <w:rPr>
          <w:b/>
          <w:noProof/>
        </w:rPr>
        <w:t xml:space="preserve"> </w:t>
      </w:r>
      <w:r>
        <w:rPr>
          <w:noProof/>
        </w:rPr>
        <w:t>consegue il suo obiettivo generale di proteggere la salute umana e l'ambiente, riducendo al minimo l'esposizione a tali sostanze.</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Tale controllo dell'adeguatezza sarà l'occasione per effettuare per la prima volta </w:t>
      </w:r>
      <w:r>
        <w:rPr>
          <w:b/>
          <w:noProof/>
        </w:rPr>
        <w:t>un esame trasversale degli interferenti endocrini</w:t>
      </w:r>
      <w:r>
        <w:rPr>
          <w:noProof/>
        </w:rPr>
        <w:t xml:space="preserve">, sulla base delle prove scientifiche e della notevole quantità di dati già raccolti e analizzati nel contesto delle valutazioni ultimate e in corso. Esso consentirà di valutare in che modo le diverse disposizioni e i diversi approcci riguardanti gli interferenti endocrini interagiscono, individuerà eventuali lacune, incoerenze o sinergie e ne valuterà l'impatto collettivo in termini di costi e benefici per la salute umana e l'ambiente, la competitività degli agricoltori e dell'industria dell'UE e il commercio internazionale. Il controllo si soffermerà in particolare sui settori in cui la legislazione non contiene disposizioni specifiche relative agli interferenti endocrini, ad esempio sulle normative che riguardano i giocattoli, i cosmetici e i materiali che entrano in contatto con gli alimenti.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Sarà prestata particolare </w:t>
      </w:r>
      <w:r>
        <w:rPr>
          <w:b/>
          <w:noProof/>
        </w:rPr>
        <w:t>attenzione alla coerenza e all'intensità delle azioni</w:t>
      </w:r>
      <w:r>
        <w:rPr>
          <w:noProof/>
        </w:rPr>
        <w:t xml:space="preserve"> volte a proteggere i gruppi di popolazione vulnerabili che sono particolarmente sensibili</w:t>
      </w:r>
      <w:r>
        <w:rPr>
          <w:b/>
          <w:noProof/>
        </w:rPr>
        <w:t xml:space="preserve"> </w:t>
      </w:r>
      <w:r>
        <w:rPr>
          <w:noProof/>
        </w:rPr>
        <w:t>agli interferenti endocrini, ad esempio i feti e gli adolescenti. Il controllo dell'adeguatezza consentirà di consultare ampiamente i cittadini e i portatori di interessi dell'UE, anche attraverso una consultazione pubblica. Nel complesso, esso contribuirà a comprendere se la legislazione risulta adeguata allo scopo, in linea con il programma "Legiferare meglio", e ad alimentare la riflessione sull'opportunità di apportare modifiche legislative.</w:t>
      </w:r>
    </w:p>
    <w:p>
      <w:pPr>
        <w:pStyle w:val="Heading2"/>
        <w:keepLines w:val="0"/>
        <w:spacing w:before="240" w:after="120" w:line="240" w:lineRule="auto"/>
        <w:rPr>
          <w:rFonts w:cs="Times New Roman"/>
          <w:b w:val="0"/>
          <w:noProof/>
          <w:szCs w:val="24"/>
        </w:rPr>
      </w:pPr>
      <w:r>
        <w:rPr>
          <w:noProof/>
        </w:rPr>
        <w:t>Un approccio basato sui dati scientifici più aggiornati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Il processo decisionale dell'UE è basato su prove scientifiche. Se l'UE vuole approfondire la comprensione degli interferenti endocrini e costituire una solida base per l'elaborazione di politiche efficaci, è pertanto essenziale continuare a sostenere la ricerca.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Nel suo futuro programma quadro per la ricerca e l'innovazione, Orizzonte Europa</w:t>
      </w:r>
      <w:r>
        <w:rPr>
          <w:rStyle w:val="FootnoteReference"/>
          <w:rFonts w:ascii="Times New Roman" w:hAnsi="Times New Roman"/>
          <w:noProof/>
          <w:sz w:val="24"/>
        </w:rPr>
        <w:footnoteReference w:id="58"/>
      </w:r>
      <w:r>
        <w:rPr>
          <w:rFonts w:ascii="Times New Roman" w:hAnsi="Times New Roman"/>
          <w:noProof/>
          <w:sz w:val="24"/>
        </w:rPr>
        <w:t xml:space="preserve">, la Commissione continuerà a garantire il necessario </w:t>
      </w:r>
      <w:r>
        <w:rPr>
          <w:rFonts w:ascii="Times New Roman" w:hAnsi="Times New Roman"/>
          <w:b/>
          <w:noProof/>
          <w:sz w:val="24"/>
        </w:rPr>
        <w:t>sostegno alla ricerca sulla protezione dei cittadini e dell'ambiente dall'esposizione a sostanze chimiche nocive, compresi gli interferenti endocrini</w:t>
      </w:r>
      <w:r>
        <w:rPr>
          <w:rFonts w:ascii="Times New Roman" w:hAnsi="Times New Roman"/>
          <w:noProof/>
          <w:sz w:val="24"/>
        </w:rPr>
        <w:t>, basandosi sui lavori condotti nell'ambito del programma quadro in corso, Orizzonte 2020.</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Una particolare attenzione dovrebbe essere rivolta ai settori in cui le conoscenze sulle sostanze che alterano il sistema endocrino sono ancora lacunose, come indicato nella sezione 1, e in cui la presenza di dati scientifici più affidabili può rappresentare il miglior contributo a politiche più incisive.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Diversi filoni di ricerca proposti nell'ambito di Orizzonte Europa hanno una notevole rilevanza per la questione degli interferenti endocrini. Tra questi figurano: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ricerca volta all'ulteriore sviluppo della valutazione dei pericoli, della valutazione del rischio e della gestione dei preparati chimici, anche per quanto concerne gli effetti cocktail e la ricerca in materia di raccolta, condivisione e combinazione dei dati richiesti;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rPr>
        <w:t>la ricerca sull'eliminazione delle sostanze che destano preoccupazione nelle fasi di produzione e di fine vita; il sostegno allo sviluppo di tecnologie di produzione alternative sicure ed efficienti in termini di costi;</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la ricerca nel settore dell'ecoinnovazione per la prevenzione e il risanamento dell'inquinamento ambientale da sostanze pericolose e da nuovi prodotti chimici che destano preoccupazioni; l'esame dell'interfaccia tra sostanze chimiche, prodotti e rifiuti.</w:t>
      </w:r>
    </w:p>
    <w:p>
      <w:pPr>
        <w:pStyle w:val="Heading2"/>
        <w:spacing w:before="120" w:after="120" w:line="240" w:lineRule="auto"/>
        <w:rPr>
          <w:rFonts w:cs="Times New Roman"/>
          <w:noProof/>
          <w:szCs w:val="24"/>
        </w:rPr>
      </w:pPr>
      <w:r>
        <w:rPr>
          <w:noProof/>
        </w:rPr>
        <w:t xml:space="preserve">Un approccio inclusivo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Per poter registrare progressi effettivi nella soluzione del problema degli interferenti endocrini, la Commissione intende adottare un approccio inclusivo che sia aperto e trasparente e che riunisca tutte le parti interessate. La Commissione è pronta ad ascoltare tutti i pareri, a dialogare in modo cooperativo e a comunicare proattivamente.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Tale approccio è inoltre funzionale alla cooperazione con i partner al di fuori dell'UE, per essere sempre aggiornata sui risultati delle attività di ricerca, vigilare a un uso efficiente delle risorse a livello mondiale, assicurare la coerenza normativa per ridurre gli ostacoli agli scambi e garantire la leadership mondiale dell'UE in materia.</w:t>
      </w: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w:t>
      </w:r>
      <w:r>
        <w:rPr>
          <w:rFonts w:ascii="Times New Roman" w:hAnsi="Times New Roman"/>
          <w:noProof/>
          <w:sz w:val="24"/>
        </w:rPr>
        <w:t xml:space="preserve">La Commissione organizzerà un </w:t>
      </w:r>
      <w:r>
        <w:rPr>
          <w:rFonts w:ascii="Times New Roman" w:hAnsi="Times New Roman"/>
          <w:b/>
          <w:noProof/>
          <w:sz w:val="24"/>
        </w:rPr>
        <w:t>Forum annuale sugli interferenti endocrini</w:t>
      </w:r>
      <w:r>
        <w:rPr>
          <w:rFonts w:ascii="Times New Roman" w:hAnsi="Times New Roman"/>
          <w:noProof/>
          <w:sz w:val="24"/>
        </w:rPr>
        <w:t xml:space="preserve">. Il forum permetterà agli scienziati e ai portatori di interessi del settore pubblico e privato esperti in materia di interferenti endocrini di riunirsi per scambiare informazioni e migliori pratiche, individuare le sfide e creare sinergie e per offrire alla Commissione materiali e spunti di riflessione.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 xml:space="preserve">La Commissione </w:t>
      </w:r>
      <w:r>
        <w:rPr>
          <w:rFonts w:ascii="Times New Roman" w:hAnsi="Times New Roman"/>
          <w:b/>
          <w:noProof/>
          <w:sz w:val="24"/>
        </w:rPr>
        <w:t>intensificherà il sostegno a favore delle competenti organizzazioni internazionali</w:t>
      </w:r>
      <w:r>
        <w:rPr>
          <w:rFonts w:ascii="Times New Roman" w:hAnsi="Times New Roman"/>
          <w:noProof/>
          <w:sz w:val="24"/>
        </w:rPr>
        <w:t xml:space="preserve"> ed incoraggia gli Stati membri a fare altrettanto. Particolarmente urgente è la necessità di mettere a disposizione dell'Organizzazione per la cooperazione e lo sviluppo economico il sostegno necessario che le permetta di progredire nello sviluppo di metodi di prova riconosciuti a livello internazionale.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noProof/>
          <w:sz w:val="24"/>
        </w:rPr>
        <w:t>La Commissione esaminerà inoltre</w:t>
      </w:r>
      <w:r>
        <w:rPr>
          <w:rFonts w:ascii="Times New Roman" w:hAnsi="Times New Roman"/>
          <w:b/>
          <w:noProof/>
          <w:sz w:val="24"/>
        </w:rPr>
        <w:t xml:space="preserve"> </w:t>
      </w:r>
      <w:r>
        <w:rPr>
          <w:rFonts w:ascii="Times New Roman" w:hAnsi="Times New Roman"/>
          <w:noProof/>
          <w:sz w:val="24"/>
        </w:rPr>
        <w:t xml:space="preserve">le possibilità di inserire gli interferenti endocrini nell'attuale </w:t>
      </w:r>
      <w:r>
        <w:rPr>
          <w:rFonts w:ascii="Times New Roman" w:hAnsi="Times New Roman"/>
          <w:b/>
          <w:noProof/>
          <w:sz w:val="24"/>
        </w:rPr>
        <w:t>sistema internazionale di classificazione delle sostanze chimiche</w:t>
      </w:r>
      <w:r>
        <w:rPr>
          <w:rFonts w:ascii="Times New Roman" w:hAnsi="Times New Roman"/>
          <w:noProof/>
          <w:sz w:val="24"/>
        </w:rPr>
        <w:t>. Si tratterebbe di una soluzione a livello mondiale per l'individuazione degli interferenti endocrini (analogamente a quanto già avviene per altre categorie di sostanze pericolose, come gli agenti mutageni, i cancerogeni e le sostanze tossiche per la riproduzione).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w:t>
      </w:r>
      <w:r>
        <w:rPr>
          <w:rFonts w:ascii="Times New Roman" w:hAnsi="Times New Roman"/>
          <w:noProof/>
          <w:sz w:val="24"/>
        </w:rPr>
        <w:t>Per fornire ai cittadini dell'UE informazioni chiare, esaurienti ed affidabili, la Commissione</w:t>
      </w:r>
      <w:r>
        <w:rPr>
          <w:rFonts w:ascii="Times New Roman" w:hAnsi="Times New Roman"/>
          <w:b/>
          <w:noProof/>
          <w:sz w:val="24"/>
        </w:rPr>
        <w:t xml:space="preserve"> </w:t>
      </w:r>
      <w:r>
        <w:rPr>
          <w:rFonts w:ascii="Times New Roman" w:hAnsi="Times New Roman"/>
          <w:noProof/>
          <w:sz w:val="24"/>
        </w:rPr>
        <w:t xml:space="preserve">allestirà un </w:t>
      </w:r>
      <w:r>
        <w:rPr>
          <w:rFonts w:ascii="Times New Roman" w:hAnsi="Times New Roman"/>
          <w:b/>
          <w:noProof/>
          <w:sz w:val="24"/>
        </w:rPr>
        <w:t>portale web che fungerà da "sportello unico" sugli interferenti endocrini</w:t>
      </w:r>
      <w:r>
        <w:rPr>
          <w:rFonts w:ascii="Times New Roman" w:hAnsi="Times New Roman"/>
          <w:noProof/>
          <w:sz w:val="24"/>
        </w:rPr>
        <w:t xml:space="preserve">. La funzione del portale sarà quella di consolidare e razionalizzare tutte le informazioni sugli interferenti endocrini che sono attualmente presenti in diversi siti web gestiti dalla Commissione e dalle agenzie dell'UE. Esso costituirà quindi un punto di accesso unico alle informazioni sugli interferenti endocrini e renderà più facile e più trasparente per i cittadini e per i portatori di interessi il compito di aggiornarsi sull'argomento. Conformemente al principio di sussidiarietà, </w:t>
      </w:r>
      <w:r>
        <w:rPr>
          <w:rFonts w:ascii="Times New Roman" w:hAnsi="Times New Roman"/>
          <w:b/>
          <w:noProof/>
          <w:sz w:val="24"/>
        </w:rPr>
        <w:t>la Commissione</w:t>
      </w:r>
      <w:r>
        <w:rPr>
          <w:rFonts w:ascii="Times New Roman" w:hAnsi="Times New Roman"/>
          <w:noProof/>
          <w:sz w:val="24"/>
        </w:rPr>
        <w:t xml:space="preserve"> </w:t>
      </w:r>
      <w:r>
        <w:rPr>
          <w:rFonts w:ascii="Times New Roman" w:hAnsi="Times New Roman"/>
          <w:b/>
          <w:noProof/>
          <w:sz w:val="24"/>
        </w:rPr>
        <w:t>incoraggerà gli Stati membri che lo ritengono necessario a organizzare campagne d'informazione e di educazione specifiche</w:t>
      </w:r>
      <w:r>
        <w:rPr>
          <w:rFonts w:ascii="Times New Roman" w:hAnsi="Times New Roman"/>
          <w:noProof/>
          <w:sz w:val="24"/>
        </w:rPr>
        <w:t xml:space="preserve"> sugli interferenti endocrini rivolte al pubblico generale e ai gruppi vulnerabili. </w:t>
      </w:r>
    </w:p>
    <w:p>
      <w:pPr>
        <w:pStyle w:val="Heading1"/>
        <w:spacing w:before="360" w:after="120" w:line="240" w:lineRule="auto"/>
        <w:rPr>
          <w:rFonts w:cs="Times New Roman"/>
          <w:noProof/>
          <w:sz w:val="24"/>
          <w:szCs w:val="24"/>
        </w:rPr>
      </w:pPr>
      <w:r>
        <w:rPr>
          <w:noProof/>
          <w:sz w:val="24"/>
        </w:rPr>
        <w:t>4. CONCLUSIONI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 quasi 20 anni dall'adozione della strategia dell'UE relativa agli interferenti endocrini (che risale al 1999) l'interferenza endocrina rimane una sfida a livello mondiale e una fonte di preoccupazione per molti cittadini dell'UE. Benché negli ultimi 20 anni siano stati compiuti notevoli progressi, che hanno permesso di comprendere e gestire meglio gli interferenti endocrini, è importante intensificare gli sforzi a livello dell'UE.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 Commissione ribadisce il proprio impegno a proteggere i cittadini e l'ambiente dell'UE dall'azione degli interferenti endocrini. A tal fine, l'approccio strategico qui delineato mira a garantire un elevato livello di protezione per i cittadini e l'ambiente dell'UE e, allo stesso tempo, a preservare un mercato interno che offra vantaggi ai consumatori e in cui tutte le imprese possano prosperare.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In linea con l'agenda "Legiferare meglio" della Commissione e con l'impegno a garantire che le normative dell'UE siano sempre adeguate allo scopo, </w:t>
      </w:r>
      <w:r>
        <w:rPr>
          <w:rFonts w:ascii="Times New Roman" w:hAnsi="Times New Roman"/>
          <w:b/>
          <w:noProof/>
          <w:sz w:val="24"/>
        </w:rPr>
        <w:t>la Commissione si appresta ad avviare un'analisi generale del quadro normativo esistente in materia di interferenti endocrini</w:t>
      </w:r>
      <w:r>
        <w:rPr>
          <w:rFonts w:ascii="Times New Roman" w:hAnsi="Times New Roman"/>
          <w:noProof/>
          <w:sz w:val="24"/>
        </w:rPr>
        <w:t>. Tale esercizio di riflessione permetterà di capire se la legislazione dell'UE sugli interferenti endocrini consegue i suoi obiettivi globali, che consistono nel proteggere la salute umana e l'ambiente, garantendo inoltre la partecipazione dei cittadini e dei portatori di interessi, anche attraverso una consultazione pubblica, e aiuterà la Commissione a portare avanti il dibattito e a decidere se sia necessario modificare il quadro legislativo.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Inoltre, le iniziative annunciate nella presente comunicazione </w:t>
      </w:r>
      <w:r>
        <w:rPr>
          <w:rFonts w:ascii="Times New Roman" w:hAnsi="Times New Roman"/>
          <w:b/>
          <w:noProof/>
          <w:sz w:val="24"/>
        </w:rPr>
        <w:t>contribuiscono al continuo progresso della ricerca scientifica in materia</w:t>
      </w:r>
      <w:r>
        <w:rPr>
          <w:rFonts w:ascii="Times New Roman" w:hAnsi="Times New Roman"/>
          <w:noProof/>
          <w:sz w:val="24"/>
        </w:rPr>
        <w:t xml:space="preserve">, </w:t>
      </w:r>
      <w:r>
        <w:rPr>
          <w:rFonts w:ascii="Times New Roman" w:hAnsi="Times New Roman"/>
          <w:b/>
          <w:noProof/>
          <w:sz w:val="24"/>
        </w:rPr>
        <w:t>favoriscono il dialogo inclusivo</w:t>
      </w:r>
      <w:r>
        <w:rPr>
          <w:rFonts w:ascii="Times New Roman" w:hAnsi="Times New Roman"/>
          <w:noProof/>
          <w:sz w:val="24"/>
        </w:rPr>
        <w:t xml:space="preserve"> e la cooperazione con tutti i portatori di interessi e </w:t>
      </w:r>
      <w:r>
        <w:rPr>
          <w:rFonts w:ascii="Times New Roman" w:hAnsi="Times New Roman"/>
          <w:b/>
          <w:noProof/>
          <w:sz w:val="24"/>
        </w:rPr>
        <w:t>permettono l'intensificazione dell'attuazione delle politiche esistenti</w:t>
      </w:r>
      <w:r>
        <w:rPr>
          <w:rFonts w:ascii="Times New Roman" w:hAnsi="Times New Roman"/>
          <w:noProof/>
          <w:sz w:val="24"/>
        </w:rPr>
        <w:t xml:space="preserve"> in materia di interferenti endocrini.</w:t>
      </w:r>
    </w:p>
    <w:p>
      <w:pPr>
        <w:spacing w:after="0" w:line="240" w:lineRule="auto"/>
        <w:jc w:val="both"/>
        <w:rPr>
          <w:rFonts w:ascii="Times New Roman" w:hAnsi="Times New Roman" w:cs="Times New Roman"/>
          <w:noProof/>
          <w:sz w:val="24"/>
          <w:szCs w:val="24"/>
        </w:rPr>
      </w:pPr>
      <w:r>
        <w:rPr>
          <w:rFonts w:ascii="Times New Roman" w:hAnsi="Times New Roman"/>
          <w:noProof/>
          <w:sz w:val="24"/>
        </w:rPr>
        <w:t>La Commissione invita il Parlamento e il Consiglio a sostenere le iniziative delineate nella presente comunicazione e a contribuire al dibattito; analogamente, essa sollecita il contributo del Comitato economico e sociale europeo e del Comitato delle regioni.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Cfr. ad esempio il laboratorio tenutosi nel 1996,</w:t>
      </w:r>
      <w:r>
        <w:t xml:space="preserve"> </w:t>
      </w:r>
      <w:hyperlink r:id="rId1">
        <w:r>
          <w:rPr>
            <w:rStyle w:val="Hyperlink"/>
            <w:rFonts w:ascii="Times New Roman" w:hAnsi="Times New Roman"/>
            <w:i/>
          </w:rPr>
          <w:t>The Impact of Endocrine disruptors on Human Health and Wildlife</w:t>
        </w:r>
      </w:hyperlink>
      <w:r>
        <w:rPr>
          <w:rFonts w:ascii="Times New Roman" w:hAnsi="Times New Roman"/>
        </w:rPr>
        <w:t>, cofinanziato dalla Commissione europea.</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GU C 341 del 9.11.1998, pag. 37.</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Cfr. ad esempio le risoluzioni del Parlamento europeo del 14 marzo 2013 (P7_TA (2013) 0091) e dell'8 giugno 2016 (P8_TA (2016) 0270) e le conclusioni del Consiglio sulla protezione della salute umana e dell'ambiente mediante una sana gestione delle sostanze chimiche (19.12.2016).</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Decisione n. 1386/2013/UE del Parlamento europeo e del Consiglio, del 20 novembre 2013, su un programma generale di azione dell'Unione in materia di ambiente fino al 2020 (GU L 354 del 28.12.2013, pag. 171).</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Cfr. in particolare: </w:t>
      </w:r>
      <w:hyperlink r:id="rId2">
        <w:r>
          <w:rPr>
            <w:rStyle w:val="Hyperlink"/>
            <w:rFonts w:ascii="Times New Roman" w:hAnsi="Times New Roman"/>
          </w:rPr>
          <w:t>L'Agenda 2030 delle Nazioni Unite per lo sviluppo sostenibile</w:t>
        </w:r>
      </w:hyperlink>
      <w:r>
        <w:t xml:space="preserve"> </w:t>
      </w:r>
      <w:r>
        <w:rPr>
          <w:rFonts w:ascii="Times New Roman" w:hAnsi="Times New Roman"/>
        </w:rPr>
        <w:t xml:space="preserve">(2015), la </w:t>
      </w:r>
      <w:hyperlink r:id="rId3">
        <w:r>
          <w:rPr>
            <w:rStyle w:val="Hyperlink"/>
            <w:rFonts w:ascii="Times New Roman" w:hAnsi="Times New Roman"/>
          </w:rPr>
          <w:t>dichiarazione di Parma</w:t>
        </w:r>
      </w:hyperlink>
      <w:r>
        <w:t xml:space="preserve"> </w:t>
      </w:r>
      <w:r>
        <w:rPr>
          <w:rFonts w:ascii="Times New Roman" w:hAnsi="Times New Roman"/>
        </w:rPr>
        <w:t xml:space="preserve">(2010) e la </w:t>
      </w:r>
      <w:hyperlink r:id="rId4">
        <w:r>
          <w:rPr>
            <w:rStyle w:val="Hyperlink"/>
            <w:rFonts w:ascii="Times New Roman" w:hAnsi="Times New Roman"/>
          </w:rPr>
          <w:t>dichiarazione di Ostrava</w:t>
        </w:r>
      </w:hyperlink>
      <w:r>
        <w:rPr>
          <w:rFonts w:ascii="Times New Roman" w:hAnsi="Times New Roman"/>
        </w:rPr>
        <w:t xml:space="preserve"> (2017) dei paesi della regione europea dell'Organizzazione mondiale della sanità (in particolare, nella dichiarazione di Parma, gli interferenti endocrini sono stati inclusi nell'elenco delle </w:t>
      </w:r>
      <w:r>
        <w:rPr>
          <w:rFonts w:ascii="Times New Roman" w:hAnsi="Times New Roman"/>
          <w:i/>
        </w:rPr>
        <w:t>principali sfide ambientali e sanitarie attuali</w:t>
      </w:r>
      <w:r>
        <w:rPr>
          <w:rFonts w:ascii="Times New Roman" w:hAnsi="Times New Roman"/>
        </w:rPr>
        <w:t>) e le conclusioni della terza e quarta sessione della</w:t>
      </w:r>
      <w:r>
        <w:t xml:space="preserve"> </w:t>
      </w:r>
      <w:hyperlink r:id="rId5">
        <w:r>
          <w:rPr>
            <w:rStyle w:val="Hyperlink"/>
            <w:rFonts w:ascii="Times New Roman" w:hAnsi="Times New Roman"/>
          </w:rPr>
          <w:t>Conferenza internazionale sulla gestione delle sostanze chimiche</w:t>
        </w:r>
      </w:hyperlink>
      <w:r>
        <w:rPr>
          <w:rFonts w:ascii="Times New Roman" w:hAnsi="Times New Roman"/>
        </w:rPr>
        <w:t>.</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Programma internazionale per la sicurezza nel settore chimico (IPCS) (2002),</w:t>
      </w:r>
      <w:hyperlink r:id="rId6">
        <w:r>
          <w:rPr>
            <w:rStyle w:val="Hyperlink"/>
            <w:rFonts w:ascii="Times New Roman" w:hAnsi="Times New Roman"/>
            <w:i/>
          </w:rPr>
          <w:t xml:space="preserve"> Global Assessment of the state-of-the-science of Endocrine Disruptors</w:t>
        </w:r>
      </w:hyperlink>
      <w:r>
        <w:rPr>
          <w:rFonts w:ascii="Times New Roman" w:hAnsi="Times New Roman"/>
        </w:rPr>
        <w:t>.</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Programma delle Nazioni Unite per l'ambiente (UNEP) / Organizzazione mondiale per la sanità (OMS) (2012),</w:t>
      </w:r>
      <w:r>
        <w:t xml:space="preserve"> </w:t>
      </w:r>
      <w:hyperlink r:id="rId7">
        <w:r>
          <w:rPr>
            <w:rStyle w:val="Hyperlink"/>
            <w:rFonts w:ascii="Times New Roman" w:hAnsi="Times New Roman"/>
            <w:i/>
          </w:rPr>
          <w:t>State of the science of endocrine disrupting chemicals</w:t>
        </w:r>
      </w:hyperlink>
      <w:r>
        <w:rPr>
          <w:rFonts w:ascii="Times New Roman" w:hAnsi="Times New Roman"/>
        </w:rPr>
        <w:t>.</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Ormoni estrogeni, androgeni, tiroidei e steroidei.</w:t>
      </w:r>
    </w:p>
  </w:footnote>
  <w:footnote w:id="11">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UNEP/OMS (2012). Cfr. inoltre, ad esempio, Thrupp TJ et al. </w:t>
      </w:r>
      <w:r>
        <w:rPr>
          <w:rFonts w:ascii="Times New Roman" w:hAnsi="Times New Roman"/>
          <w:lang w:val="en-GB"/>
        </w:rPr>
        <w:t xml:space="preserve">(2018), </w:t>
      </w:r>
      <w:r>
        <w:rPr>
          <w:rFonts w:ascii="Times New Roman" w:hAnsi="Times New Roman"/>
          <w:i/>
          <w:lang w:val="en-GB"/>
        </w:rPr>
        <w:t>The consequences of exposure to mixtures of chemicals: Something from 'nothing' and 'a lot from a little' when fish are exposed to steroid hormones</w:t>
      </w:r>
      <w:r>
        <w:rPr>
          <w:rFonts w:ascii="Times New Roman" w:hAnsi="Times New Roman"/>
          <w:lang w:val="en-GB"/>
        </w:rPr>
        <w:t>, Science of the total environment, volumi 619-620, 1° aprile 2018, pagg. 1482-1492.</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L'Autorità europea per la sicurezza alimentare sta elaborando alcune</w:t>
      </w:r>
      <w:r>
        <w:t xml:space="preserve"> </w:t>
      </w:r>
      <w:hyperlink r:id="rId8">
        <w:r>
          <w:rPr>
            <w:rStyle w:val="Hyperlink"/>
            <w:rFonts w:ascii="Times New Roman" w:hAnsi="Times New Roman"/>
          </w:rPr>
          <w:t>linee guida</w:t>
        </w:r>
      </w:hyperlink>
      <w:r>
        <w:t xml:space="preserve"> </w:t>
      </w:r>
      <w:r>
        <w:rPr>
          <w:rFonts w:ascii="Times New Roman" w:hAnsi="Times New Roman"/>
        </w:rPr>
        <w:t>sulle metodologie armonizzate di valutazione dei rischi per la salute umana, la salute degli animali e la valutazione del rischio ecologico dell'esposizione combinata a più sostanze chimiche; EFSA (2013),</w:t>
      </w:r>
      <w:r>
        <w:t xml:space="preserve"> </w:t>
      </w:r>
      <w:hyperlink r:id="rId9">
        <w:r>
          <w:rPr>
            <w:rStyle w:val="Hyperlink"/>
            <w:rFonts w:ascii="Times New Roman" w:hAnsi="Times New Roman"/>
            <w:i/>
          </w:rPr>
          <w:t>Scientific Opinion on the identification of pesticides to be included in cumulative assessment groups on the basis of their toxicological profile</w:t>
        </w:r>
      </w:hyperlink>
      <w:r>
        <w:rPr>
          <w:rFonts w:ascii="Times New Roman" w:hAnsi="Times New Roman"/>
          <w:i/>
        </w:rPr>
        <w:t>.</w:t>
      </w:r>
    </w:p>
  </w:footnote>
  <w:footnote w:id="13">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Un altro esempio è la relazione dose-risposta relativa gli interferenti endocrini. Su tutti questi aspetti, cfr. in particolare: Centro comune di ricerca (JRC) (2013), </w:t>
      </w:r>
      <w:hyperlink r:id="rId10">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rPr>
          <w:rStyle w:val="Hyperlink"/>
          <w:rFonts w:ascii="Times New Roman" w:hAnsi="Times New Roman"/>
          <w:i/>
        </w:rPr>
        <w:t xml:space="preserve">; </w:t>
      </w:r>
      <w:r>
        <w:rPr>
          <w:rFonts w:ascii="Times New Roman" w:hAnsi="Times New Roman"/>
        </w:rPr>
        <w:t xml:space="preserve">JRC (2013), </w:t>
      </w:r>
      <w:hyperlink r:id="rId11">
        <w:r>
          <w:rPr>
            <w:rStyle w:val="Hyperlink"/>
            <w:rFonts w:ascii="Times New Roman" w:hAnsi="Times New Roman"/>
            <w:i/>
          </w:rPr>
          <w:t>Thresholds for Endocrine Disrupters and Related Uncertainties - Report of the Endocrine Disrupters Expert Advisory Group</w:t>
        </w:r>
      </w:hyperlink>
      <w:r>
        <w:rPr>
          <w:rFonts w:ascii="Times New Roman" w:hAnsi="Times New Roman"/>
        </w:rPr>
        <w:t xml:space="preserve">; Beausoleil et al. </w:t>
      </w:r>
      <w:r>
        <w:rPr>
          <w:rFonts w:ascii="Times New Roman" w:hAnsi="Times New Roman"/>
          <w:lang w:val="en-GB"/>
        </w:rPr>
        <w:t xml:space="preserve">(2016), </w:t>
      </w:r>
      <w:hyperlink r:id="rId12">
        <w:r>
          <w:rPr>
            <w:rStyle w:val="Hyperlink"/>
            <w:rFonts w:ascii="Times New Roman" w:hAnsi="Times New Roman"/>
            <w:i/>
            <w:lang w:val="en-GB"/>
          </w:rPr>
          <w:t>Review of non-monotonic dose-responses of substances for human risk assessment</w:t>
        </w:r>
      </w:hyperlink>
      <w:r>
        <w:rPr>
          <w:rStyle w:val="Hyperlink"/>
          <w:rFonts w:ascii="Times New Roman" w:hAnsi="Times New Roman"/>
          <w:color w:val="auto"/>
          <w:u w:val="none"/>
          <w:lang w:val="en-GB"/>
        </w:rPr>
        <w:t>;</w:t>
      </w:r>
      <w:r>
        <w:rPr>
          <w:rFonts w:ascii="Times New Roman" w:hAnsi="Times New Roman"/>
          <w:lang w:val="en-GB"/>
        </w:rPr>
        <w:t xml:space="preserve"> Solecki et al. (2017), </w:t>
      </w:r>
      <w:hyperlink r:id="rId13">
        <w:r>
          <w:rPr>
            <w:rStyle w:val="Hyperlink"/>
            <w:rFonts w:ascii="Times New Roman" w:hAnsi="Times New Roman"/>
            <w:i/>
            <w:lang w:val="en-GB"/>
          </w:rPr>
          <w:t>Scientific principles for the identification of endocrine-disrupting chemicals: a consensus statement</w:t>
        </w:r>
      </w:hyperlink>
      <w:r>
        <w:rPr>
          <w:rFonts w:ascii="Times New Roman" w:hAnsi="Times New Roman"/>
          <w:lang w:val="en-GB"/>
        </w:rPr>
        <w:t>.</w:t>
      </w:r>
      <w:r>
        <w:rPr>
          <w:rFonts w:ascii="Times New Roman" w:hAnsi="Times New Roman"/>
          <w:i/>
          <w:lang w:val="en-GB"/>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 linee guida per i metodi di prova relativi agli interferenti endocrini sono elencate nel</w:t>
      </w:r>
      <w:r>
        <w:t xml:space="preserve"> </w:t>
      </w:r>
      <w:hyperlink r:id="rId14">
        <w:r>
          <w:rPr>
            <w:rStyle w:val="Hyperlink"/>
            <w:rFonts w:ascii="Times New Roman" w:hAnsi="Times New Roman"/>
            <w:i/>
          </w:rPr>
          <w:t>Conceptual Framework for Testing and Assessment of Endocrine Disrupters</w:t>
        </w:r>
      </w:hyperlink>
      <w:r>
        <w:rPr>
          <w:rStyle w:val="Hyperlink"/>
          <w:rFonts w:ascii="Times New Roman" w:hAnsi="Times New Roman"/>
          <w:u w:val="none"/>
        </w:rPr>
        <w:t>.</w:t>
      </w:r>
    </w:p>
  </w:footnote>
  <w:footnote w:id="15">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EFSA (2013), </w:t>
      </w:r>
      <w:hyperlink r:id="rId15">
        <w:r>
          <w:rPr>
            <w:rStyle w:val="Hyperlink"/>
            <w:rFonts w:ascii="Times New Roman" w:hAnsi="Times New Roman"/>
            <w:i/>
            <w:lang w:val="en-GB"/>
          </w:rPr>
          <w:t>Scientific Opinion on the hazard assessment of endocrine disruptors: Scientific criteria for identification of endocrine disruptors and appropriateness of existing test methods for assessing effects mediated by these substances on human health and the environment</w:t>
        </w:r>
      </w:hyperlink>
      <w:r>
        <w:rPr>
          <w:rFonts w:ascii="Times New Roman" w:hAnsi="Times New Roman"/>
          <w:lang w:val="en-GB"/>
        </w:rPr>
        <w:t>.</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Ormoni estrogeni, androgeni, tiroidei e steroidei. </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Esistono orientamenti scientifici su come interpretare i risultati dei singoli test e raccogliere tutti gli elementi di prova disponibili su una sostanza per valutarne l'incidenza sull'interferenza endocrina. A livello internazionale, il riferimento è il documento dell'OCSE (2012),</w:t>
      </w:r>
      <w:r>
        <w:t xml:space="preserve"> </w:t>
      </w:r>
      <w:hyperlink r:id="rId16">
        <w:r>
          <w:rPr>
            <w:rStyle w:val="Hyperlink"/>
            <w:rFonts w:ascii="Times New Roman" w:hAnsi="Times New Roman"/>
            <w:i/>
          </w:rPr>
          <w:t>Guidance Document on Standardised Test Guidelines for Evaluating Chemicals for Endocrine Disruption</w:t>
        </w:r>
      </w:hyperlink>
      <w:r>
        <w:rPr>
          <w:rStyle w:val="Hyperlink"/>
          <w:rFonts w:ascii="Times New Roman" w:hAnsi="Times New Roman"/>
          <w:i/>
          <w:u w:val="none"/>
        </w:rPr>
        <w:t xml:space="preserve">. </w:t>
      </w:r>
      <w:r>
        <w:rPr>
          <w:rFonts w:ascii="Times New Roman" w:hAnsi="Times New Roman"/>
        </w:rPr>
        <w:t>A livello UE, esistono linee guida specifiche nel contesto dei diversi quadri giuridici.</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 esempio è il metodo comparativo ("read-across"), che consente di prevedere le informazioni riguardanti una sostanza utilizzando i dati relativi ad un'altra sostanza.</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Tra gli esempi figurano: </w:t>
      </w:r>
      <w:hyperlink r:id="rId17">
        <w:r>
          <w:rPr>
            <w:rStyle w:val="Hyperlink"/>
            <w:rFonts w:ascii="Times New Roman" w:hAnsi="Times New Roman"/>
            <w:i/>
          </w:rPr>
          <w:t>Setting priorities for further development and validation of test methods and testing approaches for evaluating endocrine disruptors</w:t>
        </w:r>
        <w:r>
          <w:rPr>
            <w:rStyle w:val="Hyperlink"/>
            <w:rFonts w:ascii="Times New Roman" w:hAnsi="Times New Roman"/>
            <w:i/>
            <w:u w:val="none"/>
          </w:rPr>
          <w:t xml:space="preserve"> </w:t>
        </w:r>
        <w:r>
          <w:rPr>
            <w:rStyle w:val="Hyperlink"/>
            <w:rFonts w:ascii="Times New Roman" w:hAnsi="Times New Roman"/>
            <w:color w:val="auto"/>
            <w:u w:val="none"/>
          </w:rPr>
          <w:t>(2018)</w:t>
        </w:r>
      </w:hyperlink>
      <w:r>
        <w:rPr>
          <w:rFonts w:ascii="Times New Roman" w:hAnsi="Times New Roman"/>
        </w:rPr>
        <w:t xml:space="preserve">; </w:t>
      </w:r>
      <w:r>
        <w:rPr>
          <w:rFonts w:ascii="Times New Roman" w:hAnsi="Times New Roman"/>
          <w:i/>
        </w:rPr>
        <w:t>Development of a study protocol for thyroid disruptor testing in the mammalian system</w:t>
      </w:r>
      <w:r>
        <w:rPr>
          <w:rFonts w:ascii="Times New Roman" w:hAnsi="Times New Roman"/>
        </w:rPr>
        <w:t xml:space="preserve"> (conclusione prevista per il 2019); </w:t>
      </w:r>
      <w:hyperlink r:id="rId18">
        <w:r>
          <w:rPr>
            <w:rStyle w:val="Hyperlink"/>
            <w:rFonts w:ascii="Times New Roman" w:hAnsi="Times New Roman"/>
            <w:i/>
          </w:rPr>
          <w:t>Validation study to assess in vitro methods for thyroid disruptors</w:t>
        </w:r>
      </w:hyperlink>
      <w:r>
        <w:rPr>
          <w:rFonts w:ascii="Times New Roman" w:hAnsi="Times New Roman"/>
        </w:rPr>
        <w:t xml:space="preserve"> (avviato nel 2017, in corso).</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Ad esempio, tramite il</w:t>
      </w:r>
      <w:r>
        <w:t xml:space="preserve"> </w:t>
      </w:r>
      <w:hyperlink r:id="rId19">
        <w:r>
          <w:rPr>
            <w:rStyle w:val="Hyperlink"/>
            <w:rFonts w:ascii="Times New Roman" w:hAnsi="Times New Roman"/>
          </w:rPr>
          <w:t>sistema di informazione rapida per i prodotti non alimentari pericolosi</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1107/2009 del Parlamento europeo e del Consiglio, del 21 ottobre 2009, relativo all'immissione sul mercato dei prodotti fitosanitari (GU L 309 del 24.11.2009, pag. 1).</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biocidi sono utilizzati per controllare gli organismi nocivi (ne sono un esempio i disinfettanti) – Regolamento (UE) n. 528/2012 del Parlamento europeo e del Consiglio, del 22 maggio 2012, relativo alla messa a disposizione sul mercato e all'uso dei biocidi (GU L 167 del 27.6.2012, pag. 1).</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1907/2006 del Parlamento europeo e del Consiglio, del 18 dicembre 2006, concernente la registrazione, la valutazione, l'autorizzazione e la restrizione delle sostanze chimiche (REACH) (GU L 396 del 30.12.2006, pag. 1).</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(UE) 2017/745 del Parlamento europeo e del Consiglio, del 5 aprile 2017, relativo ai dispositivi medici (GU L 117 del 5.5.2017, pag.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Direttiva 2000/60/CE del Parlamento europeo e del Consiglio, del 23 ottobre 2000, che istituisce un quadro per l'azione comunitaria in materia di acque (GU L 327 del 22.12.2000, pag. 1).</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1935/2004 del Parlamento europeo e del Consiglio, del 27 ottobre 2004, riguardante i materiali e gli oggetti destinati a venire a contatto con i prodotti alimentari (GU L 338 del 13.11.2004, pag. 4).</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(CE) n. 1223/2009 del Parlamento europeo e del Consiglio, del 30 novembre 2009, sui prodotti cosmetici (GU L 342 del 22.12.2009, pag. 59).</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2009/48/CE del Parlamento europeo e del Consiglio, del 18 giugno 2009, sulla sicurezza dei giocattoli (GU L 170 del 30.6.2009, pag. 1).</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Cfr. in particolare la direttiva 98/24/CE del Consiglio del 7 aprile 1998 sulla protezione della salute e della sicurezza dei lavoratori contro i rischi derivanti da agenti chimici durante il lavoro (GU L 131 del 5.5.1998, pag. 11) e la direttiva n. 2004/37/CE del Parlamento europeo e del Consiglio, del 29 aprile 2004, sulla protezione dei lavoratori contro i rischi derivanti da un'esposizione ad agenti cancerogeni o mutageni durante il lavoro (GU L 158 del 30.4.2004, pag. 50).</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delegato (UE) 2017/2100 della Commissione (GU L 301 del 17.11.2017, pag. 1) e regolamento (UE) 2018/605 della Commissione (GU L 101 del 20.4.2018, pag. 33).</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w:t>
      </w:r>
      <w:r>
        <w:rPr>
          <w:rFonts w:ascii="Times New Roman" w:hAnsi="Times New Roman"/>
          <w:i/>
        </w:rPr>
        <w:t>elenco delle sostanze soggette ad autorizzazione</w:t>
      </w:r>
      <w:r>
        <w:rPr>
          <w:rFonts w:ascii="Times New Roman" w:hAnsi="Times New Roman"/>
        </w:rPr>
        <w:t xml:space="preserve"> di cui all'allegato XIV del regolamento REACH. Tra le sostanze in questione figurano ad esempio alcuni ftalati ed etossilati di nonilfenolo e ottilfenolo.</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Maggiori informazioni sull'</w:t>
      </w:r>
      <w:r>
        <w:rPr>
          <w:rFonts w:ascii="Times New Roman" w:hAnsi="Times New Roman"/>
          <w:i/>
        </w:rPr>
        <w:t>elenco delle sostanze candidate</w:t>
      </w:r>
      <w:r>
        <w:rPr>
          <w:rFonts w:ascii="Times New Roman" w:hAnsi="Times New Roman"/>
        </w:rPr>
        <w:t xml:space="preserve"> sono disponibili sul</w:t>
      </w:r>
      <w:r>
        <w:t xml:space="preserve"> </w:t>
      </w:r>
      <w:hyperlink r:id="rId20">
        <w:r>
          <w:rPr>
            <w:rStyle w:val="Hyperlink"/>
            <w:rFonts w:ascii="Times New Roman" w:hAnsi="Times New Roman"/>
          </w:rPr>
          <w:t>sito web</w:t>
        </w:r>
      </w:hyperlink>
      <w:r>
        <w:t xml:space="preserve"> </w:t>
      </w:r>
      <w:r>
        <w:rPr>
          <w:rFonts w:ascii="Times New Roman" w:hAnsi="Times New Roman"/>
        </w:rPr>
        <w:t>dell'Agenzia europea per le sostanze chimiche.</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Allegato XVII del regolamento REACH.</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L'11 luglio 2018 il comitato REACH, composto di esperti di tutti gli Stati membri, ha espresso all'unanimità</w:t>
      </w:r>
      <w:r>
        <w:t xml:space="preserve"> </w:t>
      </w:r>
      <w:hyperlink r:id="rId21">
        <w:r>
          <w:rPr>
            <w:rStyle w:val="Hyperlink"/>
            <w:rFonts w:ascii="Times New Roman" w:hAnsi="Times New Roman"/>
          </w:rPr>
          <w:t>parere favorevole</w:t>
        </w:r>
      </w:hyperlink>
      <w:r>
        <w:t xml:space="preserve"> </w:t>
      </w:r>
      <w:r>
        <w:rPr>
          <w:rFonts w:ascii="Times New Roman" w:hAnsi="Times New Roman"/>
        </w:rPr>
        <w:t xml:space="preserve">rispetto alla misura proposta. </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Bis(2-etilesil)ftalato,</w:t>
      </w:r>
      <w:r>
        <w:t xml:space="preserve"> </w:t>
      </w:r>
      <w:hyperlink r:id="rId22">
        <w:r>
          <w:rPr>
            <w:rFonts w:ascii="Times New Roman" w:hAnsi="Times New Roman"/>
          </w:rPr>
          <w:t>benzilbutilftalato</w:t>
        </w:r>
      </w:hyperlink>
      <w:r>
        <w:rPr>
          <w:rFonts w:ascii="Times New Roman" w:hAnsi="Times New Roman"/>
        </w:rPr>
        <w:t>, dibutilftalato e diisobutilftalato.</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Ad esempio i composti di difeniletere bromato, bis-2-etilesilftalato e tributilstagno.</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Modificato da ultimo dalla direttiva 2013/39/UE del Parlamento europeo e del Consiglio, del 12 agosto 2013, che modifica le direttive 2000/60/CE e 2008/105/CE per quanto riguarda le sostanze prioritarie nel settore della politica delle acque (GU L 226 del 24.8.2013, pag. 1).</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Strong"/>
          <w:rFonts w:ascii="Times New Roman" w:hAnsi="Times New Roman"/>
          <w:b w:val="0"/>
        </w:rPr>
        <w:t xml:space="preserve">Decisione di esecuzione (UE) 2018/840 della Commissione (GU L 141 del 7.6.2018, pag. 9). Le sostanze sono: </w:t>
      </w:r>
      <w:r>
        <w:rPr>
          <w:rFonts w:ascii="Times New Roman" w:hAnsi="Times New Roman"/>
        </w:rPr>
        <w:t>17-alfa-etinilestradiolo (EE2), 17-beta-estradiolo (E2) e estrone (E1).</w:t>
      </w:r>
      <w:r>
        <w:rPr>
          <w:rStyle w:val="Strong"/>
          <w:rFonts w:ascii="Times New Roman" w:hAnsi="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(UE) 10/2011 della Commissione (GU L 12 del 15.1.2011, pag. 1) e regolamento (UE) 2018/213 della Commissione (GU L 41 del 14.2.2018, pag. 6).</w:t>
      </w:r>
    </w:p>
  </w:footnote>
  <w:footnote w:id="4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(UE) 2017/898 della Commissione (GU L 138 del 25.5.2017, pag. 128).</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Regolamento (UE) 2016/2235 della Commissione (GU L 337 del 13.12.2016, pag. 3)</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Direttiva 2009/161/UE della Commissione (GU L 338 del 19.12.2009, pag. 87) e direttiva (UE) 2017/164 della Commissione (GU L 27 del 1.2.2017, pag. 115). L'ultima revisione si basa sulla raccomandazione del 2014 del Comitato scientifico per i limiti dell'esposizione professionale agli agenti chimici (SCOEL/SUM/113).</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Alcuni cosiddetti "parabeni", con il regolamento (UE) n. 358/2014 della Commissione (GU L 107 del 10.4.2014, pag. 5) e il regolamento (UE) n. 1004/2014 della Commissione (GU L 282 del 26.9.2014, pag. 5).</w:t>
      </w:r>
    </w:p>
  </w:footnote>
  <w:footnote w:id="4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3-benzilidene canfora - regolamento (UE) 2015/1298 della Commissione (GU L 199 del 29.7.2015, pag. 22) a seguito del parere formulato dal comitato scientifico della sicurezza dei consumatori, SCCS/1513/13.</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 "schede dei dati di sicurezza" sono documenti forniti agli utilizzatori a valle che contengono informazioni sulle proprietà delle sostanze o delle miscele. Cfr. la revisione del regolamento REACH (COM (2018) 116).</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 (2018) 28 e COM (2018) 32 – seguito del piano d'azione per l'economia circolare COM (2015) 614.</w:t>
      </w:r>
    </w:p>
  </w:footnote>
  <w:footnote w:id="48">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 753. </w:t>
      </w:r>
    </w:p>
  </w:footnote>
  <w:footnote w:id="49">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Beta-estradiolo, nonilfenolo e bisfenolo A.</w:t>
      </w:r>
    </w:p>
  </w:footnote>
  <w:footnote w:id="50">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 particolare, la proposta della Commissione di un regolamento sulla conformità alla normativa di armonizzazione dell'Unione e sulla sua applicazione (COM (2017) 795).</w:t>
      </w:r>
    </w:p>
  </w:footnote>
  <w:footnote w:id="5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 un esercizio di sorveglianza del mercato coordinato nel 2018 dal Forum per lo scambio di informazioni sull'applicazione dell'Agenzia europea per le sostanze chimiche (Forum REF-4 Project Report - </w:t>
      </w:r>
      <w:hyperlink r:id="rId23">
        <w:r>
          <w:rPr>
            <w:rStyle w:val="Hyperlink"/>
            <w:rFonts w:ascii="Times New Roman" w:hAnsi="Times New Roman"/>
          </w:rPr>
          <w:t>Harmonised Enforcement Project on Restrictions</w:t>
        </w:r>
      </w:hyperlink>
      <w:r>
        <w:rPr>
          <w:rFonts w:ascii="Times New Roman" w:hAnsi="Times New Roman"/>
        </w:rPr>
        <w:t xml:space="preserve">, ECHA-18-R-03-EN) è emerso che il 19,7 % dei giocattoli ispezionati e il 3,6 % degli articoli per l'infanzia ispezionati contenevano livelli di ftalati non conformi alla normativa (provenienti soprattutto da paesi esterni allo Spazio economico europeo o di origine ignota). Nel 2017 gli Stati membri si sono scambiati, mediante il sistema di allarme rapido per prodotti pericolosi non alimentari, più di 170 notifiche relative a prodotti non conformi. </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Come sopra indicato, i criteri per individuare gli interferenti endocrini in base alla legislazione sui pesticidi e sui biocidi si basano sulla definizione dell'Organizzazione mondiale della sanità.</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 citi ad esempio il caso in cui sono stati elaborati criteri per individuare interferenti endocrini in base alla legislazione sui pesticidi e sui biocidi.</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L'Agenzia per la protezione dell'ambiente (EPA) degli Stati Uniti gestisce il programma </w:t>
      </w:r>
      <w:r>
        <w:rPr>
          <w:rFonts w:ascii="Times New Roman" w:hAnsi="Times New Roman"/>
          <w:i/>
        </w:rPr>
        <w:t>Endocrine Disruptor Screening</w:t>
      </w:r>
      <w:r>
        <w:rPr>
          <w:rFonts w:ascii="Times New Roman" w:hAnsi="Times New Roman"/>
        </w:rPr>
        <w:t>. In Giappone il ministero della Salute, del lavoro e delle prestazioni sociali ha istituito un comitato per gli effetti delle sostanze che alterano il sistema endocrino in seno al comitato della salute.</w:t>
      </w:r>
    </w:p>
  </w:footnote>
  <w:footnote w:id="5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Articolo 1, paragrafo 4, del regolamento (CE) n. 1107/2009 e articolo 1, paragrafo 1, del regolamento (UE) n. 528/2012.</w:t>
      </w:r>
    </w:p>
  </w:footnote>
  <w:footnote w:id="5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Ad esempio, la</w:t>
      </w:r>
      <w:r>
        <w:t xml:space="preserve"> </w:t>
      </w:r>
      <w:hyperlink r:id="rId24">
        <w:r>
          <w:rPr>
            <w:rStyle w:val="Hyperlink"/>
            <w:rFonts w:ascii="Times New Roman" w:hAnsi="Times New Roman"/>
          </w:rPr>
          <w:t>valutazione REFIT del regolamento REACH</w:t>
        </w:r>
      </w:hyperlink>
      <w:r>
        <w:rPr>
          <w:rFonts w:ascii="Times New Roman" w:hAnsi="Times New Roman"/>
        </w:rPr>
        <w:t xml:space="preserve">, </w:t>
      </w:r>
      <w:hyperlink r:id="rId25">
        <w:r>
          <w:rPr>
            <w:rStyle w:val="Hyperlink"/>
            <w:rFonts w:ascii="Times New Roman" w:hAnsi="Times New Roman"/>
          </w:rPr>
          <w:t>il riesame del regolamento REACH sull'iter di autorizzazione delle sostanze aventi proprietà di interferenza endocrina ai sensi dell'articolo 138, paragrafo 7, del regolamento REACH,</w:t>
        </w:r>
      </w:hyperlink>
      <w:r>
        <w:rPr>
          <w:rFonts w:ascii="Times New Roman" w:hAnsi="Times New Roman"/>
        </w:rPr>
        <w:t xml:space="preserve">il </w:t>
      </w:r>
      <w:hyperlink r:id="rId26">
        <w:r>
          <w:rPr>
            <w:rStyle w:val="Hyperlink"/>
            <w:rFonts w:ascii="Times New Roman" w:hAnsi="Times New Roman"/>
          </w:rPr>
          <w:t>controllo dell'adeguatezza della legislazione sulle sostanze chimiche</w:t>
        </w:r>
      </w:hyperlink>
      <w:r>
        <w:rPr>
          <w:rFonts w:ascii="Times New Roman" w:hAnsi="Times New Roman"/>
        </w:rPr>
        <w:t>, la</w:t>
      </w:r>
      <w:r>
        <w:t xml:space="preserve"> </w:t>
      </w:r>
      <w:hyperlink r:id="rId27">
        <w:r>
          <w:rPr>
            <w:rStyle w:val="Hyperlink"/>
            <w:rFonts w:ascii="Times New Roman" w:hAnsi="Times New Roman"/>
          </w:rPr>
          <w:t>valutazione del quadro giuridico sui pesticidi</w:t>
        </w:r>
      </w:hyperlink>
      <w:r>
        <w:rPr>
          <w:rFonts w:ascii="Times New Roman" w:hAnsi="Times New Roman"/>
        </w:rPr>
        <w:t xml:space="preserve">, la </w:t>
      </w:r>
      <w:hyperlink r:id="rId28">
        <w:r>
          <w:rPr>
            <w:rStyle w:val="Hyperlink"/>
            <w:rFonts w:ascii="Times New Roman" w:hAnsi="Times New Roman"/>
          </w:rPr>
          <w:t>valutazione del 7º programma di azione per l'ambiente</w:t>
        </w:r>
      </w:hyperlink>
      <w:r>
        <w:rPr>
          <w:rStyle w:val="Hyperlink"/>
          <w:rFonts w:ascii="Times New Roman" w:hAnsi="Times New Roman"/>
          <w:color w:val="auto"/>
          <w:u w:val="none"/>
        </w:rPr>
        <w:t>, il</w:t>
      </w:r>
      <w:r>
        <w:t xml:space="preserve"> </w:t>
      </w:r>
      <w:hyperlink r:id="rId29" w:anchor="scope_of_the_fitness_check">
        <w:r>
          <w:rPr>
            <w:rStyle w:val="Hyperlink"/>
            <w:rFonts w:ascii="Times New Roman" w:hAnsi="Times New Roman"/>
          </w:rPr>
          <w:t>controllo dell'adeguatezza della legislazione sulle acque</w:t>
        </w:r>
      </w:hyperlink>
      <w:r>
        <w:rPr>
          <w:rFonts w:ascii="Times New Roman" w:hAnsi="Times New Roman"/>
        </w:rPr>
        <w:t xml:space="preserve">, </w:t>
      </w:r>
      <w:hyperlink r:id="rId30">
        <w:r>
          <w:rPr>
            <w:rStyle w:val="Hyperlink"/>
            <w:rFonts w:ascii="Times New Roman" w:hAnsi="Times New Roman"/>
          </w:rPr>
          <w:t>la valutazione della legislazione sui materiali a contatto con i prodotti alimentari</w:t>
        </w:r>
      </w:hyperlink>
      <w:r>
        <w:rPr>
          <w:rStyle w:val="Hyperlink"/>
          <w:rFonts w:ascii="Times New Roman" w:hAnsi="Times New Roman"/>
          <w:u w:val="none"/>
        </w:rPr>
        <w:t xml:space="preserve"> </w:t>
      </w:r>
      <w:r>
        <w:rPr>
          <w:rFonts w:ascii="Times New Roman" w:hAnsi="Times New Roman"/>
        </w:rPr>
        <w:t xml:space="preserve">e la </w:t>
      </w:r>
      <w:hyperlink r:id="rId31">
        <w:r>
          <w:rPr>
            <w:rStyle w:val="Hyperlink"/>
            <w:rFonts w:ascii="Times New Roman" w:hAnsi="Times New Roman"/>
          </w:rPr>
          <w:t>valutazione della legislazione sulla sicurezza dei giocattoli</w:t>
        </w:r>
      </w:hyperlink>
      <w:r>
        <w:rPr>
          <w:rStyle w:val="Hyperlink"/>
          <w:rFonts w:ascii="Times New Roman" w:hAnsi="Times New Roman"/>
          <w:color w:val="auto"/>
          <w:u w:val="none"/>
        </w:rPr>
        <w:t>.</w:t>
      </w: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 (2018) 435 e COM (2018) 436. Cfr. in particolare, nel secondo pilastro – "Sfide globali e competitività industriale" – il polo tematico "Sanità" (con una dotazione di bilancio proposta di 7,7 miliardi di EUR) e le "Azioni dirette non nucleari del Centro comune di ricerca" (con una dotazione di bilancio proposta di 2,2 miliardi di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D58DDC-994F-4D49-808D-FE4D3E53AD19"/>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erso un quadro completo dell'Unione europea in materia di interferenti endocrini"/>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it-I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it-I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044410135">
          <w:marLeft w:val="0"/>
          <w:marRight w:val="0"/>
          <w:marTop w:val="0"/>
          <w:marBottom w:val="0"/>
          <w:divBdr>
            <w:top w:val="none" w:sz="0" w:space="0" w:color="auto"/>
            <w:left w:val="none" w:sz="0" w:space="0" w:color="auto"/>
            <w:bottom w:val="none" w:sz="0" w:space="0" w:color="auto"/>
            <w:right w:val="none" w:sz="0" w:space="0" w:color="auto"/>
          </w:divBdr>
        </w:div>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40835928">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54620654">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362583842">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1774931287">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771390091">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114909535">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859851418">
          <w:marLeft w:val="0"/>
          <w:marRight w:val="0"/>
          <w:marTop w:val="0"/>
          <w:marBottom w:val="0"/>
          <w:divBdr>
            <w:top w:val="none" w:sz="0" w:space="0" w:color="auto"/>
            <w:left w:val="none" w:sz="0" w:space="0" w:color="auto"/>
            <w:bottom w:val="none" w:sz="0" w:space="0" w:color="auto"/>
            <w:right w:val="none" w:sz="0" w:space="0" w:color="auto"/>
          </w:divBdr>
        </w:div>
        <w:div w:id="1177423237">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55415645">
          <w:marLeft w:val="0"/>
          <w:marRight w:val="0"/>
          <w:marTop w:val="0"/>
          <w:marBottom w:val="0"/>
          <w:divBdr>
            <w:top w:val="none" w:sz="0" w:space="0" w:color="auto"/>
            <w:left w:val="none" w:sz="0" w:space="0" w:color="auto"/>
            <w:bottom w:val="none" w:sz="0" w:space="0" w:color="auto"/>
            <w:right w:val="none" w:sz="0" w:space="0" w:color="auto"/>
          </w:divBdr>
        </w:div>
        <w:div w:id="1164468629">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310521872">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413279342">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1118137491">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 w:id="2121682198">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45686207">
          <w:marLeft w:val="0"/>
          <w:marRight w:val="0"/>
          <w:marTop w:val="0"/>
          <w:marBottom w:val="0"/>
          <w:divBdr>
            <w:top w:val="none" w:sz="0" w:space="0" w:color="auto"/>
            <w:left w:val="none" w:sz="0" w:space="0" w:color="auto"/>
            <w:bottom w:val="none" w:sz="0" w:space="0" w:color="auto"/>
            <w:right w:val="none" w:sz="0" w:space="0" w:color="auto"/>
          </w:divBdr>
        </w:div>
        <w:div w:id="1120416905">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1038504799">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204945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en"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EN/ALL/?uri=COM:2016:814: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012)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en"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en"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2A93-D117-4A39-B02F-936DD4CB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4985</Words>
  <Characters>30710</Characters>
  <Application>Microsoft Office Word</Application>
  <DocSecurity>0</DocSecurity>
  <Lines>445</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2018-10-16T16:23:00Z</cp:lastPrinted>
  <dcterms:created xsi:type="dcterms:W3CDTF">2018-11-14T14:37:00Z</dcterms:created>
  <dcterms:modified xsi:type="dcterms:W3CDTF">2018-11-14T14:51:00Z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