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F0BA002A-3AB8-4AD1-A932-7190C5AC79CA" style="width:450.75pt;height:420.75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after="240" w:line="240" w:lineRule="auto"/>
        <w:jc w:val="center"/>
        <w:rPr>
          <w:rFonts w:ascii="Times New Roman" w:hAnsi="Times New Roman" w:cs="Times New Roman"/>
          <w:b/>
          <w:noProof/>
          <w:color w:val="000000" w:themeColor="text1"/>
          <w:sz w:val="24"/>
          <w:szCs w:val="24"/>
          <w:u w:val="single"/>
        </w:rPr>
      </w:pPr>
      <w:bookmarkStart w:id="1" w:name="_GoBack"/>
      <w:bookmarkEnd w:id="1"/>
      <w:r>
        <w:rPr>
          <w:rFonts w:ascii="Times New Roman" w:hAnsi="Times New Roman"/>
          <w:b/>
          <w:noProof/>
          <w:color w:val="000000" w:themeColor="text1"/>
          <w:sz w:val="24"/>
          <w:u w:val="single"/>
        </w:rPr>
        <w:lastRenderedPageBreak/>
        <w:t>ZAŁĄCZNIK 1</w:t>
      </w:r>
    </w:p>
    <w:p>
      <w:pPr>
        <w:spacing w:after="240" w:line="240" w:lineRule="auto"/>
        <w:jc w:val="center"/>
        <w:rPr>
          <w:rFonts w:ascii="Times New Roman Bold" w:hAnsi="Times New Roman Bold" w:cs="Times New Roman"/>
          <w:b/>
          <w:noProof/>
          <w:color w:val="000000" w:themeColor="text1"/>
          <w:sz w:val="24"/>
          <w:szCs w:val="24"/>
        </w:rPr>
      </w:pPr>
      <w:r>
        <w:rPr>
          <w:rFonts w:ascii="Times New Roman Bold" w:hAnsi="Times New Roman Bold"/>
          <w:b/>
          <w:noProof/>
          <w:color w:val="000000" w:themeColor="text1"/>
          <w:sz w:val="24"/>
        </w:rPr>
        <w:t>Stan prac ustawodawczych dotyczących strategii jednolitego rynku, strategii jednolitego rynku cyfrowego oraz unii rynków kapitałowych / unii bankowej</w:t>
      </w:r>
      <w:r>
        <w:rPr>
          <w:rStyle w:val="FootnoteReference"/>
          <w:rFonts w:ascii="Times New Roman Bold" w:hAnsi="Times New Roman Bold"/>
          <w:b/>
          <w:noProof/>
          <w:color w:val="000000" w:themeColor="text1"/>
          <w:sz w:val="24"/>
        </w:rPr>
        <w:footnoteReference w:id="2"/>
      </w:r>
    </w:p>
    <w:tbl>
      <w:tblPr>
        <w:tblStyle w:val="TableGrid"/>
        <w:tblW w:w="8504" w:type="dxa"/>
        <w:jc w:val="center"/>
        <w:tblLayout w:type="fixed"/>
        <w:tblLook w:val="04A0" w:firstRow="1" w:lastRow="0" w:firstColumn="1" w:lastColumn="0" w:noHBand="0" w:noVBand="1"/>
      </w:tblPr>
      <w:tblGrid>
        <w:gridCol w:w="566"/>
        <w:gridCol w:w="3867"/>
        <w:gridCol w:w="1851"/>
        <w:gridCol w:w="2220"/>
      </w:tblGrid>
      <w:tr>
        <w:trPr>
          <w:trHeight w:hRule="exact" w:val="1464"/>
          <w:jc w:val="center"/>
        </w:trPr>
        <w:tc>
          <w:tcPr>
            <w:tcW w:w="566" w:type="dxa"/>
            <w:tcBorders>
              <w:right w:val="nil"/>
            </w:tcBorders>
            <w:vAlign w:val="center"/>
          </w:tcPr>
          <w:p>
            <w:pPr>
              <w:ind w:left="360"/>
              <w:jc w:val="center"/>
              <w:rPr>
                <w:rFonts w:ascii="Times New Roman" w:hAnsi="Times New Roman" w:cs="Times New Roman"/>
                <w:b/>
                <w:noProof/>
                <w:color w:val="003399"/>
              </w:rPr>
            </w:pPr>
          </w:p>
        </w:tc>
        <w:tc>
          <w:tcPr>
            <w:tcW w:w="3867" w:type="dxa"/>
            <w:tcBorders>
              <w:left w:val="nil"/>
            </w:tcBorders>
            <w:vAlign w:val="center"/>
          </w:tcPr>
          <w:p>
            <w:pPr>
              <w:jc w:val="center"/>
              <w:rPr>
                <w:rFonts w:ascii="Times New Roman" w:hAnsi="Times New Roman" w:cs="Times New Roman"/>
                <w:b/>
                <w:noProof/>
                <w:color w:val="000066"/>
                <w:sz w:val="28"/>
                <w:szCs w:val="28"/>
              </w:rPr>
            </w:pPr>
            <w:r>
              <w:rPr>
                <w:rFonts w:ascii="Times New Roman" w:hAnsi="Times New Roman"/>
                <w:b/>
                <w:noProof/>
                <w:color w:val="000066"/>
                <w:sz w:val="28"/>
              </w:rPr>
              <w:t>OPIS POLITYKI</w:t>
            </w:r>
          </w:p>
        </w:tc>
        <w:tc>
          <w:tcPr>
            <w:tcW w:w="1851" w:type="dxa"/>
            <w:vAlign w:val="center"/>
          </w:tcPr>
          <w:p>
            <w:pPr>
              <w:tabs>
                <w:tab w:val="left" w:pos="720"/>
              </w:tabs>
              <w:jc w:val="center"/>
              <w:rPr>
                <w:rFonts w:ascii="Times New Roman" w:hAnsi="Times New Roman" w:cs="Times New Roman"/>
                <w:noProof/>
              </w:rPr>
            </w:pPr>
            <w:r>
              <w:rPr>
                <w:rFonts w:ascii="Times New Roman" w:hAnsi="Times New Roman" w:cs="Times New Roman"/>
                <w:noProof/>
              </w:rPr>
              <w:object w:dxaOrig="3225" w:dyaOrig="1920">
                <v:shape id="_x0000_i1026" type="#_x0000_t75" style="width:1in;height:42.75pt" o:ole="">
                  <v:imagedata r:id="rId19" o:title=""/>
                </v:shape>
                <o:OLEObject Type="Embed" ProgID="PBrush" ShapeID="_x0000_i1026" DrawAspect="Content" ObjectID="_1604826218" r:id="rId20"/>
              </w:object>
            </w:r>
          </w:p>
          <w:p>
            <w:pPr>
              <w:tabs>
                <w:tab w:val="left" w:pos="720"/>
              </w:tabs>
              <w:jc w:val="center"/>
              <w:rPr>
                <w:rFonts w:ascii="Times New Roman" w:hAnsi="Times New Roman" w:cs="Times New Roman"/>
                <w:noProof/>
                <w:sz w:val="20"/>
                <w:szCs w:val="20"/>
              </w:rPr>
            </w:pPr>
            <w:r>
              <w:rPr>
                <w:rFonts w:ascii="Times New Roman" w:hAnsi="Times New Roman"/>
                <w:noProof/>
                <w:sz w:val="20"/>
              </w:rPr>
              <w:t xml:space="preserve">PARLAMENT </w:t>
            </w:r>
          </w:p>
          <w:p>
            <w:pPr>
              <w:tabs>
                <w:tab w:val="left" w:pos="720"/>
              </w:tabs>
              <w:jc w:val="center"/>
              <w:rPr>
                <w:rFonts w:ascii="Times New Roman" w:hAnsi="Times New Roman" w:cs="Times New Roman"/>
                <w:b/>
                <w:noProof/>
                <w:color w:val="000000" w:themeColor="text1"/>
                <w:sz w:val="20"/>
                <w:szCs w:val="20"/>
              </w:rPr>
            </w:pPr>
            <w:r>
              <w:rPr>
                <w:rFonts w:ascii="Times New Roman" w:hAnsi="Times New Roman"/>
                <w:noProof/>
                <w:sz w:val="20"/>
              </w:rPr>
              <w:t>EUROPEJSKI</w:t>
            </w:r>
          </w:p>
        </w:tc>
        <w:tc>
          <w:tcPr>
            <w:tcW w:w="2220" w:type="dxa"/>
            <w:vAlign w:val="center"/>
          </w:tcPr>
          <w:p>
            <w:pPr>
              <w:jc w:val="center"/>
              <w:rPr>
                <w:rFonts w:ascii="Times New Roman" w:hAnsi="Times New Roman" w:cs="Times New Roman"/>
                <w:noProof/>
              </w:rPr>
            </w:pPr>
            <w:r>
              <w:rPr>
                <w:rFonts w:ascii="Times New Roman" w:hAnsi="Times New Roman" w:cs="Times New Roman"/>
                <w:noProof/>
              </w:rPr>
              <w:object w:dxaOrig="2805" w:dyaOrig="2490">
                <v:shape id="_x0000_i1027" type="#_x0000_t75" style="width:50.25pt;height:42.75pt" o:ole="">
                  <v:imagedata r:id="rId21" o:title=""/>
                </v:shape>
                <o:OLEObject Type="Embed" ProgID="PBrush" ShapeID="_x0000_i1027" DrawAspect="Content" ObjectID="_1604826219" r:id="rId22"/>
              </w:object>
            </w:r>
          </w:p>
          <w:p>
            <w:pPr>
              <w:jc w:val="center"/>
              <w:rPr>
                <w:rFonts w:ascii="Times New Roman" w:hAnsi="Times New Roman" w:cs="Times New Roman"/>
                <w:noProof/>
                <w:color w:val="000000" w:themeColor="text1"/>
                <w:sz w:val="20"/>
                <w:szCs w:val="20"/>
              </w:rPr>
            </w:pPr>
            <w:r>
              <w:rPr>
                <w:rFonts w:ascii="Times New Roman" w:hAnsi="Times New Roman"/>
                <w:noProof/>
                <w:sz w:val="20"/>
              </w:rPr>
              <w:t>RADA UNII EUROPEJSKIEJ</w:t>
            </w:r>
          </w:p>
        </w:tc>
      </w:tr>
      <w:tr>
        <w:trPr>
          <w:trHeight w:hRule="exact" w:val="560"/>
          <w:jc w:val="center"/>
        </w:trPr>
        <w:tc>
          <w:tcPr>
            <w:tcW w:w="8504" w:type="dxa"/>
            <w:gridSpan w:val="4"/>
            <w:shd w:val="clear" w:color="auto" w:fill="D9D9D9" w:themeFill="background1" w:themeFillShade="D9"/>
            <w:vAlign w:val="center"/>
          </w:tcPr>
          <w:p>
            <w:pPr>
              <w:rPr>
                <w:rFonts w:ascii="Times New Roman" w:hAnsi="Times New Roman" w:cs="Times New Roman"/>
                <w:noProof/>
                <w:color w:val="000066"/>
                <w:sz w:val="28"/>
                <w:szCs w:val="28"/>
              </w:rPr>
            </w:pPr>
            <w:r>
              <w:rPr>
                <w:rFonts w:ascii="Times New Roman" w:hAnsi="Times New Roman"/>
                <w:b/>
                <w:noProof/>
                <w:color w:val="000066"/>
                <w:sz w:val="28"/>
              </w:rPr>
              <w:t>STRATEGIA JEDNOLITEGO RYNKU</w:t>
            </w:r>
          </w:p>
        </w:tc>
      </w:tr>
      <w:tr>
        <w:trPr>
          <w:trHeight w:hRule="exact" w:val="56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Jednolity portal cyfrowy</w:t>
            </w:r>
          </w:p>
        </w:tc>
        <w:tc>
          <w:tcPr>
            <w:tcW w:w="1851" w:type="dxa"/>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Procedura notyfikacyjna</w:t>
            </w:r>
          </w:p>
        </w:tc>
        <w:tc>
          <w:tcPr>
            <w:tcW w:w="1851" w:type="dxa"/>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Narzędzie informacyjne dotyczące jednolitego rynku (SMIT)</w:t>
            </w:r>
          </w:p>
        </w:tc>
        <w:tc>
          <w:tcPr>
            <w:tcW w:w="1851" w:type="dxa"/>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Pakiet towarowy (wzajemne uznanie)</w:t>
            </w:r>
          </w:p>
        </w:tc>
        <w:tc>
          <w:tcPr>
            <w:tcW w:w="1851" w:type="dxa"/>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Pakiet towarowy (zgodność i wykonanie)</w:t>
            </w:r>
          </w:p>
        </w:tc>
        <w:tc>
          <w:tcPr>
            <w:tcW w:w="1851" w:type="dxa"/>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9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Dodatkowe świadectwo ochronne – zwolnienie dotyczące wytwarzania</w:t>
            </w:r>
          </w:p>
        </w:tc>
        <w:tc>
          <w:tcPr>
            <w:tcW w:w="1851" w:type="dxa"/>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0"/>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e-karta</w:t>
            </w:r>
          </w:p>
        </w:tc>
        <w:tc>
          <w:tcPr>
            <w:tcW w:w="1851" w:type="dxa"/>
            <w:tcBorders>
              <w:bottom w:val="single" w:sz="4" w:space="0" w:color="auto"/>
            </w:tcBorders>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Rozporządzenie w sprawie transgranicznych usług doręczania paczek</w:t>
            </w:r>
          </w:p>
        </w:tc>
        <w:tc>
          <w:tcPr>
            <w:tcW w:w="1851" w:type="dxa"/>
            <w:tcBorders>
              <w:bottom w:val="single" w:sz="4" w:space="0" w:color="auto"/>
            </w:tcBorders>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846"/>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Analiza proporcjonalności przed przyjęciem nowych regulacji dotyczących zawodów</w:t>
            </w:r>
          </w:p>
        </w:tc>
        <w:tc>
          <w:tcPr>
            <w:tcW w:w="1851" w:type="dxa"/>
            <w:tcBorders>
              <w:bottom w:val="single" w:sz="4" w:space="0" w:color="auto"/>
            </w:tcBorders>
            <w:vAlign w:val="center"/>
          </w:tcPr>
          <w:p>
            <w:pPr>
              <w:tabs>
                <w:tab w:val="left" w:pos="720"/>
              </w:tabs>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5"/>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Pakiet dotyczący prawa spółek</w:t>
            </w:r>
          </w:p>
        </w:tc>
        <w:tc>
          <w:tcPr>
            <w:tcW w:w="1851" w:type="dxa"/>
            <w:tcBorders>
              <w:bottom w:val="single" w:sz="4" w:space="0" w:color="auto"/>
            </w:tcBorders>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601"/>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Ocena technologii medycznych</w:t>
            </w:r>
          </w:p>
        </w:tc>
        <w:tc>
          <w:tcPr>
            <w:tcW w:w="1851" w:type="dxa"/>
            <w:tcBorders>
              <w:bottom w:val="single" w:sz="4" w:space="0" w:color="auto"/>
            </w:tcBorders>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601"/>
          <w:jc w:val="center"/>
        </w:trPr>
        <w:tc>
          <w:tcPr>
            <w:tcW w:w="566" w:type="dxa"/>
            <w:tcBorders>
              <w:bottom w:val="single" w:sz="4" w:space="0" w:color="auto"/>
            </w:tcBorders>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tcBorders>
              <w:bottom w:val="single" w:sz="4" w:space="0" w:color="auto"/>
            </w:tcBorders>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Pakiet dotyczący nowego ładu dla konsumentów</w:t>
            </w:r>
          </w:p>
        </w:tc>
        <w:tc>
          <w:tcPr>
            <w:tcW w:w="1851" w:type="dxa"/>
            <w:tcBorders>
              <w:bottom w:val="single" w:sz="4" w:space="0" w:color="auto"/>
            </w:tcBorders>
            <w:vAlign w:val="center"/>
          </w:tcPr>
          <w:p>
            <w:pPr>
              <w:tabs>
                <w:tab w:val="left" w:pos="720"/>
              </w:tabs>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tcBorders>
              <w:bottom w:val="single" w:sz="4" w:space="0" w:color="auto"/>
            </w:tcBorders>
            <w:vAlign w:val="center"/>
          </w:tcPr>
          <w:p>
            <w:pPr>
              <w:jc w:val="center"/>
              <w:rPr>
                <w:rFonts w:ascii="Times New Roman" w:hAnsi="Times New Roman" w:cs="Times New Roman"/>
                <w:b/>
                <w:noProof/>
                <w:color w:val="000000" w:themeColor="text1"/>
                <w:sz w:val="20"/>
                <w:szCs w:val="20"/>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0"/>
          <w:jc w:val="center"/>
        </w:trPr>
        <w:tc>
          <w:tcPr>
            <w:tcW w:w="8504" w:type="dxa"/>
            <w:gridSpan w:val="4"/>
            <w:shd w:val="clear" w:color="auto" w:fill="D9D9D9" w:themeFill="background1" w:themeFillShade="D9"/>
            <w:vAlign w:val="center"/>
          </w:tcPr>
          <w:p>
            <w:pPr>
              <w:rPr>
                <w:rFonts w:ascii="Times New Roman" w:hAnsi="Times New Roman" w:cs="Times New Roman"/>
                <w:b/>
                <w:noProof/>
                <w:color w:val="000066"/>
                <w:sz w:val="28"/>
                <w:szCs w:val="28"/>
              </w:rPr>
            </w:pPr>
            <w:r>
              <w:rPr>
                <w:rFonts w:ascii="Times New Roman" w:hAnsi="Times New Roman"/>
                <w:b/>
                <w:noProof/>
                <w:color w:val="000066"/>
                <w:sz w:val="28"/>
              </w:rPr>
              <w:t>JEDNOLITY RYNEK CYFROWY</w:t>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Łączność internetowa w społecznościach lokalnych (WiFi4EU)</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Możliwość transgranicznego przenoszenia usług online w zakresie treści</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Roaming</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Współpraca w dziedzinie ochrony konsumentów</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Podatek od wartości dodanej w handlu elektronicznym</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Ochrona danych przez instytucje i organy Unii</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Kodeks łączności elektronicznej oraz Organ Europejskich Regulatorów Łączności Elektronicznej</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Audiowizualne usługi medialne</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9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Reforma prawa autorskiego na rzecz osób niedowidzących (wdrożenie traktatu z Marrakeszu)</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9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Kopie w formacie dostępnym dla osób niedowidzących (wdrożenie traktatu z Marrakeszu)</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Wykorzystywanie zakresu częstotliwości 470-790 MHz w Unii</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Zapobieganie nieuzasadnionemu blokowaniu geograficznemu</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Swobodny przepływ danych nieosobowych</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Umowy dotyczące dostarczania treści cyfrowych</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Umowy dotyczące sprzedaży towarów przez internet i w inny sposób na odległość</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826"/>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Sprawiedliwość dla użytkowników biznesowych korzystających z usług pośrednictwa internetowego (relacje między platformami a przedsiębiorcami)</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Prywatność w internecie</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rFonts w:ascii="Times New Roman" w:hAnsi="Times New Roman" w:cs="Times New Roman"/>
                <w:b/>
                <w:noProof/>
                <w:color w:val="000000" w:themeColor="text1"/>
                <w:sz w:val="20"/>
                <w:szCs w:val="20"/>
                <w:lang w:val="en-GB" w:eastAsia="en-GB" w:bidi="ar-SA"/>
              </w:rPr>
              <w:drawing>
                <wp:inline distT="0" distB="0" distL="0" distR="0">
                  <wp:extent cx="209550" cy="2095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Prawa autorskie</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Rozporządzenie w sprawie nadawania programów (prawa autorskie)</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Akt o cyberbezpieczeństwie</w:t>
            </w:r>
          </w:p>
        </w:tc>
        <w:tc>
          <w:tcPr>
            <w:tcW w:w="1851" w:type="dxa"/>
            <w:vAlign w:val="center"/>
          </w:tcPr>
          <w:p>
            <w:pPr>
              <w:jc w:val="center"/>
              <w:rPr>
                <w:rFonts w:ascii="Times New Roman" w:hAnsi="Times New Roman" w:cs="Times New Roman"/>
                <w:noProof/>
                <w:color w:val="003399"/>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Ponowne wykorzystywanie informacji sektora publicznego</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Nazwy domen „.eu” najwyższego poziomu</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Centrum kompetencji i sieć kompetencji w dziedzinie cyberbezpieczeństwa</w:t>
            </w:r>
          </w:p>
        </w:tc>
        <w:tc>
          <w:tcPr>
            <w:tcW w:w="1851"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Obliczenia wielkiej skali</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5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Podatek od wartości dodanej od publikacji elektronicznych</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0"/>
          <w:jc w:val="center"/>
        </w:trPr>
        <w:tc>
          <w:tcPr>
            <w:tcW w:w="8504" w:type="dxa"/>
            <w:gridSpan w:val="4"/>
            <w:shd w:val="clear" w:color="auto" w:fill="D9D9D9" w:themeFill="background1" w:themeFillShade="D9"/>
            <w:vAlign w:val="center"/>
          </w:tcPr>
          <w:p>
            <w:pPr>
              <w:keepNext/>
              <w:rPr>
                <w:rFonts w:ascii="Times New Roman" w:hAnsi="Times New Roman" w:cs="Times New Roman"/>
                <w:b/>
                <w:noProof/>
                <w:color w:val="000066"/>
                <w:sz w:val="28"/>
                <w:szCs w:val="28"/>
              </w:rPr>
            </w:pPr>
            <w:r>
              <w:rPr>
                <w:rFonts w:ascii="Times New Roman" w:hAnsi="Times New Roman"/>
                <w:b/>
                <w:noProof/>
                <w:color w:val="000066"/>
                <w:sz w:val="28"/>
              </w:rPr>
              <w:t>UNIA RYNKÓW KAPITAŁOWYCH / UNIA BANKOWA</w:t>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Prosta, przejrzysta i znormalizowana sekurytyzacja</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Prospekt emisyjny</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 xml:space="preserve">Europejskie fundusze </w:t>
            </w:r>
            <w:r>
              <w:rPr>
                <w:rFonts w:ascii="Times New Roman" w:hAnsi="Times New Roman"/>
                <w:b/>
                <w:i/>
                <w:noProof/>
                <w:color w:val="000066"/>
              </w:rPr>
              <w:t>venture capital</w:t>
            </w:r>
            <w:r>
              <w:rPr>
                <w:rFonts w:ascii="Times New Roman" w:hAnsi="Times New Roman"/>
                <w:b/>
                <w:noProof/>
                <w:color w:val="000066"/>
              </w:rPr>
              <w:t xml:space="preserve"> (EuVECA)</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Restrukturyzacja zapobiegawcza, druga szansa i skuteczność procedur</w:t>
            </w:r>
          </w:p>
        </w:tc>
        <w:tc>
          <w:tcPr>
            <w:tcW w:w="1851" w:type="dxa"/>
            <w:vAlign w:val="center"/>
          </w:tcPr>
          <w:p>
            <w:pPr>
              <w:jc w:val="cente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Ogólnoeuropejski indywidualny produkt emerytalny (OIPE)</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Przegląd europejskich urzędów nadzoru</w:t>
            </w:r>
          </w:p>
        </w:tc>
        <w:tc>
          <w:tcPr>
            <w:tcW w:w="1851"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tabs>
                <w:tab w:val="left" w:pos="744"/>
              </w:tabs>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Unijne ramy finansowania społecznościowego</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Europejskie ramy dotyczące obligacji zabezpieczonych</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856"/>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Ułatwienie transgranicznej dystrybucji funduszy inwestycyjnych</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Skutki przelewu wierzytelności w odniesieniu do osób trzecich</w:t>
            </w:r>
          </w:p>
        </w:tc>
        <w:tc>
          <w:tcPr>
            <w:tcW w:w="1851"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Wspieranie rynków rozwoju MŚP</w:t>
            </w:r>
          </w:p>
        </w:tc>
        <w:tc>
          <w:tcPr>
            <w:tcW w:w="1851"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7"/>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Bardziej współmierne i skuteczniejsze przepisy dotyczące firm inwestycyjnych</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7"/>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Rozporządzenie w sprawie infrastruktury rynku europejskiego (nadzór)</w:t>
            </w:r>
          </w:p>
        </w:tc>
        <w:tc>
          <w:tcPr>
            <w:tcW w:w="1851" w:type="dxa"/>
            <w:vAlign w:val="center"/>
          </w:tcPr>
          <w:p>
            <w:pPr>
              <w:jc w:val="cente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Rozporządzenie w sprawie infrastruktury rynku europejskiego (REFIT)</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Działania naprawcze oraz restrukturyzacja i uporządkowana likwidacja kontrahentów centralnych</w:t>
            </w:r>
          </w:p>
        </w:tc>
        <w:tc>
          <w:tcPr>
            <w:tcW w:w="1851" w:type="dxa"/>
            <w:vAlign w:val="center"/>
          </w:tcPr>
          <w:p>
            <w:pPr>
              <w:jc w:val="center"/>
              <w:rPr>
                <w:rFonts w:ascii="Times New Roman" w:hAnsi="Times New Roman" w:cs="Times New Roman"/>
                <w:noProof/>
                <w:color w:val="003399"/>
              </w:rPr>
            </w:pPr>
            <w:r>
              <w:rPr>
                <w:b/>
                <w:noProof/>
                <w:color w:val="003399"/>
                <w:sz w:val="20"/>
                <w:szCs w:val="20"/>
                <w:lang w:val="en-GB" w:eastAsia="en-GB" w:bidi="ar-SA"/>
              </w:rPr>
              <w:drawing>
                <wp:inline distT="0" distB="0" distL="0" distR="0">
                  <wp:extent cx="200025" cy="2095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color w:val="003399"/>
              </w:rPr>
            </w:pPr>
            <w:r>
              <w:rPr>
                <w:b/>
                <w:noProof/>
                <w:color w:val="000000" w:themeColor="text1"/>
                <w:sz w:val="20"/>
                <w:szCs w:val="20"/>
                <w:lang w:val="en-GB" w:eastAsia="en-GB" w:bidi="ar-SA"/>
              </w:rPr>
              <w:drawing>
                <wp:inline distT="0" distB="0" distL="0" distR="0">
                  <wp:extent cx="209550" cy="2095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Zrównoważone finanse: klasyfikacja</w:t>
            </w:r>
          </w:p>
        </w:tc>
        <w:tc>
          <w:tcPr>
            <w:tcW w:w="1851"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832"/>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Zrównoważone finanse: ujawnianie informacji</w:t>
            </w:r>
          </w:p>
        </w:tc>
        <w:tc>
          <w:tcPr>
            <w:tcW w:w="1851" w:type="dxa"/>
            <w:vAlign w:val="center"/>
          </w:tcPr>
          <w:p>
            <w:pPr>
              <w:jc w:val="center"/>
              <w:rPr>
                <w:rFonts w:ascii="Times New Roman" w:hAnsi="Times New Roman" w:cs="Times New Roman"/>
                <w:noProof/>
              </w:rPr>
            </w:pPr>
            <w:r>
              <w:rPr>
                <w:b/>
                <w:noProof/>
                <w:color w:val="003399"/>
                <w:sz w:val="20"/>
                <w:szCs w:val="20"/>
                <w:lang w:val="en-GB" w:eastAsia="en-GB" w:bidi="ar-SA"/>
              </w:rPr>
              <w:drawing>
                <wp:inline distT="0" distB="0" distL="0" distR="0">
                  <wp:extent cx="200025" cy="20955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rPr>
            </w:pPr>
            <w:r>
              <w:rPr>
                <w:b/>
                <w:noProof/>
                <w:color w:val="000000" w:themeColor="text1"/>
                <w:sz w:val="20"/>
                <w:szCs w:val="20"/>
                <w:lang w:val="en-GB" w:eastAsia="en-GB" w:bidi="ar-SA"/>
              </w:rPr>
              <w:drawing>
                <wp:inline distT="0" distB="0" distL="0" distR="0">
                  <wp:extent cx="209550" cy="2095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Zrównoważone finanse: wskaźniki referencyjne niskiej emisji dwutlenku węgla</w:t>
            </w:r>
          </w:p>
        </w:tc>
        <w:tc>
          <w:tcPr>
            <w:tcW w:w="1851" w:type="dxa"/>
            <w:vAlign w:val="center"/>
          </w:tcPr>
          <w:p>
            <w:pPr>
              <w:jc w:val="center"/>
              <w:rPr>
                <w:rFonts w:ascii="Times New Roman" w:hAnsi="Times New Roman" w:cs="Times New Roman"/>
                <w:noProof/>
              </w:rPr>
            </w:pPr>
            <w:r>
              <w:rPr>
                <w:b/>
                <w:noProof/>
                <w:color w:val="000000" w:themeColor="text1"/>
                <w:sz w:val="20"/>
                <w:szCs w:val="20"/>
                <w:lang w:val="en-GB" w:eastAsia="en-GB" w:bidi="ar-SA"/>
              </w:rPr>
              <w:drawing>
                <wp:inline distT="0" distB="0" distL="0" distR="0">
                  <wp:extent cx="209550" cy="209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rPr>
            </w:pPr>
            <w:r>
              <w:rPr>
                <w:b/>
                <w:noProof/>
                <w:color w:val="003399"/>
                <w:sz w:val="20"/>
                <w:szCs w:val="20"/>
                <w:lang w:val="en-GB" w:eastAsia="en-GB" w:bidi="ar-SA"/>
              </w:rPr>
              <w:drawing>
                <wp:inline distT="0" distB="0" distL="0" distR="0">
                  <wp:extent cx="200025" cy="209550"/>
                  <wp:effectExtent l="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Stopień uprzywilejowania niezabezpieczonych instrumentów dłużnych w postępowaniu upadłościowym</w:t>
            </w:r>
          </w:p>
        </w:tc>
        <w:tc>
          <w:tcPr>
            <w:tcW w:w="1851" w:type="dxa"/>
            <w:vAlign w:val="center"/>
          </w:tcPr>
          <w:p>
            <w:pPr>
              <w:jc w:val="center"/>
              <w:rPr>
                <w:b/>
                <w:noProof/>
                <w:color w:val="000000" w:themeColor="text1"/>
                <w:sz w:val="20"/>
                <w:szCs w:val="20"/>
              </w:rPr>
            </w:pPr>
            <w:r>
              <w:rPr>
                <w:b/>
                <w:noProof/>
                <w:color w:val="003399"/>
                <w:sz w:val="20"/>
                <w:szCs w:val="20"/>
                <w:lang w:val="en-GB" w:eastAsia="en-GB" w:bidi="ar-SA"/>
              </w:rPr>
              <w:drawing>
                <wp:inline distT="0" distB="0" distL="0" distR="0">
                  <wp:extent cx="200025" cy="209550"/>
                  <wp:effectExtent l="0" t="0" r="952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b/>
                <w:noProof/>
                <w:color w:val="000000" w:themeColor="text1"/>
                <w:sz w:val="20"/>
                <w:szCs w:val="20"/>
              </w:rPr>
            </w:pPr>
            <w:r>
              <w:rPr>
                <w:b/>
                <w:noProof/>
                <w:color w:val="003399"/>
                <w:sz w:val="20"/>
                <w:szCs w:val="20"/>
                <w:lang w:val="en-GB" w:eastAsia="en-GB" w:bidi="ar-SA"/>
              </w:rPr>
              <w:drawing>
                <wp:inline distT="0" distB="0" distL="0" distR="0">
                  <wp:extent cx="200025" cy="209550"/>
                  <wp:effectExtent l="0" t="0" r="952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Europejski system gwarantowania depozytów</w:t>
            </w:r>
          </w:p>
        </w:tc>
        <w:tc>
          <w:tcPr>
            <w:tcW w:w="1851" w:type="dxa"/>
            <w:vAlign w:val="center"/>
          </w:tcPr>
          <w:p>
            <w:pPr>
              <w:jc w:val="center"/>
              <w:rPr>
                <w:rFonts w:ascii="Times New Roman" w:hAnsi="Times New Roman" w:cs="Times New Roman"/>
                <w:noProof/>
              </w:rPr>
            </w:pPr>
            <w:r>
              <w:rPr>
                <w:b/>
                <w:noProof/>
                <w:color w:val="000000" w:themeColor="text1"/>
                <w:sz w:val="20"/>
                <w:szCs w:val="20"/>
                <w:lang w:val="en-GB" w:eastAsia="en-GB" w:bidi="ar-SA"/>
              </w:rPr>
              <w:drawing>
                <wp:inline distT="0" distB="0" distL="0" distR="0">
                  <wp:extent cx="209550" cy="2095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noProof/>
              </w:rPr>
            </w:pPr>
            <w:r>
              <w:rPr>
                <w:b/>
                <w:noProof/>
                <w:color w:val="000000" w:themeColor="text1"/>
                <w:sz w:val="20"/>
                <w:szCs w:val="20"/>
                <w:lang w:val="en-GB" w:eastAsia="en-GB" w:bidi="ar-SA"/>
              </w:rPr>
              <w:drawing>
                <wp:inline distT="0" distB="0" distL="0" distR="0">
                  <wp:extent cx="209550" cy="2095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Reforma wymogów kapitałowych</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8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Zdolności do pokrycia strat i dokapitalizowania (rozporządzenie i dyrektywa)</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Nadzór nad instytucjami kredytowymi i firmami inwestycyjnymi</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88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Dalszy rozwój wtórnych rynków kredytów zagrożonych, w tym bardziej skuteczne odzyskiwanie wierzytelności</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Minimalne pokrycie strat z tytułu ekspozycji nieobsługiwanych</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570"/>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Ramy umożliwiające rozwój papierów wartościowych zabezpieczonych obligacjami skarbowymi</w:t>
            </w:r>
          </w:p>
        </w:tc>
        <w:tc>
          <w:tcPr>
            <w:tcW w:w="1851"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561"/>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Wspólny mechanizm ochronny</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862"/>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Fundusz UE na rzecz Inwestycji Strategicznych 2.0</w:t>
            </w:r>
          </w:p>
        </w:tc>
        <w:tc>
          <w:tcPr>
            <w:tcW w:w="1851"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r>
        <w:trPr>
          <w:trHeight w:hRule="exact" w:val="998"/>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Pogłębienie unii gospodarczej i walutowej</w:t>
            </w:r>
          </w:p>
        </w:tc>
        <w:tc>
          <w:tcPr>
            <w:tcW w:w="1851" w:type="dxa"/>
            <w:vAlign w:val="center"/>
          </w:tcPr>
          <w:p>
            <w:pPr>
              <w:jc w:val="center"/>
              <w:rPr>
                <w:rFonts w:ascii="Times New Roman" w:hAnsi="Times New Roman" w:cs="Times New Roman"/>
                <w:b/>
                <w:noProof/>
                <w:color w:val="000000" w:themeColor="text1"/>
                <w:sz w:val="20"/>
                <w:szCs w:val="20"/>
              </w:rPr>
            </w:pPr>
            <w:r>
              <w:rPr>
                <w:b/>
                <w:noProof/>
                <w:color w:val="000000" w:themeColor="text1"/>
                <w:sz w:val="20"/>
                <w:szCs w:val="20"/>
                <w:lang w:val="en-GB" w:eastAsia="en-GB" w:bidi="ar-SA"/>
              </w:rPr>
              <w:drawing>
                <wp:inline distT="0" distB="0" distL="0" distR="0">
                  <wp:extent cx="209550" cy="20955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0000" w:themeColor="text1"/>
                <w:sz w:val="20"/>
                <w:szCs w:val="20"/>
              </w:rPr>
            </w:pPr>
            <w:r>
              <w:rPr>
                <w:b/>
                <w:noProof/>
                <w:color w:val="000000" w:themeColor="text1"/>
                <w:sz w:val="20"/>
                <w:szCs w:val="20"/>
                <w:lang w:val="en-GB" w:eastAsia="en-GB" w:bidi="ar-SA"/>
              </w:rPr>
              <w:drawing>
                <wp:inline distT="0" distB="0" distL="0" distR="0">
                  <wp:extent cx="209550" cy="20955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trPr>
          <w:trHeight w:hRule="exact" w:val="814"/>
          <w:jc w:val="center"/>
        </w:trPr>
        <w:tc>
          <w:tcPr>
            <w:tcW w:w="566" w:type="dxa"/>
            <w:vAlign w:val="center"/>
          </w:tcPr>
          <w:p>
            <w:pPr>
              <w:pStyle w:val="ListParagraph"/>
              <w:numPr>
                <w:ilvl w:val="0"/>
                <w:numId w:val="12"/>
              </w:numPr>
              <w:ind w:left="0" w:firstLine="0"/>
              <w:jc w:val="center"/>
              <w:rPr>
                <w:rFonts w:ascii="Times New Roman" w:hAnsi="Times New Roman" w:cs="Times New Roman"/>
                <w:b/>
                <w:noProof/>
                <w:color w:val="003399"/>
              </w:rPr>
            </w:pPr>
          </w:p>
        </w:tc>
        <w:tc>
          <w:tcPr>
            <w:tcW w:w="3867" w:type="dxa"/>
            <w:shd w:val="clear" w:color="auto" w:fill="DBE5F1" w:themeFill="accent1" w:themeFillTint="33"/>
            <w:vAlign w:val="center"/>
          </w:tcPr>
          <w:p>
            <w:pPr>
              <w:rPr>
                <w:rFonts w:ascii="Times New Roman" w:hAnsi="Times New Roman" w:cs="Times New Roman"/>
                <w:b/>
                <w:noProof/>
                <w:color w:val="000066"/>
              </w:rPr>
            </w:pPr>
            <w:r>
              <w:rPr>
                <w:rFonts w:ascii="Times New Roman" w:hAnsi="Times New Roman"/>
                <w:b/>
                <w:noProof/>
                <w:color w:val="000066"/>
              </w:rPr>
              <w:t>Zwalczanie fałszowania i oszustw związanych z bezgotówkowymi środkami płatniczymi</w:t>
            </w:r>
          </w:p>
        </w:tc>
        <w:tc>
          <w:tcPr>
            <w:tcW w:w="1851"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c>
          <w:tcPr>
            <w:tcW w:w="2220" w:type="dxa"/>
            <w:vAlign w:val="center"/>
          </w:tcPr>
          <w:p>
            <w:pPr>
              <w:jc w:val="center"/>
              <w:rPr>
                <w:rFonts w:ascii="Times New Roman" w:hAnsi="Times New Roman" w:cs="Times New Roman"/>
                <w:b/>
                <w:noProof/>
                <w:color w:val="003399"/>
                <w:sz w:val="20"/>
                <w:szCs w:val="20"/>
              </w:rPr>
            </w:pPr>
            <w:r>
              <w:rPr>
                <w:rFonts w:ascii="Times New Roman" w:hAnsi="Times New Roman" w:cs="Times New Roman"/>
                <w:b/>
                <w:noProof/>
                <w:color w:val="003399"/>
                <w:sz w:val="20"/>
                <w:szCs w:val="20"/>
                <w:lang w:val="en-GB" w:eastAsia="en-GB" w:bidi="ar-SA"/>
              </w:rPr>
              <w:drawing>
                <wp:inline distT="0" distB="0" distL="0" distR="0">
                  <wp:extent cx="200025" cy="20955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p>
        </w:tc>
      </w:tr>
    </w:tbl>
    <w:p>
      <w:pPr>
        <w:rPr>
          <w:b/>
          <w:noProof/>
          <w:color w:val="000000" w:themeColor="text1"/>
          <w:sz w:val="20"/>
          <w:szCs w:val="20"/>
        </w:rPr>
      </w:pPr>
    </w:p>
    <w:p>
      <w:pPr>
        <w:rPr>
          <w:b/>
          <w:noProof/>
          <w:color w:val="003399"/>
          <w:sz w:val="20"/>
          <w:szCs w:val="20"/>
        </w:rPr>
      </w:pPr>
      <w:r>
        <w:rPr>
          <w:b/>
          <w:noProof/>
          <w:color w:val="000000" w:themeColor="text1"/>
          <w:sz w:val="20"/>
          <w:szCs w:val="20"/>
          <w:lang w:val="en-GB" w:eastAsia="en-GB" w:bidi="ar-SA"/>
        </w:rPr>
        <w:drawing>
          <wp:inline distT="0" distB="0" distL="0" distR="0">
            <wp:extent cx="209550" cy="20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b/>
          <w:noProof/>
          <w:color w:val="000000" w:themeColor="text1"/>
          <w:sz w:val="20"/>
        </w:rPr>
        <w:t xml:space="preserve"> </w:t>
      </w:r>
      <w:r>
        <w:rPr>
          <w:b/>
          <w:noProof/>
          <w:color w:val="003399"/>
          <w:sz w:val="20"/>
        </w:rPr>
        <w:t>POROZUMIENIE MOŻLIWE POD WARUNKIEM ZDECYDOWANEGO ZAANGAŻOWANIA POLITYCZNEGO WSZYSTKICH INSTYTUCJI UNII</w:t>
      </w:r>
    </w:p>
    <w:p>
      <w:pP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b/>
          <w:noProof/>
          <w:color w:val="003399"/>
          <w:sz w:val="20"/>
        </w:rPr>
        <w:t xml:space="preserve"> SZYBKIE POROZUMIENIE MOŻLIWE PRZY ZASTOSOWANIU NORMALNYCH PROCEDUR</w:t>
      </w:r>
    </w:p>
    <w:p>
      <w:pPr>
        <w:rPr>
          <w:b/>
          <w:noProof/>
          <w:color w:val="003399"/>
          <w:sz w:val="20"/>
          <w:szCs w:val="20"/>
        </w:rPr>
      </w:pPr>
      <w:r>
        <w:rPr>
          <w:b/>
          <w:noProof/>
          <w:color w:val="003399"/>
          <w:sz w:val="20"/>
          <w:szCs w:val="20"/>
          <w:lang w:val="en-GB" w:eastAsia="en-GB" w:bidi="ar-SA"/>
        </w:rPr>
        <w:drawing>
          <wp:inline distT="0" distB="0" distL="0" distR="0">
            <wp:extent cx="200025" cy="2095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Pr>
          <w:b/>
          <w:noProof/>
          <w:color w:val="003399"/>
          <w:sz w:val="20"/>
        </w:rPr>
        <w:t xml:space="preserve"> PRZEDSTAWIONO I ZATWIERDZONO</w:t>
      </w:r>
    </w:p>
    <w:p>
      <w:pPr>
        <w:rPr>
          <w:b/>
          <w:noProof/>
          <w:color w:val="003399"/>
          <w:sz w:val="20"/>
          <w:szCs w:val="20"/>
        </w:rPr>
      </w:pPr>
      <w:r>
        <w:rPr>
          <w:noProof/>
        </w:rPr>
        <w:br w:type="page"/>
      </w:r>
    </w:p>
    <w:p>
      <w:pPr>
        <w:spacing w:after="240" w:line="240" w:lineRule="auto"/>
        <w:jc w:val="center"/>
        <w:rPr>
          <w:rFonts w:ascii="Times New Roman" w:hAnsi="Times New Roman" w:cs="Times New Roman"/>
          <w:b/>
          <w:noProof/>
          <w:color w:val="000000" w:themeColor="text1"/>
          <w:sz w:val="24"/>
          <w:szCs w:val="24"/>
          <w:u w:val="single"/>
        </w:rPr>
      </w:pPr>
      <w:r>
        <w:rPr>
          <w:rFonts w:ascii="Times New Roman" w:hAnsi="Times New Roman"/>
          <w:b/>
          <w:noProof/>
          <w:color w:val="000000" w:themeColor="text1"/>
          <w:sz w:val="24"/>
          <w:u w:val="single"/>
        </w:rPr>
        <w:t>ZAŁĄCZNIK 2</w:t>
      </w:r>
    </w:p>
    <w:p>
      <w:pPr>
        <w:jc w:val="center"/>
        <w:rPr>
          <w:rFonts w:ascii="Times New Roman" w:hAnsi="Times New Roman" w:cs="Times New Roman"/>
          <w:b/>
          <w:noProof/>
          <w:sz w:val="24"/>
          <w:szCs w:val="24"/>
        </w:rPr>
      </w:pPr>
      <w:r>
        <w:rPr>
          <w:rFonts w:ascii="Times New Roman" w:hAnsi="Times New Roman"/>
          <w:b/>
          <w:noProof/>
          <w:sz w:val="24"/>
        </w:rPr>
        <w:t>Przykłady korzyści, jakie proponowane lub już przyjęte inicjatywy przyniosą jednolitemu rynkowi</w:t>
      </w:r>
    </w:p>
    <w:tbl>
      <w:tblPr>
        <w:tblStyle w:val="TableGrid"/>
        <w:tblW w:w="0" w:type="auto"/>
        <w:jc w:val="center"/>
        <w:shd w:val="clear" w:color="auto" w:fill="C6D9F1" w:themeFill="text2" w:themeFillTint="33"/>
        <w:tblLook w:val="04A0" w:firstRow="1" w:lastRow="0" w:firstColumn="1" w:lastColumn="0" w:noHBand="0" w:noVBand="1"/>
      </w:tblPr>
      <w:tblGrid>
        <w:gridCol w:w="8755"/>
      </w:tblGrid>
      <w:tr>
        <w:trPr>
          <w:jc w:val="center"/>
        </w:trPr>
        <w:tc>
          <w:tcPr>
            <w:tcW w:w="8755" w:type="dxa"/>
            <w:shd w:val="clear" w:color="auto" w:fill="C6D9F1" w:themeFill="text2" w:themeFillTint="33"/>
          </w:tcPr>
          <w:p>
            <w:pPr>
              <w:spacing w:after="120"/>
              <w:rPr>
                <w:rFonts w:ascii="Times New Roman" w:hAnsi="Times New Roman" w:cs="Times New Roman"/>
                <w:b/>
                <w:i/>
                <w:noProof/>
                <w:sz w:val="24"/>
                <w:szCs w:val="24"/>
              </w:rPr>
            </w:pPr>
            <w:r>
              <w:rPr>
                <w:rFonts w:ascii="Times New Roman" w:hAnsi="Times New Roman"/>
                <w:b/>
                <w:i/>
                <w:noProof/>
                <w:sz w:val="24"/>
              </w:rPr>
              <w:t>Przykłady korzyści płynących z już przyjętych inicjatyw:</w:t>
            </w:r>
          </w:p>
          <w:p>
            <w:pPr>
              <w:pStyle w:val="ListBullet"/>
              <w:numPr>
                <w:ilvl w:val="0"/>
                <w:numId w:val="14"/>
              </w:numPr>
              <w:spacing w:after="120"/>
              <w:rPr>
                <w:noProof/>
                <w:szCs w:val="24"/>
              </w:rPr>
            </w:pPr>
            <w:r>
              <w:rPr>
                <w:b/>
                <w:i/>
                <w:noProof/>
              </w:rPr>
              <w:t>Dyrektywa ustanawiająca Europejski kodeks łączności elektronicznej</w:t>
            </w:r>
            <w:r>
              <w:rPr>
                <w:noProof/>
              </w:rPr>
              <w:t xml:space="preserve">, uzgodniona przez współprawodawców w dniu 6 czerwca 2018 r., może przyczynić się do zwiększenia wzrostu gospodarczego o 1,45 % i zatrudnienia o 0,18 % w 2025 r. oraz przełożyć się na skumulowany wpływ na działalność gospodarczą w wysokości 910 mld EUR i 1,304 mln dodatkowych miejsc pracy do 2025 r. Szacuje się, że w 2025 r. ogólna luka inwestycyjna w odniesieniu do celów Unii w zakresie łączności, w tym celów dotyczących korytarzy 5G, wyniesie 155 mld euro. Kodeks przyczyni się do zmniejszenia tej luki poprzez ustanowienie stabilnych ram regulacyjnych, które zachęcałyby podmioty prywatne do inwestycji we wszystkich obszarach. Na niektórych obszarach wiejskich i oddalonych, gdzie brakuje zachęt rynkowych do inwestowania, wsparcie publiczne na rzecz inwestycji w sieci szerokopasmowe może odgrywać rolę uzupełniającą, w tym za pośrednictwem europejskich funduszy strukturalnych i inwestycyjnych, zgodnie z propozycją zawartą we wnioskach dotyczących kolejnych wieloletnich ram finansowych. Pomyślne wdrożenie sieci 5G wymaga skoordynowanych działań państw członkowskich i zainteresowanych stron zgodnie z planem działania dotyczącym sieci 5G. W szczególności potrzebny jest spójny </w:t>
            </w:r>
            <w:r>
              <w:rPr>
                <w:i/>
                <w:noProof/>
              </w:rPr>
              <w:t>model współużytkowania widma</w:t>
            </w:r>
            <w:r>
              <w:rPr>
                <w:noProof/>
              </w:rPr>
              <w:t xml:space="preserve"> w całej Unii, aby zaspokoić potrzeby występujące wzdłuż autostrad, w transporcie, w usługach użyteczności publicznej i opiece zdrowotnej. Korzyści gospodarcze płynące z udanego, szybkiego i skoordynowanego wdrażania sieci 5G w całej Unii są bardzo duże i szacuje się je na 146 mld EUR rocznie. Objęłyby one także utworzenie 2,39 mln miejsc pracy</w:t>
            </w:r>
            <w:r>
              <w:rPr>
                <w:rStyle w:val="FootnoteReference"/>
                <w:noProof/>
              </w:rPr>
              <w:footnoteReference w:id="3"/>
            </w:r>
            <w:r>
              <w:rPr>
                <w:noProof/>
              </w:rPr>
              <w:t>.</w:t>
            </w:r>
          </w:p>
          <w:p>
            <w:pPr>
              <w:pStyle w:val="ListBullet"/>
              <w:numPr>
                <w:ilvl w:val="0"/>
                <w:numId w:val="14"/>
              </w:numPr>
              <w:spacing w:after="120"/>
              <w:rPr>
                <w:noProof/>
                <w:szCs w:val="24"/>
              </w:rPr>
            </w:pPr>
            <w:r>
              <w:rPr>
                <w:b/>
                <w:i/>
                <w:noProof/>
              </w:rPr>
              <w:t>Transgraniczne usługi elektronicznej administracji publicznej, za pośrednictwem rozporządzenia w sprawie utworzenia jednolitego portalu cyfrowego</w:t>
            </w:r>
            <w:r>
              <w:rPr>
                <w:noProof/>
              </w:rPr>
              <w:t xml:space="preserve"> zapewniającego dostęp do informacji, procedur, usług wsparcia i rozwiązywania problemów, podpisanego przez współprawodawców w dniu 2 października 2018 r. Obywatele i przedsiębiorstwa, zainteresowani przeniesieniem się do innego kraju UE i sprzedawaniem tam swoich produktów lub świadczeniem usług, napotykają istotne przeszkody. Znalezienie odpowiednich, dokładnych i zrozumiałych informacji online oraz dostęp do procedur administracyjnych online mają zasadnicze znaczenie dla tych, którzy pragną skorzystać z zalet jednolitego rynku, jednak często jest to skomplikowane, czasochłonne i kosztowne, o ile w ogóle możliwe. </w:t>
            </w:r>
            <w:bookmarkStart w:id="2" w:name="_Hlk492644435"/>
            <w:r>
              <w:rPr>
                <w:noProof/>
              </w:rPr>
              <w:t>Rozporządzenie wdraża nową zasadę jednorazowości ponad granicami, tak aby obywatele nie byli wzywani do przekazywania ponownie danych już raz przekazanych organom krajowym. Obywatele zaoszczędzą 60 % z 1,5 mln godzin, które obecnie spędzają na szukaniu informacji w internecie o siedmiu podstawowych kwestiach przed wyjazdem za granicę. Przedsiębiorstwa zaoszczędzą od 11 do 55 mld EUR rocznie podczas analizy zaledwie dziewięciu różnych tematów biznesowych</w:t>
            </w:r>
            <w:r>
              <w:rPr>
                <w:rStyle w:val="FootnoteReference"/>
                <w:noProof/>
              </w:rPr>
              <w:footnoteReference w:id="4"/>
            </w:r>
            <w:r>
              <w:rPr>
                <w:noProof/>
              </w:rPr>
              <w:t xml:space="preserve">. </w:t>
            </w:r>
            <w:bookmarkEnd w:id="2"/>
          </w:p>
          <w:p>
            <w:pPr>
              <w:pStyle w:val="ListBullet"/>
              <w:numPr>
                <w:ilvl w:val="0"/>
                <w:numId w:val="14"/>
              </w:numPr>
              <w:spacing w:after="120"/>
              <w:rPr>
                <w:noProof/>
                <w:szCs w:val="24"/>
              </w:rPr>
            </w:pPr>
            <w:r>
              <w:rPr>
                <w:b/>
                <w:i/>
                <w:noProof/>
              </w:rPr>
              <w:t>Modernizacja podatku od wartości dodanej (VAT) w odniesieniu do transgranicznego handlu elektronicznego między przedsiębiorstwami a konsumentami</w:t>
            </w:r>
            <w:r>
              <w:rPr>
                <w:noProof/>
              </w:rPr>
              <w:t xml:space="preserve"> za pośrednictwem dyrektywy Rady (UE) 2017/2455 z dnia 5 grudnia 2017 r. upraszcza skomplikowane obowiązki związane z podatkiem od wartości dodanej w odniesieniu do transgranicznego handlu elektronicznego i tworzy równe warunki działania dla przedsiębiorstw z Unii i państw trzecich – wcześniej przedsiębiorstwa z państw trzecich często były bowiem w stanie dokonywać niezgodnych z wymogami sprzedaży bez podatku VAT. Oczekuje się, że przyjęcie wniosku doprowadzi do ograniczenia ponoszonych przez przedsiębiorstwa kosztów przestrzegania przepisów w sprawie VAT o 2,3 mld EUR rocznie począwszy od 2021 r., a jednocześnie do zwiększenia przychodów państw członkowskich z tytułu VAT o 7 mld euro</w:t>
            </w:r>
            <w:r>
              <w:rPr>
                <w:rStyle w:val="FootnoteReference"/>
                <w:noProof/>
              </w:rPr>
              <w:footnoteReference w:id="5"/>
            </w:r>
            <w:r>
              <w:rPr>
                <w:noProof/>
              </w:rPr>
              <w:t>.</w:t>
            </w:r>
          </w:p>
        </w:tc>
      </w:tr>
    </w:tbl>
    <w:p>
      <w:pPr>
        <w:rPr>
          <w:noProof/>
        </w:rPr>
      </w:pPr>
      <w:r>
        <w:rPr>
          <w:noProof/>
        </w:rPr>
        <w:br w:type="page"/>
      </w:r>
    </w:p>
    <w:tbl>
      <w:tblPr>
        <w:tblStyle w:val="TableGrid"/>
        <w:tblW w:w="0" w:type="auto"/>
        <w:jc w:val="center"/>
        <w:shd w:val="clear" w:color="auto" w:fill="C6D9F1" w:themeFill="text2" w:themeFillTint="33"/>
        <w:tblLook w:val="04A0" w:firstRow="1" w:lastRow="0" w:firstColumn="1" w:lastColumn="0" w:noHBand="0" w:noVBand="1"/>
      </w:tblPr>
      <w:tblGrid>
        <w:gridCol w:w="8755"/>
      </w:tblGrid>
      <w:tr>
        <w:trPr>
          <w:jc w:val="center"/>
        </w:trPr>
        <w:tc>
          <w:tcPr>
            <w:tcW w:w="8755" w:type="dxa"/>
            <w:shd w:val="clear" w:color="auto" w:fill="C6D9F1" w:themeFill="text2" w:themeFillTint="33"/>
          </w:tcPr>
          <w:p>
            <w:pPr>
              <w:rPr>
                <w:rFonts w:ascii="Times New Roman" w:hAnsi="Times New Roman" w:cs="Times New Roman"/>
                <w:b/>
                <w:i/>
                <w:noProof/>
                <w:sz w:val="24"/>
              </w:rPr>
            </w:pPr>
            <w:r>
              <w:rPr>
                <w:noProof/>
              </w:rPr>
              <w:br w:type="page"/>
            </w:r>
            <w:r>
              <w:rPr>
                <w:rFonts w:ascii="Times New Roman" w:hAnsi="Times New Roman"/>
                <w:b/>
                <w:i/>
                <w:noProof/>
                <w:sz w:val="24"/>
              </w:rPr>
              <w:t>Przykłady korzyści płynących z inicjatyw, które nie zostały jeszcze przyjęte przez współprawodawców:</w:t>
            </w:r>
          </w:p>
          <w:p>
            <w:pPr>
              <w:pStyle w:val="ListBullet"/>
              <w:numPr>
                <w:ilvl w:val="0"/>
                <w:numId w:val="0"/>
              </w:numPr>
              <w:spacing w:after="0"/>
              <w:ind w:left="360"/>
              <w:rPr>
                <w:noProof/>
                <w:szCs w:val="22"/>
              </w:rPr>
            </w:pPr>
          </w:p>
          <w:p>
            <w:pPr>
              <w:pStyle w:val="ListBullet"/>
              <w:numPr>
                <w:ilvl w:val="0"/>
                <w:numId w:val="14"/>
              </w:numPr>
              <w:spacing w:after="0"/>
              <w:rPr>
                <w:noProof/>
                <w:szCs w:val="22"/>
              </w:rPr>
            </w:pPr>
            <w:r>
              <w:rPr>
                <w:b/>
                <w:i/>
                <w:noProof/>
              </w:rPr>
              <w:t>Wnioski dotyczące danych (swobodnego przepływu danych nieosobowych oraz informacji sektora publicznego) w ramach strategii jednolitego rynku cyfrowego</w:t>
            </w:r>
            <w:r>
              <w:rPr>
                <w:noProof/>
              </w:rPr>
              <w:t xml:space="preserve"> przyczynią się do wzrostu europejskiej gospodarki opartej na danych do 700 mld EUR do 2020 r., co stanowi 4 % unijnej gospodarki (w porównaniu z 2 % w 2016 r.). Mimo że część tego potencjału została już zrealizowana poprzez przyjęcie rozporządzenia w sprawie swobodnego przepływu danych nieosobowych, przyjęcie uaktualnionych zasad sprzyjających większej dostępności informacji sektora publicznego mogłoby zwiększyć wartość ponownego wykorzystania tych informacji z 145 mld EUR do 215 mld EUR do 2028 r. i przełożyć się na 200 000 dodatkowych miejsc pracy związanych z danymi</w:t>
            </w:r>
            <w:r>
              <w:rPr>
                <w:rStyle w:val="FootnoteReference"/>
                <w:noProof/>
              </w:rPr>
              <w:footnoteReference w:id="6"/>
            </w:r>
            <w:r>
              <w:rPr>
                <w:noProof/>
              </w:rPr>
              <w:t xml:space="preserve">. </w:t>
            </w:r>
          </w:p>
          <w:p>
            <w:pPr>
              <w:pStyle w:val="ListBullet"/>
              <w:numPr>
                <w:ilvl w:val="0"/>
                <w:numId w:val="0"/>
              </w:numPr>
              <w:spacing w:after="0"/>
              <w:ind w:left="360"/>
              <w:rPr>
                <w:noProof/>
                <w:szCs w:val="22"/>
              </w:rPr>
            </w:pPr>
          </w:p>
          <w:p>
            <w:pPr>
              <w:pStyle w:val="Default"/>
              <w:numPr>
                <w:ilvl w:val="0"/>
                <w:numId w:val="14"/>
              </w:numPr>
              <w:jc w:val="both"/>
              <w:rPr>
                <w:noProof/>
                <w:szCs w:val="22"/>
              </w:rPr>
            </w:pPr>
            <w:r>
              <w:rPr>
                <w:noProof/>
              </w:rPr>
              <w:t xml:space="preserve">Wniosek Komisji Europejskiej dotyczący </w:t>
            </w:r>
            <w:r>
              <w:rPr>
                <w:b/>
                <w:i/>
                <w:noProof/>
              </w:rPr>
              <w:t>wspólnej skonsolidowanej podstawy opodatkowania osób prawnych (CCCTB)</w:t>
            </w:r>
            <w:r>
              <w:rPr>
                <w:noProof/>
              </w:rPr>
              <w:t xml:space="preserve"> ma na celu zwiększenie sprawiedliwości podatkowej na jednolitym rynku i zapewnienie równych warunków działania. </w:t>
            </w:r>
            <w:r>
              <w:rPr>
                <w:b/>
                <w:i/>
                <w:noProof/>
              </w:rPr>
              <w:t>Po pełnym wdrożeniu wspólna skonsolidowana podstawa opodatkowania osób prawnych może zwiększyć łączne inwestycje w Unii nawet o 3,4 % poprzez zachęcanie do inwestycji w badania i rozwój oraz do finansowania kapitałowego</w:t>
            </w:r>
            <w:r>
              <w:rPr>
                <w:noProof/>
              </w:rPr>
              <w:t>. Przedsiębiorstwa będą teraz mogły korzystać z jednego zbioru przepisów i współpracować ze swoją krajową administracją podatkową, aby złożyć jedną deklarację podatkową w odniesieniu do całej swojej działalności w Unii. Dzięki CCCTB czas corocznie przeznaczany na czynności konieczne do tego, aby dostosować się do przepisów, powinien skrócić się o 8 %, a czas niezbędny do tego, aby utworzyć spółkę zależną, powinien skrócić się nawet o 67 %. Ułatwi to przedsiębiorstwom, w tym małym i średnim przedsiębiorstwom, rozwój działalności za granicą. Wprowadzone zostaną zachęty do podejmowania działań sprzyjających wzrostowi gospodarczemu, takich jak inwestycje w badania i rozwój technologiczny i finansowanie kapitałowe, co wspomoże realizację bardziej ogólnych celów, takich jak ożywienie gospodarcze, tworzenie miejsc pracy i zwiększanie inwestycji</w:t>
            </w:r>
            <w:r>
              <w:rPr>
                <w:rStyle w:val="FootnoteReference"/>
                <w:noProof/>
              </w:rPr>
              <w:footnoteReference w:id="7"/>
            </w:r>
            <w:r>
              <w:rPr>
                <w:noProof/>
              </w:rPr>
              <w:t xml:space="preserve">. </w:t>
            </w:r>
          </w:p>
          <w:p>
            <w:pPr>
              <w:pStyle w:val="Default"/>
              <w:ind w:left="360"/>
              <w:rPr>
                <w:noProof/>
                <w:szCs w:val="22"/>
              </w:rPr>
            </w:pPr>
          </w:p>
          <w:p>
            <w:pPr>
              <w:pStyle w:val="Default"/>
              <w:numPr>
                <w:ilvl w:val="0"/>
                <w:numId w:val="14"/>
              </w:numPr>
              <w:jc w:val="both"/>
              <w:rPr>
                <w:noProof/>
                <w:szCs w:val="22"/>
              </w:rPr>
            </w:pPr>
            <w:r>
              <w:rPr>
                <w:noProof/>
              </w:rPr>
              <w:t xml:space="preserve">W kontekście 3. pakietu dotyczącego mobilności Komisja, we </w:t>
            </w:r>
            <w:r>
              <w:rPr>
                <w:b/>
                <w:i/>
                <w:noProof/>
              </w:rPr>
              <w:t>wniosku dotyczącym rozporządzenia w sprawie elektronicznych informacji dotyczących transportu towarowego</w:t>
            </w:r>
            <w:r>
              <w:rPr>
                <w:noProof/>
              </w:rPr>
              <w:t>, zaproponowała ograniczenie biurokracji w transporcie i logistyce.</w:t>
            </w:r>
            <w:r>
              <w:rPr>
                <w:b/>
                <w:noProof/>
              </w:rPr>
              <w:t xml:space="preserve"> </w:t>
            </w:r>
            <w:r>
              <w:rPr>
                <w:noProof/>
              </w:rPr>
              <w:t>Celem wniosku jest zagwarantowanie, by organy krajowe zgadzały się na to, by dokumenty towarzyszące przewozowi towarów były przekazywane drogą elektroniczną, jeżeli są one dostępne na bezpiecznych i certyfikowanych platformach cyfrowych. Do 2040 r. wniosek ten może przynieść 20–27 mld EUR oszczędności w sektorze transportu lub równowartość 75–102 mln godzin pracy. Na przedsiębiorstwa transportu drogowego, które w 99 % przypadków są małymi i średnimi przedsiębiorstwami, przypadnie 60 % tych oszczędności</w:t>
            </w:r>
            <w:r>
              <w:rPr>
                <w:rStyle w:val="FootnoteReference"/>
                <w:noProof/>
              </w:rPr>
              <w:footnoteReference w:id="8"/>
            </w:r>
            <w:r>
              <w:rPr>
                <w:noProof/>
              </w:rPr>
              <w:t xml:space="preserve">. </w:t>
            </w:r>
          </w:p>
          <w:p>
            <w:pPr>
              <w:pStyle w:val="Default"/>
              <w:jc w:val="both"/>
              <w:rPr>
                <w:noProof/>
                <w:szCs w:val="22"/>
              </w:rPr>
            </w:pPr>
          </w:p>
          <w:p>
            <w:pPr>
              <w:pStyle w:val="Default"/>
              <w:numPr>
                <w:ilvl w:val="0"/>
                <w:numId w:val="14"/>
              </w:numPr>
              <w:jc w:val="both"/>
              <w:rPr>
                <w:noProof/>
                <w:szCs w:val="22"/>
              </w:rPr>
            </w:pPr>
            <w:r>
              <w:rPr>
                <w:noProof/>
              </w:rPr>
              <w:t xml:space="preserve">Komisja zaproponowała nowe ogólnounijne przepisy dotyczące stosowania tworzyw sztucznych jednorazowego użytku – </w:t>
            </w:r>
            <w:r>
              <w:rPr>
                <w:b/>
                <w:i/>
                <w:noProof/>
              </w:rPr>
              <w:t>dyrektywę w sprawie ograniczenia wpływu niektórych produktów z tworzyw sztucznych na środowisko</w:t>
            </w:r>
            <w:r>
              <w:rPr>
                <w:noProof/>
              </w:rPr>
              <w:t>.</w:t>
            </w:r>
            <w:r>
              <w:rPr>
                <w:b/>
                <w:noProof/>
              </w:rPr>
              <w:t xml:space="preserve"> </w:t>
            </w:r>
            <w:r>
              <w:rPr>
                <w:noProof/>
              </w:rPr>
              <w:t>Jeżeli dyrektywa zostanie przyjęta, do 2030 r. przyczyni się do oszczędności rzędu 3,4 mln ton ekwiwalentu CO</w:t>
            </w:r>
            <w:r>
              <w:rPr>
                <w:noProof/>
                <w:vertAlign w:val="subscript"/>
              </w:rPr>
              <w:t>2</w:t>
            </w:r>
            <w:r>
              <w:rPr>
                <w:noProof/>
              </w:rPr>
              <w:t>. To z kolei przyczyniłoby się do uniknięcia szkód w środowisku (równowartość 23 mld euro). Konsumenci zaoszczędzą około 6,5 mld euro</w:t>
            </w:r>
            <w:r>
              <w:rPr>
                <w:rStyle w:val="FootnoteReference"/>
                <w:noProof/>
              </w:rPr>
              <w:footnoteReference w:id="9"/>
            </w:r>
            <w:r>
              <w:rPr>
                <w:noProof/>
              </w:rPr>
              <w:t>.</w:t>
            </w:r>
          </w:p>
        </w:tc>
      </w:tr>
    </w:tbl>
    <w:p>
      <w:pPr>
        <w:rPr>
          <w:rFonts w:ascii="Times New Roman" w:hAnsi="Times New Roman" w:cs="Times New Roman"/>
          <w:noProof/>
          <w:sz w:val="24"/>
          <w:szCs w:val="24"/>
        </w:rPr>
      </w:pPr>
    </w:p>
    <w:sectPr>
      <w:headerReference w:type="even" r:id="rId26"/>
      <w:headerReference w:type="default" r:id="rId27"/>
      <w:footerReference w:type="even" r:id="rId28"/>
      <w:footerReference w:type="default" r:id="rId29"/>
      <w:headerReference w:type="first" r:id="rId30"/>
      <w:footerReference w:type="first" r:id="rId31"/>
      <w:pgSz w:w="11906" w:h="16838"/>
      <w:pgMar w:top="993" w:right="1417" w:bottom="1417" w:left="1417"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C Square Sans Pro Medium">
    <w:panose1 w:val="020B0500000000020004"/>
    <w:charset w:val="00"/>
    <w:family w:val="swiss"/>
    <w:pitch w:val="variable"/>
    <w:sig w:usb0="A00002BF" w:usb1="5000E0FB" w:usb2="00000000"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61499"/>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ind w:left="142" w:hanging="142"/>
      </w:pPr>
      <w:r>
        <w:rPr>
          <w:rStyle w:val="FootnoteReference"/>
        </w:rPr>
        <w:footnoteRef/>
      </w:r>
      <w:r>
        <w:t xml:space="preserve"> Pełny wykaz inicjatyw ustawodawczych dotyczących jednolitego rynku, które są obecnie przedmiotem negocjacji w Parlamencie Europejskim i w Radzie, został załączony do programu prac Komisji na 2019 r. (COM (2018) 800).</w:t>
      </w:r>
    </w:p>
  </w:footnote>
  <w:footnote w:id="3">
    <w:p>
      <w:pPr>
        <w:pStyle w:val="FootnoteText"/>
        <w:spacing w:after="0"/>
      </w:pPr>
      <w:r>
        <w:rPr>
          <w:rStyle w:val="FootnoteReference"/>
        </w:rPr>
        <w:footnoteRef/>
      </w:r>
      <w:r>
        <w:t xml:space="preserve"> Ocena skutków przeprowadzona przez Komisję, SWD(2016) 303.</w:t>
      </w:r>
    </w:p>
  </w:footnote>
  <w:footnote w:id="4">
    <w:p>
      <w:pPr>
        <w:pStyle w:val="FootnoteText"/>
        <w:spacing w:after="0"/>
      </w:pPr>
      <w:r>
        <w:rPr>
          <w:rStyle w:val="FootnoteReference"/>
        </w:rPr>
        <w:footnoteRef/>
      </w:r>
      <w:r>
        <w:t xml:space="preserve"> Ocena skutków przeprowadzona przez Komisję, SWD(2017) 213.</w:t>
      </w:r>
    </w:p>
  </w:footnote>
  <w:footnote w:id="5">
    <w:p>
      <w:pPr>
        <w:pStyle w:val="FootnoteText"/>
        <w:spacing w:after="0"/>
      </w:pPr>
      <w:r>
        <w:rPr>
          <w:rStyle w:val="FootnoteReference"/>
        </w:rPr>
        <w:footnoteRef/>
      </w:r>
      <w:r>
        <w:t xml:space="preserve"> Ocena skutków przeprowadzona przez Komisję, SWD(2016) 379.</w:t>
      </w:r>
    </w:p>
  </w:footnote>
  <w:footnote w:id="6">
    <w:p>
      <w:pPr>
        <w:pStyle w:val="FootnoteText"/>
        <w:spacing w:after="0"/>
      </w:pPr>
      <w:r>
        <w:rPr>
          <w:rStyle w:val="FootnoteReference"/>
        </w:rPr>
        <w:footnoteRef/>
      </w:r>
      <w:r>
        <w:t xml:space="preserve"> Oceny skutków przeprowadzone przez Komisję, SWD(2017) 304 i SWD(2018) 127.</w:t>
      </w:r>
    </w:p>
  </w:footnote>
  <w:footnote w:id="7">
    <w:p>
      <w:pPr>
        <w:pStyle w:val="FootnoteText"/>
        <w:spacing w:after="0"/>
      </w:pPr>
      <w:r>
        <w:rPr>
          <w:rStyle w:val="FootnoteReference"/>
        </w:rPr>
        <w:footnoteRef/>
      </w:r>
      <w:r>
        <w:t xml:space="preserve"> Ocena skutków przeprowadzona przez Komisję, SWD(2016) 341.</w:t>
      </w:r>
    </w:p>
  </w:footnote>
  <w:footnote w:id="8">
    <w:p>
      <w:pPr>
        <w:pStyle w:val="FootnoteText"/>
        <w:spacing w:after="0"/>
      </w:pPr>
      <w:r>
        <w:rPr>
          <w:rStyle w:val="FootnoteReference"/>
        </w:rPr>
        <w:footnoteRef/>
      </w:r>
      <w:r>
        <w:t xml:space="preserve"> Ocena skutków przeprowadzona przez Komisję, SWD(2018) 183.</w:t>
      </w:r>
    </w:p>
  </w:footnote>
  <w:footnote w:id="9">
    <w:p>
      <w:pPr>
        <w:pStyle w:val="FootnoteText"/>
        <w:spacing w:after="0"/>
      </w:pPr>
      <w:r>
        <w:rPr>
          <w:rStyle w:val="FootnoteReference"/>
        </w:rPr>
        <w:footnoteRef/>
      </w:r>
      <w:r>
        <w:t xml:space="preserve"> Ocena skutków przeprowadzona przez Komisję, SWD(2018) 254.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09C"/>
    <w:multiLevelType w:val="hybridMultilevel"/>
    <w:tmpl w:val="849CB8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A10DAA"/>
    <w:multiLevelType w:val="hybridMultilevel"/>
    <w:tmpl w:val="4B0204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8FC6CDC"/>
    <w:multiLevelType w:val="hybridMultilevel"/>
    <w:tmpl w:val="6B54ED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F3154F"/>
    <w:multiLevelType w:val="hybridMultilevel"/>
    <w:tmpl w:val="3E9083A0"/>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nsid w:val="18D9019B"/>
    <w:multiLevelType w:val="hybridMultilevel"/>
    <w:tmpl w:val="AA9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101BF9"/>
    <w:multiLevelType w:val="hybridMultilevel"/>
    <w:tmpl w:val="7430C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A113AB"/>
    <w:multiLevelType w:val="hybridMultilevel"/>
    <w:tmpl w:val="598E0362"/>
    <w:lvl w:ilvl="0" w:tplc="8C6A2D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nsid w:val="55C41AE3"/>
    <w:multiLevelType w:val="hybridMultilevel"/>
    <w:tmpl w:val="65748962"/>
    <w:lvl w:ilvl="0" w:tplc="8C6A2D9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522EC7"/>
    <w:multiLevelType w:val="hybridMultilevel"/>
    <w:tmpl w:val="EA42694C"/>
    <w:lvl w:ilvl="0" w:tplc="B8C87C32">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34295C"/>
    <w:multiLevelType w:val="hybridMultilevel"/>
    <w:tmpl w:val="8B70D6F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9"/>
  </w:num>
  <w:num w:numId="5">
    <w:abstractNumId w:val="10"/>
  </w:num>
  <w:num w:numId="6">
    <w:abstractNumId w:val="2"/>
  </w:num>
  <w:num w:numId="7">
    <w:abstractNumId w:val="8"/>
  </w:num>
  <w:num w:numId="8">
    <w:abstractNumId w:val="8"/>
  </w:num>
  <w:num w:numId="9">
    <w:abstractNumId w:val="8"/>
  </w:num>
  <w:num w:numId="10">
    <w:abstractNumId w:val="3"/>
  </w:num>
  <w:num w:numId="11">
    <w:abstractNumId w:val="0"/>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o"/>
    <w:docVar w:name="LW_ANNEX_NBR_FIRST" w:val="1"/>
    <w:docVar w:name="LW_ANNEX_NBR_LAST" w:val="2"/>
    <w:docVar w:name="LW_ANNEX_UNIQUE" w:val="0"/>
    <w:docVar w:name="LW_CORRIGENDUM" w:val="&lt;UNUSED&gt;"/>
    <w:docVar w:name="LW_COVERPAGE_EXISTS" w:val="True"/>
    <w:docVar w:name="LW_COVERPAGE_GUID" w:val="F0BA002A-3AB8-4AD1-A932-7190C5AC79CA"/>
    <w:docVar w:name="LW_COVERPAGE_TYPE" w:val="1"/>
    <w:docVar w:name="LW_CROSSREFERENCE" w:val="&lt;UNUSED&gt;"/>
    <w:docVar w:name="LW_DocType" w:val="NORMAL"/>
    <w:docVar w:name="LW_EMISSION" w:val="22.11.2018"/>
    <w:docVar w:name="LW_EMISSION_ISODATE" w:val="2018-11-22"/>
    <w:docVar w:name="LW_EMISSION_LOCATION" w:val="BRX"/>
    <w:docVar w:name="LW_EMISSION_PREFIX" w:val="Bruksela, dnia "/>
    <w:docVar w:name="LW_EMISSION_SUFFIX" w:val=" r."/>
    <w:docVar w:name="LW_ID_DOCTYPE_NONLW" w:val="CP-039"/>
    <w:docVar w:name="LW_LANGUE" w:val="PL"/>
    <w:docVar w:name="LW_LEVEL_OF_SENSITIVITY" w:val="Standard treatment"/>
    <w:docVar w:name="LW_NOM.INST" w:val="KOMISJA EUROPEJSKA"/>
    <w:docVar w:name="LW_NOM.INST_JOINTDOC" w:val="&lt;EMPTY&gt;"/>
    <w:docVar w:name="LW_OBJETACTEPRINCIPAL.CP" w:val="Jednolity rynek w zmieniaj\u261?cym si\u281? \u347?wiecie_x000b__x000b_Wyj\u261?tkowy atut wymagaj\u261?cy nowego politycznego zobowi\u261?zania"/>
    <w:docVar w:name="LW_PART_NBR" w:val="&lt;UNUSED&gt;"/>
    <w:docVar w:name="LW_PART_NBR_TOTAL" w:val="&lt;UNUSED&gt;"/>
    <w:docVar w:name="LW_REF.INST.NEW" w:val="COM"/>
    <w:docVar w:name="LW_REF.INST.NEW_ADOPTED" w:val="final"/>
    <w:docVar w:name="LW_REF.INST.NEW_TEXT" w:val="(2018) 77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ZA\u321?\u260?CZNIKI_x000b_"/>
    <w:docVar w:name="LW_TYPEACTEPRINCIPAL.CP" w:val="KOMUNIKATU KOMISJI DO PARLAMENTU EUROPEJSKIEGO, RADY EUROPEJSKIEJ, RADY, EUROPEJSKIEGO KOMITETU EKONOMICZNO-SPO\u321?ECZNEGO I KOMITETU REGIONÓW"/>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9">
    <w:name w:val="A9"/>
    <w:uiPriority w:val="99"/>
    <w:rPr>
      <w:color w:val="000000"/>
      <w:sz w:val="16"/>
    </w:rPr>
  </w:style>
  <w:style w:type="paragraph" w:customStyle="1" w:styleId="Pa5">
    <w:name w:val="Pa5"/>
    <w:basedOn w:val="Normal"/>
    <w:next w:val="Normal"/>
    <w:uiPriority w:val="99"/>
    <w:pPr>
      <w:autoSpaceDE w:val="0"/>
      <w:autoSpaceDN w:val="0"/>
      <w:adjustRightInd w:val="0"/>
      <w:spacing w:after="0" w:line="241" w:lineRule="atLeast"/>
    </w:pPr>
    <w:rPr>
      <w:rFonts w:ascii="EC Square Sans Pro Medium" w:hAnsi="EC Square Sans Pro Medium"/>
      <w:sz w:val="24"/>
      <w:szCs w:val="24"/>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ListBullet">
    <w:name w:val="List Bullet"/>
    <w:basedOn w:val="Normal"/>
    <w:pPr>
      <w:numPr>
        <w:numId w:val="13"/>
      </w:numPr>
      <w:spacing w:after="240" w:line="240" w:lineRule="auto"/>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9">
    <w:name w:val="A9"/>
    <w:uiPriority w:val="99"/>
    <w:rPr>
      <w:color w:val="000000"/>
      <w:sz w:val="16"/>
    </w:rPr>
  </w:style>
  <w:style w:type="paragraph" w:customStyle="1" w:styleId="Pa5">
    <w:name w:val="Pa5"/>
    <w:basedOn w:val="Normal"/>
    <w:next w:val="Normal"/>
    <w:uiPriority w:val="99"/>
    <w:pPr>
      <w:autoSpaceDE w:val="0"/>
      <w:autoSpaceDN w:val="0"/>
      <w:adjustRightInd w:val="0"/>
      <w:spacing w:after="0" w:line="241" w:lineRule="atLeast"/>
    </w:pPr>
    <w:rPr>
      <w:rFonts w:ascii="EC Square Sans Pro Medium" w:hAnsi="EC Square Sans Pro Medium"/>
      <w:sz w:val="24"/>
      <w:szCs w:val="24"/>
    </w:rPr>
  </w:style>
  <w:style w:type="paragraph" w:styleId="Revision">
    <w:name w:val="Revision"/>
    <w:hidden/>
    <w:uiPriority w:val="99"/>
    <w:semiHidden/>
    <w:pPr>
      <w:spacing w:after="0" w:line="240" w:lineRule="auto"/>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FootnoteText">
    <w:name w:val="footnote text"/>
    <w:basedOn w:val="Normal"/>
    <w:link w:val="FootnoteTextChar"/>
    <w:semiHidden/>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ListBullet">
    <w:name w:val="List Bullet"/>
    <w:basedOn w:val="Normal"/>
    <w:pPr>
      <w:numPr>
        <w:numId w:val="13"/>
      </w:numPr>
      <w:spacing w:after="240" w:line="240" w:lineRule="auto"/>
      <w:jc w:val="both"/>
    </w:pPr>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467">
      <w:bodyDiv w:val="1"/>
      <w:marLeft w:val="0"/>
      <w:marRight w:val="0"/>
      <w:marTop w:val="0"/>
      <w:marBottom w:val="0"/>
      <w:divBdr>
        <w:top w:val="none" w:sz="0" w:space="0" w:color="auto"/>
        <w:left w:val="none" w:sz="0" w:space="0" w:color="auto"/>
        <w:bottom w:val="none" w:sz="0" w:space="0" w:color="auto"/>
        <w:right w:val="none" w:sz="0" w:space="0" w:color="auto"/>
      </w:divBdr>
    </w:div>
    <w:div w:id="296959604">
      <w:bodyDiv w:val="1"/>
      <w:marLeft w:val="0"/>
      <w:marRight w:val="0"/>
      <w:marTop w:val="0"/>
      <w:marBottom w:val="0"/>
      <w:divBdr>
        <w:top w:val="none" w:sz="0" w:space="0" w:color="auto"/>
        <w:left w:val="none" w:sz="0" w:space="0" w:color="auto"/>
        <w:bottom w:val="none" w:sz="0" w:space="0" w:color="auto"/>
        <w:right w:val="none" w:sz="0" w:space="0" w:color="auto"/>
      </w:divBdr>
    </w:div>
    <w:div w:id="316306414">
      <w:bodyDiv w:val="1"/>
      <w:marLeft w:val="0"/>
      <w:marRight w:val="0"/>
      <w:marTop w:val="0"/>
      <w:marBottom w:val="0"/>
      <w:divBdr>
        <w:top w:val="none" w:sz="0" w:space="0" w:color="auto"/>
        <w:left w:val="none" w:sz="0" w:space="0" w:color="auto"/>
        <w:bottom w:val="none" w:sz="0" w:space="0" w:color="auto"/>
        <w:right w:val="none" w:sz="0" w:space="0" w:color="auto"/>
      </w:divBdr>
    </w:div>
    <w:div w:id="403187846">
      <w:bodyDiv w:val="1"/>
      <w:marLeft w:val="0"/>
      <w:marRight w:val="0"/>
      <w:marTop w:val="0"/>
      <w:marBottom w:val="0"/>
      <w:divBdr>
        <w:top w:val="none" w:sz="0" w:space="0" w:color="auto"/>
        <w:left w:val="none" w:sz="0" w:space="0" w:color="auto"/>
        <w:bottom w:val="none" w:sz="0" w:space="0" w:color="auto"/>
        <w:right w:val="none" w:sz="0" w:space="0" w:color="auto"/>
      </w:divBdr>
    </w:div>
    <w:div w:id="597106675">
      <w:bodyDiv w:val="1"/>
      <w:marLeft w:val="0"/>
      <w:marRight w:val="0"/>
      <w:marTop w:val="0"/>
      <w:marBottom w:val="0"/>
      <w:divBdr>
        <w:top w:val="none" w:sz="0" w:space="0" w:color="auto"/>
        <w:left w:val="none" w:sz="0" w:space="0" w:color="auto"/>
        <w:bottom w:val="none" w:sz="0" w:space="0" w:color="auto"/>
        <w:right w:val="none" w:sz="0" w:space="0" w:color="auto"/>
      </w:divBdr>
    </w:div>
    <w:div w:id="655955985">
      <w:bodyDiv w:val="1"/>
      <w:marLeft w:val="0"/>
      <w:marRight w:val="0"/>
      <w:marTop w:val="0"/>
      <w:marBottom w:val="0"/>
      <w:divBdr>
        <w:top w:val="none" w:sz="0" w:space="0" w:color="auto"/>
        <w:left w:val="none" w:sz="0" w:space="0" w:color="auto"/>
        <w:bottom w:val="none" w:sz="0" w:space="0" w:color="auto"/>
        <w:right w:val="none" w:sz="0" w:space="0" w:color="auto"/>
      </w:divBdr>
    </w:div>
    <w:div w:id="678315520">
      <w:bodyDiv w:val="1"/>
      <w:marLeft w:val="0"/>
      <w:marRight w:val="0"/>
      <w:marTop w:val="0"/>
      <w:marBottom w:val="0"/>
      <w:divBdr>
        <w:top w:val="none" w:sz="0" w:space="0" w:color="auto"/>
        <w:left w:val="none" w:sz="0" w:space="0" w:color="auto"/>
        <w:bottom w:val="none" w:sz="0" w:space="0" w:color="auto"/>
        <w:right w:val="none" w:sz="0" w:space="0" w:color="auto"/>
      </w:divBdr>
    </w:div>
    <w:div w:id="713502684">
      <w:bodyDiv w:val="1"/>
      <w:marLeft w:val="0"/>
      <w:marRight w:val="0"/>
      <w:marTop w:val="0"/>
      <w:marBottom w:val="0"/>
      <w:divBdr>
        <w:top w:val="none" w:sz="0" w:space="0" w:color="auto"/>
        <w:left w:val="none" w:sz="0" w:space="0" w:color="auto"/>
        <w:bottom w:val="none" w:sz="0" w:space="0" w:color="auto"/>
        <w:right w:val="none" w:sz="0" w:space="0" w:color="auto"/>
      </w:divBdr>
    </w:div>
    <w:div w:id="858356232">
      <w:bodyDiv w:val="1"/>
      <w:marLeft w:val="0"/>
      <w:marRight w:val="0"/>
      <w:marTop w:val="0"/>
      <w:marBottom w:val="0"/>
      <w:divBdr>
        <w:top w:val="none" w:sz="0" w:space="0" w:color="auto"/>
        <w:left w:val="none" w:sz="0" w:space="0" w:color="auto"/>
        <w:bottom w:val="none" w:sz="0" w:space="0" w:color="auto"/>
        <w:right w:val="none" w:sz="0" w:space="0" w:color="auto"/>
      </w:divBdr>
    </w:div>
    <w:div w:id="941452788">
      <w:bodyDiv w:val="1"/>
      <w:marLeft w:val="0"/>
      <w:marRight w:val="0"/>
      <w:marTop w:val="0"/>
      <w:marBottom w:val="0"/>
      <w:divBdr>
        <w:top w:val="none" w:sz="0" w:space="0" w:color="auto"/>
        <w:left w:val="none" w:sz="0" w:space="0" w:color="auto"/>
        <w:bottom w:val="none" w:sz="0" w:space="0" w:color="auto"/>
        <w:right w:val="none" w:sz="0" w:space="0" w:color="auto"/>
      </w:divBdr>
    </w:div>
    <w:div w:id="1086805006">
      <w:bodyDiv w:val="1"/>
      <w:marLeft w:val="0"/>
      <w:marRight w:val="0"/>
      <w:marTop w:val="0"/>
      <w:marBottom w:val="0"/>
      <w:divBdr>
        <w:top w:val="none" w:sz="0" w:space="0" w:color="auto"/>
        <w:left w:val="none" w:sz="0" w:space="0" w:color="auto"/>
        <w:bottom w:val="none" w:sz="0" w:space="0" w:color="auto"/>
        <w:right w:val="none" w:sz="0" w:space="0" w:color="auto"/>
      </w:divBdr>
    </w:div>
    <w:div w:id="1124232209">
      <w:bodyDiv w:val="1"/>
      <w:marLeft w:val="0"/>
      <w:marRight w:val="0"/>
      <w:marTop w:val="0"/>
      <w:marBottom w:val="0"/>
      <w:divBdr>
        <w:top w:val="none" w:sz="0" w:space="0" w:color="auto"/>
        <w:left w:val="none" w:sz="0" w:space="0" w:color="auto"/>
        <w:bottom w:val="none" w:sz="0" w:space="0" w:color="auto"/>
        <w:right w:val="none" w:sz="0" w:space="0" w:color="auto"/>
      </w:divBdr>
    </w:div>
    <w:div w:id="1184242631">
      <w:bodyDiv w:val="1"/>
      <w:marLeft w:val="0"/>
      <w:marRight w:val="0"/>
      <w:marTop w:val="0"/>
      <w:marBottom w:val="0"/>
      <w:divBdr>
        <w:top w:val="none" w:sz="0" w:space="0" w:color="auto"/>
        <w:left w:val="none" w:sz="0" w:space="0" w:color="auto"/>
        <w:bottom w:val="none" w:sz="0" w:space="0" w:color="auto"/>
        <w:right w:val="none" w:sz="0" w:space="0" w:color="auto"/>
      </w:divBdr>
    </w:div>
    <w:div w:id="1204515940">
      <w:bodyDiv w:val="1"/>
      <w:marLeft w:val="0"/>
      <w:marRight w:val="0"/>
      <w:marTop w:val="0"/>
      <w:marBottom w:val="0"/>
      <w:divBdr>
        <w:top w:val="none" w:sz="0" w:space="0" w:color="auto"/>
        <w:left w:val="none" w:sz="0" w:space="0" w:color="auto"/>
        <w:bottom w:val="none" w:sz="0" w:space="0" w:color="auto"/>
        <w:right w:val="none" w:sz="0" w:space="0" w:color="auto"/>
      </w:divBdr>
    </w:div>
    <w:div w:id="1238318772">
      <w:bodyDiv w:val="1"/>
      <w:marLeft w:val="0"/>
      <w:marRight w:val="0"/>
      <w:marTop w:val="0"/>
      <w:marBottom w:val="0"/>
      <w:divBdr>
        <w:top w:val="none" w:sz="0" w:space="0" w:color="auto"/>
        <w:left w:val="none" w:sz="0" w:space="0" w:color="auto"/>
        <w:bottom w:val="none" w:sz="0" w:space="0" w:color="auto"/>
        <w:right w:val="none" w:sz="0" w:space="0" w:color="auto"/>
      </w:divBdr>
    </w:div>
    <w:div w:id="1407069824">
      <w:bodyDiv w:val="1"/>
      <w:marLeft w:val="0"/>
      <w:marRight w:val="0"/>
      <w:marTop w:val="0"/>
      <w:marBottom w:val="0"/>
      <w:divBdr>
        <w:top w:val="none" w:sz="0" w:space="0" w:color="auto"/>
        <w:left w:val="none" w:sz="0" w:space="0" w:color="auto"/>
        <w:bottom w:val="none" w:sz="0" w:space="0" w:color="auto"/>
        <w:right w:val="none" w:sz="0" w:space="0" w:color="auto"/>
      </w:divBdr>
    </w:div>
    <w:div w:id="1488404069">
      <w:bodyDiv w:val="1"/>
      <w:marLeft w:val="0"/>
      <w:marRight w:val="0"/>
      <w:marTop w:val="0"/>
      <w:marBottom w:val="0"/>
      <w:divBdr>
        <w:top w:val="none" w:sz="0" w:space="0" w:color="auto"/>
        <w:left w:val="none" w:sz="0" w:space="0" w:color="auto"/>
        <w:bottom w:val="none" w:sz="0" w:space="0" w:color="auto"/>
        <w:right w:val="none" w:sz="0" w:space="0" w:color="auto"/>
      </w:divBdr>
    </w:div>
    <w:div w:id="1596669879">
      <w:bodyDiv w:val="1"/>
      <w:marLeft w:val="0"/>
      <w:marRight w:val="0"/>
      <w:marTop w:val="0"/>
      <w:marBottom w:val="0"/>
      <w:divBdr>
        <w:top w:val="none" w:sz="0" w:space="0" w:color="auto"/>
        <w:left w:val="none" w:sz="0" w:space="0" w:color="auto"/>
        <w:bottom w:val="none" w:sz="0" w:space="0" w:color="auto"/>
        <w:right w:val="none" w:sz="0" w:space="0" w:color="auto"/>
      </w:divBdr>
    </w:div>
    <w:div w:id="1944073727">
      <w:bodyDiv w:val="1"/>
      <w:marLeft w:val="0"/>
      <w:marRight w:val="0"/>
      <w:marTop w:val="0"/>
      <w:marBottom w:val="0"/>
      <w:divBdr>
        <w:top w:val="none" w:sz="0" w:space="0" w:color="auto"/>
        <w:left w:val="none" w:sz="0" w:space="0" w:color="auto"/>
        <w:bottom w:val="none" w:sz="0" w:space="0" w:color="auto"/>
        <w:right w:val="none" w:sz="0" w:space="0" w:color="auto"/>
      </w:divBdr>
    </w:div>
    <w:div w:id="1986615681">
      <w:bodyDiv w:val="1"/>
      <w:marLeft w:val="0"/>
      <w:marRight w:val="0"/>
      <w:marTop w:val="0"/>
      <w:marBottom w:val="0"/>
      <w:divBdr>
        <w:top w:val="none" w:sz="0" w:space="0" w:color="auto"/>
        <w:left w:val="none" w:sz="0" w:space="0" w:color="auto"/>
        <w:bottom w:val="none" w:sz="0" w:space="0" w:color="auto"/>
        <w:right w:val="none" w:sz="0" w:space="0" w:color="auto"/>
      </w:divBdr>
    </w:div>
    <w:div w:id="2051374450">
      <w:bodyDiv w:val="1"/>
      <w:marLeft w:val="0"/>
      <w:marRight w:val="0"/>
      <w:marTop w:val="0"/>
      <w:marBottom w:val="0"/>
      <w:divBdr>
        <w:top w:val="none" w:sz="0" w:space="0" w:color="auto"/>
        <w:left w:val="none" w:sz="0" w:space="0" w:color="auto"/>
        <w:bottom w:val="none" w:sz="0" w:space="0" w:color="auto"/>
        <w:right w:val="none" w:sz="0" w:space="0" w:color="auto"/>
      </w:divBdr>
    </w:div>
    <w:div w:id="21413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1.bin"/><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6bd4a52e-2f99-4b15-8d06-554c40a38984">EN</EC_Collab_DocumentLanguage>
    <EC_Collab_Status xmlns="6bd4a52e-2f99-4b15-8d06-554c40a38984">Not Started</EC_Collab_Status>
    <EC_Collab_Reference xmlns="6bd4a52e-2f99-4b15-8d06-554c40a389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2A4E91E4F8467C41BA287E477D1B3A95" ma:contentTypeVersion="1" ma:contentTypeDescription="Create a new document in this library." ma:contentTypeScope="" ma:versionID="a96336c07120f4b798f79f67d92262c7">
  <xsd:schema xmlns:xsd="http://www.w3.org/2001/XMLSchema" xmlns:xs="http://www.w3.org/2001/XMLSchema" xmlns:p="http://schemas.microsoft.com/office/2006/metadata/properties" xmlns:ns3="6bd4a52e-2f99-4b15-8d06-554c40a38984" targetNamespace="http://schemas.microsoft.com/office/2006/metadata/properties" ma:root="true" ma:fieldsID="94ef65a6eda96269cea6906b956cad20" ns3:_="">
    <xsd:import namespace="6bd4a52e-2f99-4b15-8d06-554c40a38984"/>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4a52e-2f99-4b15-8d06-554c40a3898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CDA0-AC75-4C88-AE5E-6FB6EEE8B388}">
  <ds:schemaRefs>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6bd4a52e-2f99-4b15-8d06-554c40a38984"/>
  </ds:schemaRefs>
</ds:datastoreItem>
</file>

<file path=customXml/itemProps2.xml><?xml version="1.0" encoding="utf-8"?>
<ds:datastoreItem xmlns:ds="http://schemas.openxmlformats.org/officeDocument/2006/customXml" ds:itemID="{00F74B81-DEC5-411E-A474-26C935C6F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4a52e-2f99-4b15-8d06-554c40a38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48BF7-98BB-42CA-B83E-0ECE1EFA8B5F}">
  <ds:schemaRefs>
    <ds:schemaRef ds:uri="http://schemas.microsoft.com/sharepoint/v3/contenttype/forms"/>
  </ds:schemaRefs>
</ds:datastoreItem>
</file>

<file path=customXml/itemProps4.xml><?xml version="1.0" encoding="utf-8"?>
<ds:datastoreItem xmlns:ds="http://schemas.openxmlformats.org/officeDocument/2006/customXml" ds:itemID="{4EB6C852-2F3E-4469-9009-702C31E3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1510</Words>
  <Characters>10287</Characters>
  <Application>Microsoft Office Word</Application>
  <DocSecurity>0</DocSecurity>
  <Lines>489</Lines>
  <Paragraphs>181</Paragraphs>
  <ScaleCrop>false</ScaleCrop>
  <HeadingPairs>
    <vt:vector size="2" baseType="variant">
      <vt:variant>
        <vt:lpstr>Title</vt:lpstr>
      </vt:variant>
      <vt:variant>
        <vt:i4>1</vt:i4>
      </vt:variant>
    </vt:vector>
  </HeadingPairs>
  <TitlesOfParts>
    <vt:vector size="1" baseType="lpstr">
      <vt:lpstr>Annex SMC-12/11/2018 17:30h</vt:lpstr>
    </vt:vector>
  </TitlesOfParts>
  <Company>European Commission</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SMC-12/11/2018 17:30h</dc:title>
  <dc:creator>kaimenakis</dc:creator>
  <cp:lastModifiedBy>WES PDFC Administrator</cp:lastModifiedBy>
  <cp:revision>17</cp:revision>
  <cp:lastPrinted>2018-11-09T12:48:00Z</cp:lastPrinted>
  <dcterms:created xsi:type="dcterms:W3CDTF">2018-11-19T18:40:00Z</dcterms:created>
  <dcterms:modified xsi:type="dcterms:W3CDTF">2018-11-27T11:17:00Z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0x010100258AA79CEB83498886A3A08681123250002A4E91E4F8467C41BA287E477D1B3A95</vt:lpwstr>
  </property>
  <property fmtid="{D5CDD505-2E9C-101B-9397-08002B2CF9AE}" pid="3" name="Level of sensitivity">
    <vt:lpwstr>Standard treatment</vt:lpwstr>
  </property>
  <property fmtid="{D5CDD505-2E9C-101B-9397-08002B2CF9AE}" pid="4" name="First annex">
    <vt:lpwstr>1</vt:lpwstr>
  </property>
  <property fmtid="{D5CDD505-2E9C-101B-9397-08002B2CF9AE}" pid="5" name="Last annex">
    <vt:lpwstr>2</vt:lpwstr>
  </property>
  <property fmtid="{D5CDD505-2E9C-101B-9397-08002B2CF9AE}" pid="6" name="Unique annex">
    <vt:lpwstr>0</vt:lpwstr>
  </property>
  <property fmtid="{D5CDD505-2E9C-101B-9397-08002B2CF9AE}" pid="7" name="Part">
    <vt:lpwstr>&lt;UNUSED&gt;</vt:lpwstr>
  </property>
  <property fmtid="{D5CDD505-2E9C-101B-9397-08002B2CF9AE}" pid="8" name="Total parts">
    <vt:lpwstr>&lt;UNUSED&gt;</vt:lpwstr>
  </property>
  <property fmtid="{D5CDD505-2E9C-101B-9397-08002B2CF9AE}" pid="9" name="DocStatus">
    <vt:lpwstr>Green</vt:lpwstr>
  </property>
  <property fmtid="{D5CDD505-2E9C-101B-9397-08002B2CF9AE}" pid="10" name="Created using">
    <vt:lpwstr>LW 6.0.1, Build 20180503</vt:lpwstr>
  </property>
  <property fmtid="{D5CDD505-2E9C-101B-9397-08002B2CF9AE}" pid="11" name="Last edited using">
    <vt:lpwstr>LW 6.0.1, Build 20180503</vt:lpwstr>
  </property>
</Properties>
</file>