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927AA665-109F-4B24-AFF0-9748B8608ECE" style="width:450.35pt;height:393.3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spacing w:after="360" w:line="240" w:lineRule="auto"/>
        <w:jc w:val="center"/>
        <w:rPr>
          <w:rFonts w:ascii="Times New Roman" w:hAnsi="Times New Roman" w:cs="Times New Roman"/>
          <w:b/>
          <w:noProof/>
          <w:sz w:val="36"/>
          <w:szCs w:val="36"/>
          <w:u w:val="single"/>
        </w:rPr>
      </w:pPr>
      <w:bookmarkStart w:id="1" w:name="_GoBack"/>
      <w:bookmarkEnd w:id="1"/>
      <w:r>
        <w:rPr>
          <w:rFonts w:ascii="Times New Roman" w:hAnsi="Times New Roman"/>
          <w:b/>
          <w:noProof/>
          <w:sz w:val="36"/>
          <w:u w:val="single"/>
        </w:rPr>
        <w:lastRenderedPageBreak/>
        <w:t>Koordinoitu suunnitelma Euroopassa tuotetun tekoälyn kehittämisestä ja hyödyntämisestä – 2018</w:t>
      </w:r>
    </w:p>
    <w:p>
      <w:pPr>
        <w:spacing w:after="240" w:line="240" w:lineRule="auto"/>
        <w:jc w:val="both"/>
        <w:rPr>
          <w:rFonts w:ascii="Times New Roman" w:hAnsi="Times New Roman" w:cs="Times New Roman"/>
          <w:noProof/>
          <w:sz w:val="24"/>
          <w:szCs w:val="24"/>
        </w:rPr>
      </w:pPr>
      <w:r>
        <w:rPr>
          <w:rFonts w:ascii="Times New Roman" w:hAnsi="Times New Roman"/>
          <w:noProof/>
          <w:sz w:val="24"/>
        </w:rPr>
        <w:t>Tekoäly on väline, joka voi auttaa meitä vastaamaan eräisiin maailman suurimpiin haasteisiin. Se voi auttaa lääkäreitä tekemään parempia diagnooseja ja kehittämään hoitomenetelmiä sellaisiinkin sairauksiin, joille ei ole vielä minkäänlaista hoitoa. Sen avulla voimme optimoida resurssien käyttöä ja vähentää näin energiankulutusta. Sitä hyödyntämällä voimme vähentää tarvetta käyttää torjunta-aineita ja näin rajoittaa ympäristön likaantumista. Sen avulla voimme laatia parempia sääennusteita ja ennakoida luonnonkatastrofeja. Luetteloa voisi jatkaa lähes loputtomiin. Tekoäly on talouden ja tuottavuuden tulevan kasvun tärkein vauhdittaja, ja se tukee osaltaan Euroopan teollisen pohjan kestävyyttä ja kannattavuutta</w:t>
      </w:r>
      <w:r>
        <w:rPr>
          <w:rFonts w:ascii="Times New Roman" w:hAnsi="Times New Roman"/>
          <w:noProof/>
          <w:sz w:val="24"/>
          <w:vertAlign w:val="superscript"/>
        </w:rPr>
        <w:footnoteReference w:id="2"/>
      </w:r>
      <w:r>
        <w:rPr>
          <w:rFonts w:ascii="Times New Roman" w:hAnsi="Times New Roman"/>
          <w:noProof/>
          <w:sz w:val="24"/>
        </w:rPr>
        <w:t>. Tekoäly muuttaa maailmaa, kuten höyrykone ja sähkö tekivät aikoinaan.</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Euroopan unionin tavoitteena on kehittää luotettavaa tekoälyä, joka pohjautuu Euroopan unionin perusoikeuskirjasta lähteville eettisille ja yhteiskunnallisille arvoille. Pelkkä luottamus tekoälyyn ei riitä, vaan tekoälystä olisi oltava hyötyä myös henkilökohtaisessa ja ammatillisessa käytössä. Euroopan tavoitteena on luoda tekoälylle innovaatiomyönteinen ekosysteemi eli ympäristö, jossa on talouden toimijoita varten infrastruktuuri, tutkimusresursseja, testausympäristöjä, rahoitusta, oikeudellinen kehys ja riittävästi osaamista, jota tekoälyyn investoiminen ja sen käyttöönotto edellyttävät. </w:t>
      </w:r>
      <w:r>
        <w:rPr>
          <w:rFonts w:ascii="Times New Roman" w:hAnsi="Times New Roman"/>
          <w:b/>
          <w:noProof/>
          <w:sz w:val="24"/>
        </w:rPr>
        <w:t>Kaiken kaikkiaan tavoitteena on, että Euroopasta tulee maailman johtava alue alan viimeisintä kehitystä edustavan, eettisen ja turvallisen tekoälyn kehittämisessä ja käyttöönotossa ja että se voi näin edistää ihmiskeskeisen lähestymistavan omaksumista maailmanlaajuisesti.</w:t>
      </w:r>
    </w:p>
    <w:p>
      <w:pPr>
        <w:spacing w:after="240" w:line="240" w:lineRule="auto"/>
        <w:jc w:val="both"/>
        <w:rPr>
          <w:rFonts w:ascii="Times New Roman" w:hAnsi="Times New Roman" w:cs="Times New Roman"/>
          <w:noProof/>
          <w:sz w:val="24"/>
          <w:szCs w:val="24"/>
        </w:rPr>
      </w:pPr>
      <w:r>
        <w:rPr>
          <w:rFonts w:ascii="Times New Roman" w:hAnsi="Times New Roman"/>
          <w:noProof/>
          <w:sz w:val="24"/>
        </w:rPr>
        <w:t>Tekoäly on ollut EU:n neuvoston asialistalla silloisen puheenjohtajamaa Viron syyskuussa 2017 järjestämästä digitaalihuippukokouksesta lähtien. 25. huhtikuuta 2018 annetussa tiedonannossa ”Tekoäly Euroopalle”</w:t>
      </w:r>
      <w:r>
        <w:rPr>
          <w:rStyle w:val="FootnoteReference"/>
          <w:rFonts w:ascii="Times New Roman" w:hAnsi="Times New Roman"/>
          <w:noProof/>
          <w:sz w:val="24"/>
        </w:rPr>
        <w:footnoteReference w:id="3"/>
      </w:r>
      <w:r>
        <w:rPr>
          <w:rFonts w:ascii="Times New Roman" w:hAnsi="Times New Roman"/>
          <w:noProof/>
          <w:sz w:val="24"/>
        </w:rPr>
        <w:t xml:space="preserve"> ehdotetaan eurooppalaista strategiaa tämän tavoitteen tueksi. Tiedonannossa ehdotetaan myös tekoälyn kehittämistä Euroopassa koskevaa koordinoitua suunnitelmaa</w:t>
      </w:r>
      <w:r>
        <w:rPr>
          <w:rStyle w:val="FootnoteReference"/>
          <w:rFonts w:ascii="Times New Roman" w:hAnsi="Times New Roman"/>
          <w:noProof/>
          <w:sz w:val="24"/>
        </w:rPr>
        <w:footnoteReference w:id="4"/>
      </w:r>
      <w:r>
        <w:rPr>
          <w:rFonts w:ascii="Times New Roman" w:hAnsi="Times New Roman"/>
          <w:noProof/>
          <w:sz w:val="24"/>
        </w:rPr>
        <w:t>, joka laaditaan yhdessä jäsenvaltioiden kanssa vuoden 2018 loppuun mennessä. Eurooppa-neuvosto tuki tätä ehdotus</w:t>
      </w:r>
      <w:r>
        <w:rPr>
          <w:rStyle w:val="FootnoteReference"/>
          <w:rFonts w:ascii="Times New Roman" w:hAnsi="Times New Roman"/>
          <w:noProof/>
          <w:sz w:val="24"/>
        </w:rPr>
        <w:footnoteReference w:id="5"/>
      </w:r>
      <w:r>
        <w:rPr>
          <w:rFonts w:ascii="Times New Roman" w:hAnsi="Times New Roman"/>
          <w:noProof/>
          <w:sz w:val="24"/>
        </w:rPr>
        <w:t>. Tällä asiakirjalla on tarkoitus vastata tuohon pyyntöön. Eurooppa voi tehdä tästä visiosta todellisuutta ainoastaan jäsenvaltioiden ja komission yhteistyöllä.</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Koordinoitu suunnitelma perustuu yhteistyöjulistukseen, jonka kaikki EU:n jäsenvaltiot ja Norja allekirjoittivat vuoden 2018 Digital Day -tapahtumassa</w:t>
      </w:r>
      <w:r>
        <w:rPr>
          <w:rStyle w:val="FootnoteReference"/>
          <w:rFonts w:ascii="Times New Roman" w:hAnsi="Times New Roman"/>
          <w:noProof/>
          <w:sz w:val="24"/>
        </w:rPr>
        <w:footnoteReference w:id="6"/>
      </w:r>
      <w:r>
        <w:rPr>
          <w:rFonts w:ascii="Times New Roman" w:hAnsi="Times New Roman"/>
          <w:noProof/>
          <w:sz w:val="24"/>
        </w:rPr>
        <w:t xml:space="preserve"> ja jossa korostetaan halua tehdä tiiviimpää yhteistyötä tekoälyn alalla. EU:n puheenjohtajamaana toimiva Itävalta otti myös tekoälyn yhdeksi teollisuuden digitalisointiin liittyväksi prioriteetiksi</w:t>
      </w:r>
      <w:r>
        <w:rPr>
          <w:rStyle w:val="FootnoteReference"/>
          <w:rFonts w:ascii="Times New Roman" w:hAnsi="Times New Roman"/>
          <w:noProof/>
          <w:sz w:val="24"/>
        </w:rPr>
        <w:footnoteReference w:id="7"/>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Koordinoidun suunnitelman päätavoitteina on maksimoida investointien vaikutus EU:n ja jäsenvaltioiden tasolla, edistää synergioita ja yhteistyötä koko EU:ssa, myös eettisissä kysymyksissä, tukea parhaiden käytäntöjen vaihtoa sekä määritellä yhdessä tie eteenpäin. Toimimalla yhdessä unioni voi maksimoida suunnitelman vaikutuksen voidakseen kilpailla maailmanlaajuisesti. </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Euroopan teollisuuden digitalisointia ja tekoälyä käsittelevä jäsenvaltioiden ryhmä ja komissio keskustelivat vuoden 2018 kesäkuun ja marraskuun välisenä aikana mahdollisista yhteistyön osa-alueista. Jotta voitaisiin pysyä tekoälyn yhteiskunnassa ja taloudessa aiheuttamien nopeiden muutosten tasalla, jäsenvaltiot, Norja ja Sveitsi sopivat koordinoidusta suunnitelmasta, jota seurataan ja tarkistetaan vuosittain sen varmistamiseksi, että se pysyy ajan tasalla. Tämä asiakirja on suunnitelman ensimmäinen versio. Se sisältää lähinnä vuosina 2019 ja 2020 toteutettavia toimia, ja painopiste on nykyisessä rahoituskehyksessä suunnitelluissa EU:n tason toimissa. Suunnitelman odotetaan ulottuvan seuraavalle vuosikymmenelle, mahdollisesti vuoteen 2027, seuraavan monivuotisen rahoituskehyksen mukaisesti</w:t>
      </w:r>
      <w:r>
        <w:rPr>
          <w:rStyle w:val="FootnoteReference"/>
          <w:rFonts w:ascii="Times New Roman" w:hAnsi="Times New Roman"/>
          <w:noProof/>
          <w:sz w:val="24"/>
        </w:rPr>
        <w:footnoteReference w:id="8"/>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Koordinoidun toiminnan on todettu olevan tarpeellista tekoälyyn liittyvien investointien, huippuosaamisen ja tekoälyn leviämisen, datan saatavuuden, yhteiskunnallisten haasteiden, eettisten kysymysten ja sääntelykehyksen aloilla. Toimet koskevat sekä yksityistä että julkista sektoria, joiden välillä on monia synergioita.</w:t>
      </w:r>
    </w:p>
    <w:p>
      <w:pPr>
        <w:spacing w:before="240" w:after="120" w:line="240" w:lineRule="auto"/>
        <w:jc w:val="both"/>
        <w:rPr>
          <w:rFonts w:ascii="Times New Roman" w:hAnsi="Times New Roman" w:cs="Times New Roman"/>
          <w:b/>
          <w:i/>
          <w:noProof/>
          <w:sz w:val="24"/>
          <w:szCs w:val="24"/>
        </w:rPr>
      </w:pPr>
      <w:r>
        <w:rPr>
          <w:rFonts w:ascii="Times New Roman" w:hAnsi="Times New Roman"/>
          <w:b/>
          <w:i/>
          <w:noProof/>
          <w:sz w:val="24"/>
        </w:rPr>
        <w:t xml:space="preserve">”Euroopassa tuotettu tekoäly”, joka täyttää kansalaisten odotukset, vastaa yhteiskunnan tarpeisiin ja parantaa kilpailukykyä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Koordinoitu suunnitelma maksimoi tekoälyn hyödyt kaikille eurooppalaisille edistämällä sellaisen luotettavan tekoälyn kehittämistä, joka vastaa eurooppalaisia eettisiä arvoja ja kansalaisten toiveita. Eurooppa lisää asteittain toimiaan yleistä etua koskevilla aloilla, kuten terveydenhoidossa, liikenteessä, turvallisuusalalla, koulutuksessa ja energia-alalla, sekä muilla aloilla, kuten valmistuksessa ja rahoituspalveluissa (myös lohkoketjun kautta).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Tämä suunnitelma kokoaa yhteen konkreettisia ja toisiaan täydentäviä EU:n, kansallisen ja alueellisen tason toimia</w:t>
      </w:r>
      <w:r>
        <w:rPr>
          <w:rStyle w:val="FootnoteReference"/>
          <w:rFonts w:ascii="Times New Roman" w:hAnsi="Times New Roman"/>
          <w:noProof/>
          <w:sz w:val="24"/>
        </w:rPr>
        <w:footnoteReference w:id="9"/>
      </w:r>
      <w:r>
        <w:rPr>
          <w:rFonts w:ascii="Times New Roman" w:hAnsi="Times New Roman"/>
          <w:noProof/>
          <w:sz w:val="24"/>
        </w:rPr>
        <w:t>, joilla pyritään</w:t>
      </w:r>
    </w:p>
    <w:p>
      <w:pPr>
        <w:pStyle w:val="ListParagraph"/>
        <w:numPr>
          <w:ilvl w:val="0"/>
          <w:numId w:val="17"/>
        </w:numPr>
        <w:spacing w:after="240" w:line="240" w:lineRule="auto"/>
        <w:jc w:val="both"/>
        <w:rPr>
          <w:rFonts w:ascii="Times New Roman" w:hAnsi="Times New Roman"/>
          <w:noProof/>
          <w:sz w:val="24"/>
        </w:rPr>
      </w:pPr>
      <w:r>
        <w:rPr>
          <w:rFonts w:ascii="Times New Roman" w:hAnsi="Times New Roman"/>
          <w:noProof/>
          <w:sz w:val="24"/>
        </w:rPr>
        <w:t>lisäämään investointeja ja vahvistamaan huippuosaamista sellaisten tekoälyteknologioiden ja -sovellusten alalla, jotka ovat luotettavia ja ”sisäänrakennetusti eettisiä ja turvallisia”. Investoinnit toteutetaan vakaassa sääntely-ympäristössä, joka mahdollistaa kokeilun ja tukee disruptiivista innovointia kaikkialla EU:ssa. Tämä varmistaa tekoälyn mahdollisimman laajan ja onnistuneen käytön Euroopan taloudessa ja yhteiskunnassa;</w:t>
      </w:r>
    </w:p>
    <w:p>
      <w:pPr>
        <w:pStyle w:val="ListParagraph"/>
        <w:numPr>
          <w:ilvl w:val="0"/>
          <w:numId w:val="17"/>
        </w:numPr>
        <w:spacing w:after="240" w:line="240" w:lineRule="auto"/>
        <w:jc w:val="both"/>
        <w:rPr>
          <w:rFonts w:ascii="Times New Roman" w:hAnsi="Times New Roman" w:cs="Times New Roman"/>
          <w:noProof/>
          <w:sz w:val="24"/>
          <w:szCs w:val="24"/>
        </w:rPr>
      </w:pPr>
      <w:r>
        <w:rPr>
          <w:rFonts w:ascii="Times New Roman" w:hAnsi="Times New Roman"/>
          <w:noProof/>
          <w:sz w:val="24"/>
        </w:rPr>
        <w:t>hyödyntämään Euroopan vahvuuksia ja kehittämään ja toteuttamaan yhteistyössä teollisuuden ja jäsenvaltioiden kanssa yritysten ja korkeakoulujen tutkimus- ja kehitysyhteistyötä ja innovointia koskevia yhteisiä linjauksia;</w:t>
      </w:r>
    </w:p>
    <w:p>
      <w:pPr>
        <w:pStyle w:val="ListParagraph"/>
        <w:numPr>
          <w:ilvl w:val="0"/>
          <w:numId w:val="17"/>
        </w:numPr>
        <w:spacing w:after="240" w:line="240" w:lineRule="auto"/>
        <w:jc w:val="both"/>
        <w:rPr>
          <w:rFonts w:ascii="Times New Roman" w:hAnsi="Times New Roman" w:cs="Times New Roman"/>
          <w:noProof/>
          <w:sz w:val="24"/>
          <w:szCs w:val="24"/>
        </w:rPr>
      </w:pPr>
      <w:r>
        <w:rPr>
          <w:rFonts w:ascii="Times New Roman" w:hAnsi="Times New Roman"/>
          <w:noProof/>
          <w:sz w:val="24"/>
        </w:rPr>
        <w:t>mukauttamaan koulutusohjelmia ja -järjestelmiä Euroopan yhteiskunnan ja sen tulevien sukupolvien valmistelemiseksi tekoälyn käyttöön;</w:t>
      </w:r>
    </w:p>
    <w:p>
      <w:pPr>
        <w:pStyle w:val="ListParagraph"/>
        <w:numPr>
          <w:ilvl w:val="0"/>
          <w:numId w:val="17"/>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kehittämään Euroopassa tekoälyn taustalla olevia olennaisia valmiuksia, kuten data-avaruuksia ja maailmanluokan vertailulaitoksia testausta ja kokeilua varten; </w:t>
      </w:r>
    </w:p>
    <w:p>
      <w:pPr>
        <w:pStyle w:val="ListParagraph"/>
        <w:numPr>
          <w:ilvl w:val="0"/>
          <w:numId w:val="17"/>
        </w:numPr>
        <w:spacing w:after="240" w:line="240" w:lineRule="auto"/>
        <w:jc w:val="both"/>
        <w:rPr>
          <w:rFonts w:ascii="Times New Roman" w:hAnsi="Times New Roman" w:cs="Times New Roman"/>
          <w:noProof/>
          <w:sz w:val="24"/>
          <w:szCs w:val="24"/>
        </w:rPr>
      </w:pPr>
      <w:r>
        <w:rPr>
          <w:rFonts w:ascii="Times New Roman" w:hAnsi="Times New Roman"/>
          <w:noProof/>
          <w:sz w:val="24"/>
        </w:rPr>
        <w:t>tekemään Euroopan julkishallinnoista edelläkävijöitä tekoälyn käytössä;</w:t>
      </w:r>
    </w:p>
    <w:p>
      <w:pPr>
        <w:pStyle w:val="ListParagraph"/>
        <w:numPr>
          <w:ilvl w:val="0"/>
          <w:numId w:val="17"/>
        </w:numPr>
        <w:spacing w:after="240" w:line="240" w:lineRule="auto"/>
        <w:jc w:val="both"/>
        <w:rPr>
          <w:rFonts w:ascii="Times New Roman" w:hAnsi="Times New Roman" w:cs="Times New Roman"/>
          <w:noProof/>
          <w:sz w:val="24"/>
          <w:szCs w:val="24"/>
        </w:rPr>
      </w:pPr>
      <w:r>
        <w:rPr>
          <w:rFonts w:ascii="Times New Roman" w:hAnsi="Times New Roman"/>
          <w:noProof/>
          <w:sz w:val="24"/>
        </w:rPr>
        <w:t>panemaan asiantuntijoiden työn pohjalta täytäntöön tekoälyn kehittämistä ja käyttöä koskevat selkeät eettiset suuntaviivat, joissa kunnioitetaan täysimääräisesti perusoikeuksia, jotta voidaan vahvistaa maailmanlaajuiset eettiset normit ja saavuttaa maailmanlaajuinen johtoasema eettisen ja luotettavan tekoälyn alalla;</w:t>
      </w:r>
    </w:p>
    <w:p>
      <w:pPr>
        <w:pStyle w:val="ListParagraph"/>
        <w:numPr>
          <w:ilvl w:val="0"/>
          <w:numId w:val="17"/>
        </w:numPr>
        <w:spacing w:after="240" w:line="240" w:lineRule="auto"/>
        <w:jc w:val="both"/>
        <w:rPr>
          <w:rFonts w:ascii="Times New Roman" w:hAnsi="Times New Roman" w:cs="Times New Roman"/>
          <w:noProof/>
          <w:sz w:val="24"/>
          <w:szCs w:val="24"/>
        </w:rPr>
      </w:pPr>
      <w:r>
        <w:rPr>
          <w:rFonts w:ascii="Times New Roman" w:hAnsi="Times New Roman"/>
          <w:noProof/>
          <w:sz w:val="24"/>
        </w:rPr>
        <w:t>tarvittaessa tarkastelemaan uudelleen voimassa olevia kansallisia ja EU:n lainsäädäntökehyksiä niiden mukauttamiseksi paremmin erityisiä haasteita vastaaviksi.</w:t>
      </w:r>
    </w:p>
    <w:p>
      <w:pPr>
        <w:spacing w:before="240" w:after="120" w:line="240" w:lineRule="auto"/>
        <w:jc w:val="both"/>
        <w:rPr>
          <w:rFonts w:ascii="Times New Roman" w:hAnsi="Times New Roman" w:cs="Times New Roman"/>
          <w:b/>
          <w:i/>
          <w:noProof/>
          <w:sz w:val="24"/>
          <w:szCs w:val="24"/>
        </w:rPr>
      </w:pPr>
      <w:r>
        <w:rPr>
          <w:rFonts w:ascii="Times New Roman" w:hAnsi="Times New Roman"/>
          <w:b/>
          <w:i/>
          <w:noProof/>
          <w:sz w:val="24"/>
        </w:rPr>
        <w:t>Keskeiset mahdollistavat teknologiat</w:t>
      </w:r>
    </w:p>
    <w:p>
      <w:pPr>
        <w:spacing w:after="240" w:line="240" w:lineRule="auto"/>
        <w:jc w:val="both"/>
        <w:rPr>
          <w:rFonts w:ascii="Times New Roman" w:hAnsi="Times New Roman" w:cs="Times New Roman"/>
          <w:noProof/>
          <w:sz w:val="24"/>
          <w:szCs w:val="24"/>
        </w:rPr>
      </w:pPr>
      <w:r>
        <w:rPr>
          <w:rFonts w:ascii="Times New Roman" w:hAnsi="Times New Roman"/>
          <w:noProof/>
          <w:sz w:val="24"/>
        </w:rPr>
        <w:t>Tekoälyn kehitys avaa uusia mahdollisuuksia monilla aloilla, joita ovat muun muassa yksilöllinen terveydenhoito ja täsmälääketiede, liikkuvuus (autonomiset ajoneuvot</w:t>
      </w:r>
      <w:r>
        <w:rPr>
          <w:rStyle w:val="FootnoteReference"/>
          <w:rFonts w:ascii="Times New Roman" w:hAnsi="Times New Roman"/>
          <w:noProof/>
          <w:sz w:val="24"/>
        </w:rPr>
        <w:footnoteReference w:id="10"/>
      </w:r>
      <w:r>
        <w:rPr>
          <w:rFonts w:ascii="Times New Roman" w:hAnsi="Times New Roman"/>
          <w:noProof/>
          <w:sz w:val="24"/>
        </w:rPr>
        <w:t xml:space="preserve">), rahoitusteknologia, kehittynyt valmistus, avaruusperusteiset sovellukset, älykkäät sähköverkot, kestävä kierto- ja biotalous, rikollisen toiminnan parempi havaitseminen ja tutkinta (esim. rahanpesu, veropetokset) ja media.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Tällainen digitalisaatio edellyttää monissa tapauksissa nykyisin käytettävissä olevan infrastruktuurin merkittävää parantamista. Tekoälyn tehokas toteuttaminen edellyttää digitaalisten sisämarkkinoiden ja sen sääntelykehyksen toteuttamista. Tähän sisältyvät Euroopan kyberturvallisuuden teollisuus-, teknologia- ja tutkimusosaamiskeskuksen ja kansallisten koordinointikeskusten verkoston perustamista koskevan komission ehdotuksen</w:t>
      </w:r>
      <w:r>
        <w:rPr>
          <w:rStyle w:val="FootnoteReference"/>
          <w:rFonts w:ascii="Times New Roman" w:hAnsi="Times New Roman"/>
          <w:noProof/>
          <w:sz w:val="24"/>
        </w:rPr>
        <w:footnoteReference w:id="11"/>
      </w:r>
      <w:r>
        <w:rPr>
          <w:rFonts w:ascii="Times New Roman" w:hAnsi="Times New Roman"/>
          <w:noProof/>
          <w:sz w:val="24"/>
        </w:rPr>
        <w:t xml:space="preserve"> nopea hyväksyminen, liitettävyyden parantaminen taajuuksien koordinoinnin avulla, erittäin nopeat 5G-mobiiliverkot ja optiset kuidut, seuraavan sukupolven pilvipalvelut sekä satelliittiteknologiat</w:t>
      </w:r>
      <w:r>
        <w:rPr>
          <w:rStyle w:val="FootnoteReference"/>
          <w:rFonts w:ascii="Times New Roman" w:hAnsi="Times New Roman"/>
          <w:noProof/>
          <w:sz w:val="24"/>
        </w:rPr>
        <w:footnoteReference w:id="12"/>
      </w:r>
      <w:r>
        <w:rPr>
          <w:rFonts w:ascii="Times New Roman" w:hAnsi="Times New Roman"/>
          <w:noProof/>
          <w:sz w:val="24"/>
        </w:rPr>
        <w:t>. Suurteholaskenta ja tekoäly kietoutuvat entistä tiiviimmin toisiinsa siirtyessämme kohti tulevaisuutta, jossa käytetään uusia laskenta-, tallennus- ja viestintäteknologioita. Myös infrastruktuurien olisi oltava sekä helposti käytettäviä että edullisia, jotta voidaan varmistaa tekoälyn osallistava käyttöönotto kaikkialla Euroopassa, etenkin pienissä ja keskisuurissa yrityksissä (pk-yrityksissä). Teollisuuden ja erityisesti pienten ja nuorten yritysten on oltava asemassa, jossa ne ovat tietoisia näistä teknologioista ja voivat integroida niitä uusiin tuotteisiin ja palveluihin ja näihin liittyviin tuotantoprosesseihin ja -teknologioihin. Tähän sisältyy myös työntekijöiden osaamisen kehittäminen ja uudelleenkoulutus. Myös standardointi on olennaisen tärkeää tekoälyn kehittämiselle digitaalisilla sisämarkkinoilla, sillä se auttaa muun muassa varmistamaan yhteentoimivuuden.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Paradigmamuutosta tarvitaan myös tapauksissa, joissa dataa on käsiteltävä paikallisesti (esimerkiksi verkkoon liitetyissä automatisoidussa autoilussa, jossa on pystyttävä tekemään nopeita päätöksiä odottamatta etäpalvelimen vastausta). Tämä kehityssuuntaus lisää kehittyneiden, pienitehoisten puolijohdinteknologioiden kysyntää. Skaalauksen lisäksi myös muita uusia paradigmoja on jo nousemassa esiin, ja myös energian kestävän käytön varmistamiseksi tarvitaan uusia energiatehokkaita laskenta-arkkitehtuureja (kuten neuromorfiset ja kvanttiteknologiat). Jäsenvaltioiden ja unionin nykyiset kumppanuudet, jotka toteutetaan yhteisyritysten muodossa, kuten ECSEL</w:t>
      </w:r>
      <w:r>
        <w:rPr>
          <w:rStyle w:val="FootnoteReference"/>
          <w:rFonts w:ascii="Times New Roman" w:hAnsi="Times New Roman"/>
          <w:noProof/>
          <w:sz w:val="24"/>
        </w:rPr>
        <w:footnoteReference w:id="13"/>
      </w:r>
      <w:r>
        <w:rPr>
          <w:rFonts w:ascii="Times New Roman" w:hAnsi="Times New Roman"/>
          <w:noProof/>
          <w:sz w:val="24"/>
        </w:rPr>
        <w:t xml:space="preserve"> (elektroniset komponentit ja järjestelmät) ja EuroHPC</w:t>
      </w:r>
      <w:r>
        <w:rPr>
          <w:rStyle w:val="FootnoteReference"/>
          <w:rFonts w:ascii="Times New Roman" w:hAnsi="Times New Roman"/>
          <w:noProof/>
          <w:sz w:val="24"/>
        </w:rPr>
        <w:footnoteReference w:id="14"/>
      </w:r>
      <w:r>
        <w:rPr>
          <w:rFonts w:ascii="Times New Roman" w:hAnsi="Times New Roman"/>
          <w:noProof/>
          <w:sz w:val="24"/>
        </w:rPr>
        <w:t xml:space="preserve"> (suurteholaskenta), samoin kuin tutkimuksen ja innovoinnin puiteohjelman ”Horisontti 2020” kvanttiteknologiaa koskeva lippulaivahanke ovat keskeisessä asemassa massadatan käsittelyn ja tekoälyn jatkokehityksen kannalta.</w:t>
      </w:r>
    </w:p>
    <w:p>
      <w:pPr>
        <w:spacing w:after="240" w:line="240" w:lineRule="auto"/>
        <w:jc w:val="both"/>
        <w:rPr>
          <w:rFonts w:ascii="Times New Roman" w:hAnsi="Times New Roman" w:cs="Times New Roman"/>
          <w:noProof/>
          <w:sz w:val="24"/>
          <w:szCs w:val="24"/>
        </w:rPr>
      </w:pPr>
      <w:r>
        <w:rPr>
          <w:rFonts w:ascii="Times New Roman" w:hAnsi="Times New Roman"/>
          <w:noProof/>
          <w:sz w:val="24"/>
        </w:rPr>
        <w:t>Jäsenvaltiot ja komissio tukevat jatkuvasti keskeisten mahdollistavien teknologioiden käyttöönottoa ja ottavat tekoälyn osaksi niihin liittyviä hankkeita.</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Koordinoitu suunnitelma liittää toisiinsa näillä aloilla käynnissä olevat rinnakkaiset strategiat.</w:t>
      </w:r>
    </w:p>
    <w:p>
      <w:pPr>
        <w:pStyle w:val="ListParagraph"/>
        <w:numPr>
          <w:ilvl w:val="1"/>
          <w:numId w:val="1"/>
        </w:numPr>
        <w:spacing w:before="360" w:after="240" w:line="240" w:lineRule="auto"/>
        <w:ind w:left="567" w:hanging="567"/>
        <w:contextualSpacing w:val="0"/>
        <w:jc w:val="both"/>
        <w:rPr>
          <w:rFonts w:ascii="Times New Roman" w:hAnsi="Times New Roman"/>
          <w:b/>
          <w:noProof/>
          <w:sz w:val="24"/>
          <w:u w:val="single"/>
        </w:rPr>
      </w:pPr>
      <w:r>
        <w:rPr>
          <w:rFonts w:ascii="Times New Roman" w:hAnsi="Times New Roman"/>
          <w:b/>
          <w:noProof/>
          <w:sz w:val="24"/>
          <w:u w:val="single"/>
        </w:rPr>
        <w:t>Strategiset toimet ja koordinointi</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Komissio esitteli tekoälyä koskevan lähestymistapansa huhtikuussa 2018 julkaistussa tiedonannossa ”Tekoäly Euroopalle”. Se perustuu kolmeen pilariin:</w:t>
      </w:r>
    </w:p>
    <w:p>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Tehostetaan EU:n teknologisia ja teollisia valmiuksia ja tekoälyn käyttöönottoa kaikilla talouden aloilla, sekä yksityisellä että julkisella sektorilla;</w:t>
      </w:r>
    </w:p>
    <w:p>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Valmistaudutaan tekoälyn mukanaan tuomiin sosioekonomisiin muutoksiin;</w:t>
      </w:r>
    </w:p>
    <w:p>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Varmistetaan tarvittava eettinen ja oikeudellinen kehys, joka perustuu unionin arvoihin ja on Euroopan unionin perusoikeuskirjan mukainen.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Kuten huhtikuisessa tiedonannossa ilmoitettiin, komissio on antanut tekoälyä käsittelevän korkean tason asiantuntijaryhmän tehtäväksi laatia tekoälyä koskevien eettisten suuntaviivojen luonnos. Korkean tason työryhmä antaa myös toimintapoliittisia suosituksia investoinneista ja sääntelykehyksestä.</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Komissio on lisäksi antanut vastuuta ja uusia teknologioita käsittelevän asiantuntijaryhmän tehtäväksi avustaa komissiota tuotevastuudirektiivin täytäntöönpanoa koskevien ohjeiden laatimisessa ja sellaisten EU:n laajuisten periaatteiden kehittämisessä, joita voidaan käyttää suuntaviivoina sovellettavien lakien mahdollisessa mukauttamisessa EU:n ja jäsenvaltioiden tasolla.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Verkkopohjaisen alustatalouden seurantakeskusta käsittelevä komission asiantuntijaryhmä tarkastelee lisäksi toimintapoliittisia kysymyksiä tekoälyyn liittyvillä sääntelyaloilla, joita ovat muun muassa datan saatavuus</w:t>
      </w:r>
      <w:r>
        <w:rPr>
          <w:rStyle w:val="FootnoteReference"/>
          <w:rFonts w:ascii="Times New Roman" w:hAnsi="Times New Roman"/>
          <w:noProof/>
          <w:sz w:val="24"/>
        </w:rPr>
        <w:footnoteReference w:id="15"/>
      </w:r>
      <w:r>
        <w:rPr>
          <w:rFonts w:ascii="Times New Roman" w:hAnsi="Times New Roman"/>
          <w:noProof/>
          <w:sz w:val="24"/>
        </w:rPr>
        <w:t xml:space="preserve">, verkkomainonta ja algoritmien rooli digitaalisessa alustataloudessa.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Komissio on lisäksi perustanut korkean tason asiantuntijaryhmän, joka käsittelee digitalisaation vaikutusta EU:n työmarkkinoihin</w:t>
      </w:r>
      <w:r>
        <w:rPr>
          <w:rStyle w:val="FootnoteReference"/>
          <w:rFonts w:ascii="Times New Roman" w:hAnsi="Times New Roman"/>
          <w:noProof/>
          <w:sz w:val="24"/>
        </w:rPr>
        <w:footnoteReference w:id="16"/>
      </w:r>
      <w:r>
        <w:rPr>
          <w:rFonts w:ascii="Times New Roman" w:hAnsi="Times New Roman"/>
          <w:noProof/>
          <w:sz w:val="24"/>
        </w:rPr>
        <w:t>. Ryhmä antaa keväällä 2019 raportin, jossa käsitellään strategioita työmarkkinoiden häiriötilanteista selviämiseksi.</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Tekoälyyn tehtävät investoinnit ovat unionissa alhaisella tasolla ja hajanaisia verrattuna muuhun maailmaan, kuten Yhdysvaltoihin ja Kiinaan. Tämän puutteen korjaamiseksi huhtikuisessa tiedonannossa asetetaan kunnianhimoinen tavoite investointien lisäämiseksi siten, että kokonaisinvestoinnit (julkinen ja yksityinen sektori yhteensä) ovat vähintään 20 miljardia euroa vuosina 2018–2020 ja että investointeja lisätään asteittain 20 miljardiin euroon vuodessa seuraavan vuosikymmenen aikana. </w:t>
      </w:r>
    </w:p>
    <w:p>
      <w:pPr>
        <w:spacing w:after="240" w:line="240" w:lineRule="auto"/>
        <w:jc w:val="both"/>
        <w:rPr>
          <w:rFonts w:ascii="Times New Roman" w:hAnsi="Times New Roman"/>
          <w:noProof/>
          <w:sz w:val="24"/>
        </w:rPr>
      </w:pPr>
      <w:r>
        <w:rPr>
          <w:rFonts w:ascii="Times New Roman" w:hAnsi="Times New Roman"/>
          <w:noProof/>
          <w:sz w:val="24"/>
        </w:rPr>
        <w:t>Komission kasvattaa tutkimuksen ja innovoinnin puiteohjelmassa ”Horisontti 2020” tekoälyyn tehtävät investoinnit 1,5 miljardiin euroon vuosina 2018–2020, mikä merkitsee 70 prosentin lisäystä vuosiin 2014–2017 verrattuna. Seuraavan monivuotisen rahoituskehyksen osalta komissio on ehdottanut, että tekoälyyn investoidaan vähintään 1 miljardi euroa vuodessa Horisontti Eurooppa</w:t>
      </w:r>
      <w:r>
        <w:rPr>
          <w:rStyle w:val="FootnoteReference"/>
          <w:rFonts w:ascii="Times New Roman" w:hAnsi="Times New Roman"/>
          <w:noProof/>
          <w:sz w:val="24"/>
        </w:rPr>
        <w:footnoteReference w:id="17"/>
      </w:r>
      <w:r>
        <w:rPr>
          <w:rFonts w:ascii="Times New Roman" w:hAnsi="Times New Roman"/>
          <w:noProof/>
          <w:sz w:val="24"/>
        </w:rPr>
        <w:t xml:space="preserve"> - ja Digitaalinen Eurooppa</w:t>
      </w:r>
      <w:r>
        <w:rPr>
          <w:rFonts w:ascii="Times New Roman" w:hAnsi="Times New Roman"/>
          <w:noProof/>
          <w:sz w:val="24"/>
          <w:vertAlign w:val="superscript"/>
        </w:rPr>
        <w:footnoteReference w:id="18"/>
      </w:r>
      <w:r>
        <w:rPr>
          <w:rFonts w:ascii="Times New Roman" w:hAnsi="Times New Roman"/>
          <w:noProof/>
          <w:sz w:val="24"/>
        </w:rPr>
        <w:t xml:space="preserve"> -ohjelmista. Komissio tarkastelee myös mahdollisuuksia mobilisoida investointeja Euroopan strategisten investointien rahastosta ja Euroopan rakenne- ja investointirahastoista. Esimerkiksi Euroopan aluekehitysrahaston odotetaan investoivan tekoälyyn seuraavan sukupolven älykkään erikoistumisen strategioiden pohjalta.</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Kohdennettu tekoälystrategia on tähän mennessä otettu käyttöön Ranskassa, Suomessa, Ruotsissa, Yhdistyneessä kuningaskunnassa ja Saksassa. Eräissä jäsenvaltioissa, kuten Tanskassa, Luxemburgissa, Alankomaissa ja Irlannissa, sekä Norjassa tekoälyyn liittyvät toimet sisältyvät laajempiin digitalisaatiostrategioihin. Lisäksi Itävalta, Belgia, Tšekki, Tanska, Viro, Saksa, Italia, Latvia, Puola, Portugali, Slovenia, Slovakia ja Espanja ovat parhaillaan laatimassa strategioita</w:t>
      </w:r>
      <w:r>
        <w:rPr>
          <w:rStyle w:val="FootnoteReference"/>
          <w:rFonts w:ascii="Times New Roman" w:hAnsi="Times New Roman"/>
          <w:noProof/>
          <w:sz w:val="24"/>
        </w:rPr>
        <w:footnoteReference w:id="19"/>
      </w:r>
      <w:r>
        <w:rPr>
          <w:rFonts w:ascii="Times New Roman" w:hAnsi="Times New Roman"/>
          <w:noProof/>
          <w:sz w:val="24"/>
        </w:rPr>
        <w:t>. Investointien maksimoimiseksi, tärkeiden resurssien, kuten datan, kokoamiseksi yhteen ja saumattoman sääntely-ympäristön luomiseksi kaikkien jäsenvaltioiden on otettava käyttöön kansallinen tekoälystrategia ja sitä tukevat toimenpiteet Digital Day -tapahtuman tekoälyä koskevassa yhteistyöjulistuksessa ilmaisemansa aikomuksen mukaisesti.</w:t>
      </w:r>
    </w:p>
    <w:p>
      <w:pPr>
        <w:spacing w:after="240" w:line="240" w:lineRule="auto"/>
        <w:jc w:val="both"/>
        <w:rPr>
          <w:rFonts w:ascii="Times New Roman" w:hAnsi="Times New Roman" w:cs="Times New Roman"/>
          <w:noProof/>
          <w:sz w:val="24"/>
          <w:szCs w:val="24"/>
        </w:rPr>
      </w:pPr>
      <w:r>
        <w:rPr>
          <w:rFonts w:ascii="Times New Roman" w:hAnsi="Times New Roman"/>
          <w:noProof/>
          <w:sz w:val="24"/>
        </w:rPr>
        <w:t>Jäsenvaltiot ja komissio seuraavat vuosittain edistymistä suunnitelman toteuttamisessa</w:t>
      </w:r>
      <w:r>
        <w:rPr>
          <w:rStyle w:val="FootnoteReference"/>
          <w:rFonts w:ascii="Times New Roman" w:hAnsi="Times New Roman"/>
          <w:noProof/>
          <w:sz w:val="24"/>
        </w:rPr>
        <w:footnoteReference w:id="20"/>
      </w:r>
      <w:r>
        <w:rPr>
          <w:rFonts w:ascii="Times New Roman" w:hAnsi="Times New Roman"/>
          <w:noProof/>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88"/>
      </w:tblGrid>
      <w:tr>
        <w:tc>
          <w:tcPr>
            <w:tcW w:w="9288" w:type="dxa"/>
            <w:shd w:val="clear" w:color="auto" w:fill="DBE5F1" w:themeFill="accent1" w:themeFillTint="33"/>
          </w:tcPr>
          <w:p>
            <w:pPr>
              <w:numPr>
                <w:ilvl w:val="0"/>
                <w:numId w:val="6"/>
              </w:numPr>
              <w:spacing w:after="120"/>
              <w:ind w:left="357" w:hanging="357"/>
              <w:jc w:val="both"/>
              <w:rPr>
                <w:rFonts w:ascii="Times New Roman" w:hAnsi="Times New Roman" w:cs="Times New Roman"/>
                <w:b/>
                <w:noProof/>
                <w:sz w:val="24"/>
                <w:szCs w:val="24"/>
              </w:rPr>
            </w:pPr>
            <w:r>
              <w:rPr>
                <w:rFonts w:ascii="Times New Roman" w:hAnsi="Times New Roman"/>
                <w:b/>
                <w:noProof/>
                <w:sz w:val="24"/>
              </w:rPr>
              <w:t>Kaikkia jäsenvaltioita kannustetaan ottamaan vuoden 2019 puoliväliin mennessä käyttöön - ja jakamaan muiden jäsenvaltioiden ja komission kanssa - kansalliset tekoälystrategiat tai -ohjelmat, joissa hahmotellaan investointitasot ja täytäntöönpanotoimenpiteet, tai lisäämään tekoälyä koskevat ulottuvuudet muihin merkityksellisiin strategioihin tai ohjelmiin</w:t>
            </w:r>
            <w:r>
              <w:rPr>
                <w:rFonts w:ascii="Times New Roman" w:hAnsi="Times New Roman"/>
                <w:b/>
                <w:noProof/>
                <w:sz w:val="24"/>
                <w:vertAlign w:val="superscript"/>
              </w:rPr>
              <w:footnoteReference w:id="21"/>
            </w:r>
            <w:r>
              <w:rPr>
                <w:rFonts w:ascii="Times New Roman" w:hAnsi="Times New Roman"/>
                <w:noProof/>
                <w:sz w:val="24"/>
              </w:rPr>
              <w:t>, ottaen huomioon tämän koordinoidun suunnitelman. Kukin jäsenvaltio voi itse päättää kansallisen tekoälystrategian muodosta, sisällöstä ja hallinnoinnista kansallisten erityispiirteidensä pohjalta</w:t>
            </w:r>
            <w:r>
              <w:rPr>
                <w:rFonts w:ascii="Times New Roman" w:hAnsi="Times New Roman"/>
                <w:noProof/>
                <w:sz w:val="24"/>
                <w:vertAlign w:val="superscript"/>
              </w:rPr>
              <w:footnoteReference w:id="22"/>
            </w:r>
            <w:r>
              <w:rPr>
                <w:rFonts w:ascii="Times New Roman" w:hAnsi="Times New Roman"/>
                <w:noProof/>
                <w:sz w:val="24"/>
              </w:rPr>
              <w:t>.</w:t>
            </w:r>
            <w:r>
              <w:rPr>
                <w:rFonts w:ascii="Times New Roman" w:hAnsi="Times New Roman"/>
                <w:noProof/>
                <w:sz w:val="24"/>
                <w:u w:val="single"/>
              </w:rPr>
              <w:t xml:space="preserve"> </w:t>
            </w:r>
          </w:p>
          <w:p>
            <w:pPr>
              <w:numPr>
                <w:ilvl w:val="0"/>
                <w:numId w:val="6"/>
              </w:numPr>
              <w:spacing w:after="120"/>
              <w:ind w:left="357" w:hanging="357"/>
              <w:jc w:val="both"/>
              <w:rPr>
                <w:rFonts w:ascii="Times New Roman" w:hAnsi="Times New Roman" w:cs="Times New Roman"/>
                <w:noProof/>
                <w:sz w:val="24"/>
                <w:szCs w:val="24"/>
              </w:rPr>
            </w:pPr>
            <w:r>
              <w:rPr>
                <w:rFonts w:ascii="Times New Roman" w:hAnsi="Times New Roman"/>
                <w:noProof/>
                <w:sz w:val="24"/>
              </w:rPr>
              <w:t xml:space="preserve">Jäsenvaltioiden ja komission välisiä keskusteluja ohjaa </w:t>
            </w:r>
            <w:r>
              <w:rPr>
                <w:rFonts w:ascii="Times New Roman" w:hAnsi="Times New Roman"/>
                <w:b/>
                <w:noProof/>
                <w:sz w:val="24"/>
              </w:rPr>
              <w:t>Euroopan teollisuuden digitalisointia ja tekoälyä käsittelevä jäsenvaltioiden ryhmä</w:t>
            </w:r>
            <w:r>
              <w:rPr>
                <w:rFonts w:ascii="Times New Roman" w:hAnsi="Times New Roman"/>
                <w:noProof/>
                <w:sz w:val="24"/>
              </w:rPr>
              <w:t>, jota avustaa teknisissä kysymyksissä tukiryhmä</w:t>
            </w:r>
            <w:r>
              <w:rPr>
                <w:rFonts w:ascii="Times New Roman" w:hAnsi="Times New Roman"/>
                <w:noProof/>
                <w:sz w:val="24"/>
                <w:vertAlign w:val="superscript"/>
              </w:rPr>
              <w:footnoteReference w:id="23"/>
            </w:r>
            <w:r>
              <w:rPr>
                <w:rFonts w:ascii="Times New Roman" w:hAnsi="Times New Roman"/>
                <w:noProof/>
                <w:sz w:val="24"/>
              </w:rPr>
              <w:t>. Ryhmä kokoontuu vähintään kahdesti vuodessa. Se varmistaa koordinoinnin eri jäsenvaltioiden ministeriöiden ja muiden sidosryhmien, esimerkiksi teollisuuden, korkeakoulumaailman ja kansalaisyhteiskunnan sidosryhmien, välillä. Aihekohtaiset jäsenvaltioiden ryhmät</w:t>
            </w:r>
            <w:r>
              <w:rPr>
                <w:rFonts w:ascii="Times New Roman" w:hAnsi="Times New Roman"/>
                <w:noProof/>
                <w:sz w:val="24"/>
                <w:vertAlign w:val="superscript"/>
              </w:rPr>
              <w:footnoteReference w:id="24"/>
            </w:r>
            <w:r>
              <w:rPr>
                <w:rFonts w:ascii="Times New Roman" w:hAnsi="Times New Roman"/>
                <w:noProof/>
                <w:sz w:val="24"/>
              </w:rPr>
              <w:t xml:space="preserve"> antavat tarvittavan panoksen suunnitelman kattamilla eri aloilla. Jäsenvaltiot ja komissio järjestävät myös aihekohtaisia työpajoja.</w:t>
            </w:r>
          </w:p>
          <w:p>
            <w:pPr>
              <w:numPr>
                <w:ilvl w:val="0"/>
                <w:numId w:val="6"/>
              </w:numPr>
              <w:spacing w:after="120"/>
              <w:ind w:left="357" w:hanging="357"/>
              <w:jc w:val="both"/>
              <w:rPr>
                <w:rFonts w:ascii="Times New Roman" w:hAnsi="Times New Roman" w:cs="Times New Roman"/>
                <w:noProof/>
                <w:sz w:val="24"/>
                <w:szCs w:val="24"/>
              </w:rPr>
            </w:pPr>
            <w:r>
              <w:rPr>
                <w:rFonts w:ascii="Times New Roman" w:hAnsi="Times New Roman"/>
                <w:noProof/>
                <w:sz w:val="24"/>
              </w:rPr>
              <w:t xml:space="preserve">Vaikutusten arvioimiseksi </w:t>
            </w:r>
            <w:r>
              <w:rPr>
                <w:rFonts w:ascii="Times New Roman" w:hAnsi="Times New Roman"/>
                <w:b/>
                <w:noProof/>
                <w:sz w:val="24"/>
              </w:rPr>
              <w:t>jäsenvaltiot ja komissio määrittelevät vuonna 2019 merkitykselliset investointiparametrit</w:t>
            </w:r>
            <w:r>
              <w:rPr>
                <w:rFonts w:ascii="Times New Roman" w:hAnsi="Times New Roman"/>
                <w:noProof/>
                <w:sz w:val="24"/>
              </w:rPr>
              <w:t xml:space="preserve"> ja vertailukelpoiset viitearvot käyttöönotolle, jotta yhteiset tavoitteet voidaan saavuttaa. Edistymistä seurataan vuosittain.</w:t>
            </w:r>
          </w:p>
        </w:tc>
      </w:tr>
    </w:tbl>
    <w:p>
      <w:pPr>
        <w:pStyle w:val="ListParagraph"/>
        <w:keepNext/>
        <w:numPr>
          <w:ilvl w:val="1"/>
          <w:numId w:val="1"/>
        </w:numPr>
        <w:spacing w:before="360" w:after="240" w:line="240" w:lineRule="auto"/>
        <w:ind w:left="567" w:hanging="567"/>
        <w:contextualSpacing w:val="0"/>
        <w:jc w:val="both"/>
        <w:rPr>
          <w:rFonts w:ascii="Times New Roman" w:hAnsi="Times New Roman"/>
          <w:b/>
          <w:noProof/>
          <w:sz w:val="24"/>
        </w:rPr>
      </w:pPr>
      <w:r>
        <w:rPr>
          <w:rFonts w:ascii="Times New Roman" w:hAnsi="Times New Roman"/>
          <w:b/>
          <w:noProof/>
          <w:sz w:val="24"/>
          <w:u w:val="single"/>
        </w:rPr>
        <w:t>Investointien maksimointi kumppanuuksien avulla</w:t>
      </w:r>
    </w:p>
    <w:p>
      <w:pPr>
        <w:spacing w:after="240" w:line="240" w:lineRule="auto"/>
        <w:jc w:val="both"/>
        <w:rPr>
          <w:rFonts w:ascii="Times New Roman" w:hAnsi="Times New Roman" w:cs="Times New Roman"/>
          <w:b/>
          <w:noProof/>
          <w:sz w:val="24"/>
          <w:szCs w:val="24"/>
        </w:rPr>
      </w:pPr>
      <w:r>
        <w:rPr>
          <w:rFonts w:ascii="Times New Roman" w:hAnsi="Times New Roman"/>
          <w:noProof/>
          <w:sz w:val="24"/>
        </w:rPr>
        <w:t>Komission, jäsenvaltioiden ja yksityisen sektorin yhteiset toimet ovat välttämättömiä, jotta tekoälyyn tehtäviä investointeja voidaan helpottaa ja lisätä ja jotta niiden vaikutus voidaan maksimoida sekä julkisella että yksityisellä sektorilla. Euroopalla kokonaisuudessaan voi olla vaikutus ja se voi saavuttaa strategisen riippumattomuuden tekoälyn alalla ainoastaan jos sekä komissio että jäsenvaltiot ohjaavat investointejaan samaan suuntaan yhteisen ohjelmasuunnittelun avulla ja saavat vivutettua merkittäviä yksityisiä investointeja.</w:t>
      </w:r>
    </w:p>
    <w:p>
      <w:pPr>
        <w:pStyle w:val="ListParagraph"/>
        <w:numPr>
          <w:ilvl w:val="0"/>
          <w:numId w:val="42"/>
        </w:numPr>
        <w:spacing w:after="240" w:line="240" w:lineRule="auto"/>
        <w:ind w:left="425" w:hanging="425"/>
        <w:contextualSpacing w:val="0"/>
        <w:jc w:val="both"/>
        <w:rPr>
          <w:rFonts w:ascii="Times New Roman" w:hAnsi="Times New Roman" w:cs="Times New Roman"/>
          <w:noProof/>
          <w:sz w:val="24"/>
          <w:szCs w:val="24"/>
          <w:u w:val="single"/>
        </w:rPr>
      </w:pPr>
      <w:r>
        <w:rPr>
          <w:rFonts w:ascii="Times New Roman" w:hAnsi="Times New Roman"/>
          <w:b/>
          <w:noProof/>
          <w:sz w:val="24"/>
        </w:rPr>
        <w:t>Tien tasoittaminen uudelle kumppanuudelle tekoälyn alalla</w:t>
      </w:r>
      <w:r>
        <w:rPr>
          <w:rFonts w:ascii="Times New Roman" w:hAnsi="Times New Roman"/>
          <w:noProof/>
          <w:sz w:val="24"/>
        </w:rPr>
        <w:t>: Tekoälyä käsitellään nykyisin erilaisissa Horisontti 2020 -ohjelmaan liittyvissä julkisen ja yksityisen sektorin kumppanuuksissa, etenkin robotiikkaa ja massadataa koskevissa kumppanuuksissa, joilla on omat tutkimus- ja innovaatiolinjauksensa. Myös akateeminen tutkimusyhteisö on organisoitunut verkostoiksi, kuten eurooppalainen tekoäly-yhdistys EurAI. Komissio tekee jäsenvaltioiden tukemana yhteistyötä teollisuuden ja korkeakoulumaailman kanssa tekoälyä koskevien yhteisten tutkimus- ja innovaatiolinjausten laatimiseksi. Se pyrkii hyödyntämään Euroopan vahvuuksia ja kehittämään dynaamisen EU:n laajuisen tekoälyalan innovaatioekosysteemin, joka edistää tiivistä yhteistyötä teollisuuden ja korkeakoulujen välillä ja parantaa kilpailukykyä koko tekoälyn arvoketjussa. Tätä varten se helpottaa keskusteluja ensi vaiheessa robotiikkaa ja massadataa koskeviin julkisen ja yksityisen sektorin kumppanuuksiin osallistuvien sidosryhmien kanssa, mutta myöhemmin kaikkien teollisuuden ja tutkimuslaitosten asianomaisten sidosryhmien edustajien kanssa tekoälyä koskevien yhteisten strategisten tutkimus- ja innovaatiolinjausten laatimiseksi. Komissio aikoo perustaa johtajien ryhmän.</w:t>
      </w:r>
    </w:p>
    <w:p>
      <w:pPr>
        <w:pStyle w:val="ListParagraph"/>
        <w:numPr>
          <w:ilvl w:val="0"/>
          <w:numId w:val="42"/>
        </w:numPr>
        <w:spacing w:after="240" w:line="240" w:lineRule="auto"/>
        <w:ind w:left="425" w:hanging="425"/>
        <w:contextualSpacing w:val="0"/>
        <w:jc w:val="both"/>
        <w:rPr>
          <w:rFonts w:ascii="Times New Roman" w:hAnsi="Times New Roman" w:cs="Times New Roman"/>
          <w:noProof/>
          <w:sz w:val="24"/>
          <w:szCs w:val="24"/>
          <w:u w:val="single"/>
        </w:rPr>
      </w:pPr>
      <w:r>
        <w:rPr>
          <w:rFonts w:ascii="Times New Roman" w:hAnsi="Times New Roman"/>
          <w:b/>
          <w:noProof/>
          <w:sz w:val="24"/>
        </w:rPr>
        <w:t xml:space="preserve">Yhteisiä investointeja tekoälyyn: </w:t>
      </w:r>
      <w:r>
        <w:rPr>
          <w:rFonts w:ascii="Times New Roman" w:hAnsi="Times New Roman"/>
          <w:noProof/>
          <w:sz w:val="24"/>
        </w:rPr>
        <w:t>On olennaisen tärkeää, että Eurooppa määrittelee seuraavan sukupolven tekoälyteknologian, investoi siihen ja ottaa sen laajasti käyttöön. Yksi tärkeä osatekijä on tarjota mahdollisuudet riittäviin investointeihin startup-yrityksille niiden käynnistysvaiheessa, samoin kuin muille yrityksille niiden laajentumisvaiheessa.</w:t>
      </w:r>
      <w:r>
        <w:rPr>
          <w:noProof/>
        </w:rPr>
        <w:t xml:space="preserve"> </w:t>
      </w:r>
      <w:r>
        <w:rPr>
          <w:rFonts w:ascii="Times New Roman" w:hAnsi="Times New Roman"/>
          <w:noProof/>
          <w:sz w:val="24"/>
        </w:rPr>
        <w:t>Tätä varten komissio pyrkii asettamaan resursseja tekoäly- ja lohkoketjualan startup-yritysten ja innovaattoreiden saataville niiden käynnistysvaiheessa sekä muiden yritysten saataville niiden laajentumisvaiheessa käyttämällä olemassa olevia välineitä, kuten Euroopan strategisten investointien rahastoa, Horisontti 2020 -ohjelmaa ja Euroopan investointirahastoa. Käyttöön annetaan aluksi 100 miljoonaa euroa vuonna 2020. Koska eräät varhaiset lohkoketjusovellukset, joissa käytetään louhintaa (Bitcoin), kuluttavat runsaasti energiaa, komissio asettaa tällaisten rahoitusohjelmien investointien valintaperusteissa etusijalle uudempien energiatehokkaiden lohkoketjuinfrastruktuurien ja -sovellusten tukemisen. Toimissa voidaan keskittyä i) rahoittamaan innovatiivisista tekoäly- ja lohkoketjuyrityksistä koostuvaa sijoitussalkkua; ii) kehittämään dynaamista EU:n laajuista tekoälyyn keskittyvää sijoittajayhteisöä; iii) moninkertaistamaan kansallisen tason investoinnit ottamalla mukaan kansalliset kehityspankit, jotka ovat halukkaita osallistumaan; iv) luomaan kannustimia yksityisen sektorin investoinneille ja v) tekemään Euroopasta houkuttelevampi paikka, jossa startup-yritykset voivat pysyä ja kasvaa. Tulevina vuosina tekoälyä ja lohkoketjua voidaan tukea myös InvestEU-ohjelmasta.</w:t>
      </w:r>
    </w:p>
    <w:p>
      <w:pPr>
        <w:pStyle w:val="ListParagraph"/>
        <w:numPr>
          <w:ilvl w:val="0"/>
          <w:numId w:val="9"/>
        </w:numPr>
        <w:spacing w:after="240" w:line="240" w:lineRule="auto"/>
        <w:ind w:left="425" w:hanging="425"/>
        <w:jc w:val="both"/>
        <w:rPr>
          <w:rFonts w:ascii="Times New Roman" w:hAnsi="Times New Roman" w:cs="Times New Roman"/>
          <w:noProof/>
          <w:sz w:val="24"/>
          <w:szCs w:val="24"/>
        </w:rPr>
      </w:pPr>
      <w:r>
        <w:rPr>
          <w:rFonts w:ascii="Times New Roman" w:hAnsi="Times New Roman"/>
          <w:noProof/>
          <w:sz w:val="24"/>
        </w:rPr>
        <w:t>Vastauksena kesäkuussa 2018 annettuihin Eurooppa-neuvoston päätelmiin</w:t>
      </w:r>
      <w:r>
        <w:rPr>
          <w:rStyle w:val="FootnoteReference"/>
          <w:rFonts w:ascii="Times New Roman" w:hAnsi="Times New Roman"/>
          <w:noProof/>
          <w:sz w:val="24"/>
        </w:rPr>
        <w:footnoteReference w:id="25"/>
      </w:r>
      <w:r>
        <w:rPr>
          <w:rFonts w:ascii="Times New Roman" w:hAnsi="Times New Roman"/>
          <w:noProof/>
          <w:sz w:val="24"/>
        </w:rPr>
        <w:t xml:space="preserve"> Euroopan komissio valmistelee Euroopan innovaationeuvoston pilottihanketta, jossa tuetaan markkinoita luovia läpimurtoinnovaatioita tekevien innovatiivisten yritysten (startup- ja pk-yritysten) laajentumista sekä läpimurtotiedettä ja keskeisiä mahdollistavia teknologioita, jotka voivat johtaa disruptiivisiin innovaatioihin.</w:t>
      </w:r>
    </w:p>
    <w:p>
      <w:pPr>
        <w:pStyle w:val="ListParagraph"/>
        <w:spacing w:after="240" w:line="240" w:lineRule="auto"/>
        <w:ind w:left="425"/>
        <w:jc w:val="both"/>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88"/>
      </w:tblGrid>
      <w:tr>
        <w:tc>
          <w:tcPr>
            <w:tcW w:w="9288" w:type="dxa"/>
            <w:shd w:val="clear" w:color="auto" w:fill="DBE5F1" w:themeFill="accent1" w:themeFillTint="33"/>
          </w:tcPr>
          <w:p>
            <w:pPr>
              <w:spacing w:after="120"/>
              <w:jc w:val="both"/>
              <w:rPr>
                <w:rFonts w:ascii="Times New Roman" w:hAnsi="Times New Roman" w:cs="Times New Roman"/>
                <w:b/>
                <w:noProof/>
                <w:sz w:val="24"/>
                <w:szCs w:val="24"/>
              </w:rPr>
            </w:pPr>
            <w:r>
              <w:rPr>
                <w:rFonts w:ascii="Times New Roman" w:hAnsi="Times New Roman"/>
                <w:b/>
                <w:noProof/>
                <w:sz w:val="24"/>
              </w:rPr>
              <w:t>Investointien maksimointi:</w:t>
            </w:r>
          </w:p>
          <w:p>
            <w:pPr>
              <w:numPr>
                <w:ilvl w:val="0"/>
                <w:numId w:val="6"/>
              </w:numPr>
              <w:spacing w:after="120"/>
              <w:jc w:val="both"/>
              <w:rPr>
                <w:rFonts w:ascii="Times New Roman" w:hAnsi="Times New Roman" w:cs="Times New Roman"/>
                <w:noProof/>
                <w:sz w:val="24"/>
                <w:szCs w:val="24"/>
                <w:u w:val="single"/>
              </w:rPr>
            </w:pPr>
            <w:r>
              <w:rPr>
                <w:rFonts w:ascii="Times New Roman" w:hAnsi="Times New Roman"/>
                <w:b/>
                <w:noProof/>
                <w:sz w:val="24"/>
              </w:rPr>
              <w:t>Komissio</w:t>
            </w:r>
            <w:r>
              <w:rPr>
                <w:rFonts w:ascii="Times New Roman" w:hAnsi="Times New Roman"/>
                <w:noProof/>
                <w:sz w:val="24"/>
              </w:rPr>
              <w:t xml:space="preserve"> tuo vuonna 2019 yhteen sidosryhmiä ensi vaiheessa robotiikkaa ja massadataa koskevista julkisen ja yksityisen sektorin kumppanuuksista, mutta myöhemmin kaikista asianomaisista osapuolista, laatimaan </w:t>
            </w:r>
            <w:r>
              <w:rPr>
                <w:rFonts w:ascii="Times New Roman" w:hAnsi="Times New Roman"/>
                <w:b/>
                <w:noProof/>
                <w:sz w:val="24"/>
              </w:rPr>
              <w:t>tekoälyä koskevia yhteisiä strategisia tutkimus- ja innovaatiolinjauksia</w:t>
            </w:r>
            <w:r>
              <w:rPr>
                <w:rFonts w:ascii="Times New Roman" w:hAnsi="Times New Roman"/>
                <w:noProof/>
                <w:sz w:val="24"/>
              </w:rPr>
              <w:t xml:space="preserve">, joita tuetaan vuoden 2020 alusta alkaen. Tätä varten se perustaa teollisuuden ja tutkimuslaitosten sidosryhmien johtajatason edustajista koostuvan johtajien ryhmän, joka valmistelee linjauksia ja varmistaa korkeimman tason sitoutumisen niiden toteuttamiseen, mikä tasoittaa tietä uudelle tekoälyalan kumppanuudelle (ensimmäinen kokous vuoden 2019 alussa). </w:t>
            </w:r>
          </w:p>
          <w:p>
            <w:pPr>
              <w:numPr>
                <w:ilvl w:val="0"/>
                <w:numId w:val="6"/>
              </w:numPr>
              <w:spacing w:after="120"/>
              <w:jc w:val="both"/>
              <w:rPr>
                <w:rFonts w:ascii="Times New Roman" w:hAnsi="Times New Roman" w:cs="Times New Roman"/>
                <w:noProof/>
                <w:sz w:val="24"/>
                <w:szCs w:val="24"/>
              </w:rPr>
            </w:pPr>
            <w:r>
              <w:rPr>
                <w:rFonts w:ascii="Times New Roman" w:hAnsi="Times New Roman"/>
                <w:noProof/>
                <w:sz w:val="24"/>
              </w:rPr>
              <w:t xml:space="preserve">Komissio pyrkii asettamaan resursseja tekoäly- ja lohkoketjualan startup-yritysten ja innovaattoreiden saataville niiden käynnistysvaiheessa sekä muiden yritysten saataville niiden laajentumisvaiheessa käyttämällä olemassa olevia välineitä, kuten Euroopan strategisten investointien rahastoa, Horisontti 2020 -ohjelmaa ja Euroopan investointirahastoa. Käyttöön annetaan aluksi 100 miljoonaa euroa vuonna 2020. Komissio käynnistää myös investointitukiohjelman helpottamaan sijoitussalkkujen kehittämistä ja jäsenvaltioiden ja yksityisen sektorin yhteisiä investointeja. Ohjelmalla pyritään myös lisäämään tietoisuutta startup-yritysten ja muiden yritysten, mukaan lukien sekä perinteiset että innovatiiviset pk-yritykset, keskuudessa ja helpottamaan sitoutumista muutoin riskialttiisiin hankkeisiin. Tämä auttaa valmistautumista tekoälyyn osoitettavan rahoituksen saatavuuden parantamiseen InvestEU-ohjelmasta. </w:t>
            </w:r>
          </w:p>
          <w:p>
            <w:pPr>
              <w:numPr>
                <w:ilvl w:val="0"/>
                <w:numId w:val="6"/>
              </w:numPr>
              <w:spacing w:after="120"/>
              <w:jc w:val="both"/>
              <w:rPr>
                <w:rFonts w:ascii="Times New Roman" w:hAnsi="Times New Roman" w:cs="Times New Roman"/>
                <w:noProof/>
                <w:sz w:val="24"/>
                <w:szCs w:val="24"/>
              </w:rPr>
            </w:pPr>
            <w:r>
              <w:rPr>
                <w:rFonts w:ascii="Times New Roman" w:hAnsi="Times New Roman"/>
                <w:noProof/>
                <w:sz w:val="24"/>
              </w:rPr>
              <w:t xml:space="preserve">Jäsenvaltiot voivat aktiivisesti tukea tätä prosessia </w:t>
            </w:r>
            <w:r>
              <w:rPr>
                <w:rFonts w:ascii="Times New Roman" w:hAnsi="Times New Roman"/>
                <w:b/>
                <w:noProof/>
                <w:sz w:val="24"/>
              </w:rPr>
              <w:t>ottamalla mukaan kansalliset kehityspankit</w:t>
            </w:r>
            <w:r>
              <w:rPr>
                <w:rFonts w:ascii="Times New Roman" w:hAnsi="Times New Roman"/>
                <w:noProof/>
                <w:sz w:val="24"/>
              </w:rPr>
              <w:t xml:space="preserve"> ja osallistumalla tietoisuutta lisääviin tukiohjelmiin. </w:t>
            </w:r>
          </w:p>
          <w:p>
            <w:pPr>
              <w:numPr>
                <w:ilvl w:val="0"/>
                <w:numId w:val="6"/>
              </w:numPr>
              <w:spacing w:after="120"/>
              <w:jc w:val="both"/>
              <w:rPr>
                <w:rFonts w:ascii="Times New Roman" w:hAnsi="Times New Roman" w:cs="Times New Roman"/>
                <w:noProof/>
                <w:sz w:val="24"/>
                <w:szCs w:val="24"/>
              </w:rPr>
            </w:pPr>
            <w:r>
              <w:rPr>
                <w:rFonts w:ascii="Times New Roman" w:hAnsi="Times New Roman"/>
                <w:b/>
                <w:noProof/>
                <w:sz w:val="24"/>
              </w:rPr>
              <w:t>Euroopan innovaationeuvosto</w:t>
            </w:r>
            <w:r>
              <w:rPr>
                <w:rFonts w:ascii="Times New Roman" w:hAnsi="Times New Roman"/>
                <w:noProof/>
                <w:sz w:val="24"/>
              </w:rPr>
              <w:t xml:space="preserve"> tukee disruptiivisia innovaatioita parannetulla pilottihankkeella, jossa tuetaan erityisesti alan viimeisintä kehitystä edustavia, mahdollisesti suuria hyötyjä tarjoavia tutkimus- ja innovaatiohankkeita, joissa pyritään demonstroimaan uutta teknologista paradigmaa esimerkiksi </w:t>
            </w:r>
            <w:r>
              <w:rPr>
                <w:rFonts w:ascii="Times New Roman" w:hAnsi="Times New Roman"/>
                <w:b/>
                <w:noProof/>
                <w:sz w:val="24"/>
              </w:rPr>
              <w:t>ihmiskeskeisen tekoälyn</w:t>
            </w:r>
            <w:r>
              <w:rPr>
                <w:rFonts w:ascii="Times New Roman" w:hAnsi="Times New Roman"/>
                <w:noProof/>
                <w:sz w:val="24"/>
              </w:rPr>
              <w:t xml:space="preserve"> kaltaisilla aloilla. Tähän osoitetaan kaikkiaan 100 miljoonan euron rahoitus vuosina 2019–2020.</w:t>
            </w:r>
          </w:p>
          <w:p>
            <w:pPr>
              <w:numPr>
                <w:ilvl w:val="0"/>
                <w:numId w:val="6"/>
              </w:numPr>
              <w:spacing w:after="120"/>
              <w:ind w:left="357" w:hanging="357"/>
              <w:jc w:val="both"/>
              <w:rPr>
                <w:rFonts w:ascii="Times New Roman" w:hAnsi="Times New Roman" w:cs="Times New Roman"/>
                <w:noProof/>
                <w:sz w:val="24"/>
                <w:szCs w:val="24"/>
              </w:rPr>
            </w:pPr>
            <w:r>
              <w:rPr>
                <w:rFonts w:ascii="Times New Roman" w:hAnsi="Times New Roman"/>
                <w:b/>
                <w:noProof/>
                <w:sz w:val="24"/>
              </w:rPr>
              <w:t>Jäsenvaltioita kannustetaan</w:t>
            </w:r>
            <w:r>
              <w:rPr>
                <w:rFonts w:ascii="Times New Roman" w:hAnsi="Times New Roman"/>
                <w:noProof/>
                <w:sz w:val="24"/>
              </w:rPr>
              <w:t xml:space="preserve"> harkitsemaan pk-yrityksille suunnattujen innovaatiosetelien ja pienten avustusten ja lainojen käyttöönottoa, joilla tuettaisiin niiden digitalisointia, mukaan lukien erityisesti tekoälyn integrointi tuotteisiin, prosesseihin ja liiketoimintamalleihin.</w:t>
            </w:r>
          </w:p>
        </w:tc>
      </w:tr>
    </w:tbl>
    <w:p>
      <w:pPr>
        <w:pStyle w:val="ListParagraph"/>
        <w:keepNext/>
        <w:numPr>
          <w:ilvl w:val="1"/>
          <w:numId w:val="1"/>
        </w:numPr>
        <w:spacing w:before="360" w:after="240" w:line="240" w:lineRule="auto"/>
        <w:ind w:left="567" w:hanging="567"/>
        <w:contextualSpacing w:val="0"/>
        <w:jc w:val="both"/>
        <w:rPr>
          <w:rFonts w:ascii="Times New Roman" w:hAnsi="Times New Roman"/>
          <w:b/>
          <w:noProof/>
          <w:sz w:val="24"/>
        </w:rPr>
      </w:pPr>
      <w:r>
        <w:rPr>
          <w:rFonts w:ascii="Times New Roman" w:hAnsi="Times New Roman"/>
          <w:b/>
          <w:noProof/>
          <w:sz w:val="24"/>
          <w:u w:val="single"/>
        </w:rPr>
        <w:t>Laboratoriosta markkinoille</w:t>
      </w:r>
      <w:r>
        <w:rPr>
          <w:rFonts w:ascii="Times New Roman" w:hAnsi="Times New Roman"/>
          <w:b/>
          <w:noProof/>
          <w:sz w:val="24"/>
        </w:rPr>
        <w:t>: i) huippututkimuksen tukeminen, ii) maailmanluokan vertailutestausrakenteiden perustaminen ja iii) tekoälyn käyttöönoton nopeuttaminen digitaali-innovaatiokeskittymien avulla</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Komissio ja jäsenvaltiot tunnustavat, että on tärkeää jatkaa tieteellisen perustan lujittamista</w:t>
      </w:r>
      <w:r>
        <w:rPr>
          <w:rStyle w:val="FootnoteReference"/>
          <w:rFonts w:ascii="Times New Roman" w:hAnsi="Times New Roman"/>
          <w:noProof/>
          <w:sz w:val="24"/>
        </w:rPr>
        <w:footnoteReference w:id="26"/>
      </w:r>
      <w:r>
        <w:rPr>
          <w:rFonts w:ascii="Times New Roman" w:hAnsi="Times New Roman"/>
          <w:noProof/>
          <w:sz w:val="24"/>
        </w:rPr>
        <w:t xml:space="preserve"> ja tutkimuksen ja innovoinnin tukemista, jotta voidaan varmistaa kilpailukyky teknologiassa, vastata innovoinnin haasteisiin ja helpottaa tutkimustulosten siirtämistä teollisuuden käyttöön. </w:t>
      </w:r>
    </w:p>
    <w:p>
      <w:pPr>
        <w:spacing w:after="240" w:line="240" w:lineRule="auto"/>
        <w:jc w:val="both"/>
        <w:rPr>
          <w:rFonts w:ascii="Times New Roman" w:hAnsi="Times New Roman"/>
          <w:noProof/>
          <w:sz w:val="24"/>
        </w:rPr>
      </w:pPr>
      <w:r>
        <w:rPr>
          <w:rFonts w:ascii="Times New Roman" w:hAnsi="Times New Roman"/>
          <w:noProof/>
          <w:sz w:val="24"/>
        </w:rPr>
        <w:t>Komissio kasvattaa investointejaan tutkimukseen ja innovointiin Horisontti 2020 -ohjelmassa, ja tekoäly otetaan huomioon kaikissa aiheissa, joissa sitä voidaan kehittää tai hyödyntää. On esimerkiksi välttämätöntä osoittaa tekoälyyn merkittävää rahoitusta turvallisuussyistä, jotta voidaan estää pahantahtoisten toimijoiden harjoittama tekoälyteknologioiden käyttö haitantekotarkoituksessa rikolliseen toimintaan tai terrorismiin ja jotta toisaalta voidaan ottaa käyttöön lainvalvontaviranomaisia tukevia tekoälytyökaluja ja -ratkaisuja, joiden avulla ne voivat paremmin ehkäistä, havaita ja tutkia rikollista toimintaa ja terrorismia</w:t>
      </w:r>
      <w:r>
        <w:rPr>
          <w:rStyle w:val="FootnoteReference"/>
          <w:rFonts w:ascii="Times New Roman" w:hAnsi="Times New Roman"/>
          <w:noProof/>
          <w:sz w:val="24"/>
        </w:rPr>
        <w:footnoteReference w:id="27"/>
      </w:r>
      <w:r>
        <w:rPr>
          <w:rFonts w:ascii="Times New Roman" w:hAnsi="Times New Roman"/>
          <w:noProof/>
          <w:sz w:val="24"/>
        </w:rPr>
        <w:t>.</w:t>
      </w:r>
    </w:p>
    <w:p>
      <w:pPr>
        <w:pBdr>
          <w:top w:val="single" w:sz="4" w:space="1" w:color="auto"/>
          <w:left w:val="single" w:sz="4" w:space="0" w:color="auto"/>
          <w:bottom w:val="single" w:sz="4" w:space="1" w:color="auto"/>
          <w:right w:val="single" w:sz="4" w:space="4" w:color="auto"/>
        </w:pBdr>
        <w:shd w:val="clear" w:color="auto" w:fill="FFFFFF" w:themeFill="background1"/>
        <w:spacing w:before="360" w:after="120" w:line="240" w:lineRule="auto"/>
        <w:jc w:val="thaiDistribute"/>
        <w:rPr>
          <w:rFonts w:ascii="Times New Roman" w:hAnsi="Times New Roman" w:cs="Times New Roman"/>
          <w:i/>
          <w:noProof/>
          <w:sz w:val="24"/>
          <w:szCs w:val="24"/>
        </w:rPr>
      </w:pPr>
      <w:r>
        <w:rPr>
          <w:rFonts w:ascii="Times New Roman" w:hAnsi="Times New Roman"/>
          <w:b/>
          <w:i/>
          <w:noProof/>
          <w:sz w:val="24"/>
        </w:rPr>
        <w:t>Euroopassa tuotetun tekoälyn</w:t>
      </w:r>
      <w:r>
        <w:rPr>
          <w:rFonts w:ascii="Times New Roman" w:hAnsi="Times New Roman"/>
          <w:i/>
          <w:noProof/>
          <w:sz w:val="24"/>
        </w:rPr>
        <w:t xml:space="preserve"> osalta yksi keskeinen periaate on </w:t>
      </w:r>
      <w:r>
        <w:rPr>
          <w:rFonts w:ascii="Times New Roman" w:hAnsi="Times New Roman"/>
          <w:b/>
          <w:i/>
          <w:noProof/>
          <w:sz w:val="24"/>
        </w:rPr>
        <w:t>”sisäänrakennettu eettisyys”</w:t>
      </w:r>
      <w:r>
        <w:rPr>
          <w:rFonts w:ascii="Times New Roman" w:hAnsi="Times New Roman"/>
          <w:i/>
          <w:noProof/>
          <w:sz w:val="24"/>
        </w:rPr>
        <w:t>, jonka mukaisesti yleiseen tietosuoja-asetukseen perustuvat eettiset ja oikeudelliset periaatteet, kilpailulainsäädännön noudattaminen ja datan puolueettomuus otetaan huomioon suunnitteluprosessin alusta lähtien. Toimintavaatimuksia määriteltäessä on myös tärkeää ottaa huomioon ihmisten ja tekoälyjärjestelmien vuorovaikutus. Komissio aikoo tarkastella, kuinka ”sisäänrakennetun eettisyyden” periaate voidaan sisällyttää tutkimusohjelmassa tehtäviin asiaa koskeviin ehdotuspyyntöihin.</w:t>
      </w:r>
    </w:p>
    <w:p>
      <w:pPr>
        <w:pBdr>
          <w:top w:val="single" w:sz="4" w:space="1" w:color="auto"/>
          <w:left w:val="single" w:sz="4" w:space="0" w:color="auto"/>
          <w:bottom w:val="single" w:sz="4" w:space="1" w:color="auto"/>
          <w:right w:val="single" w:sz="4" w:space="4" w:color="auto"/>
        </w:pBdr>
        <w:shd w:val="clear" w:color="auto" w:fill="FFFFFF" w:themeFill="background1"/>
        <w:spacing w:before="120" w:after="360" w:line="240" w:lineRule="auto"/>
        <w:jc w:val="thaiDistribute"/>
        <w:rPr>
          <w:rFonts w:ascii="Times New Roman" w:hAnsi="Times New Roman" w:cs="Times New Roman"/>
          <w:i/>
          <w:noProof/>
          <w:sz w:val="24"/>
          <w:szCs w:val="24"/>
        </w:rPr>
      </w:pPr>
      <w:r>
        <w:rPr>
          <w:rFonts w:ascii="Times New Roman" w:hAnsi="Times New Roman"/>
          <w:i/>
          <w:noProof/>
          <w:sz w:val="24"/>
        </w:rPr>
        <w:t>Toinen keskeinen periaate on ”sisäänrakennettu turvallisuus”, jonka mukaisesti kyberturvallisuus, uhrien suojelu ja lainvalvontatoimien helpottaminen olisi otettava huomioon suunnitteluprosessin alusta lähtien.</w:t>
      </w:r>
    </w:p>
    <w:p>
      <w:pPr>
        <w:keepNext/>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Komissio pyrkii lisäksi vahvistamaan Euroopan tekoälyn huippuosaamiskeskuksia, perustamaan maailmanluokan vertailutestausrakenteita ja nopeuttamaan tekoälyn käyttöönottoa digitaali-innovaatiokeskittymien avulla ja varmistamaan näin, että Eurooppa hyötyy tutkimustoiminnan tuloksista. </w:t>
      </w:r>
    </w:p>
    <w:p>
      <w:pPr>
        <w:spacing w:after="240" w:line="240" w:lineRule="auto"/>
        <w:jc w:val="both"/>
        <w:rPr>
          <w:rFonts w:ascii="Times New Roman" w:hAnsi="Times New Roman"/>
          <w:noProof/>
          <w:sz w:val="24"/>
        </w:rPr>
      </w:pPr>
      <w:r>
        <w:rPr>
          <w:rFonts w:ascii="Times New Roman" w:hAnsi="Times New Roman"/>
          <w:noProof/>
          <w:sz w:val="24"/>
        </w:rPr>
        <w:t xml:space="preserve">Komissio säilyttää maantieteellisen tasapainon digitaali-innovaatiokeskittymien vahvistamiseen liittyvissä toimissaan ja kannustaa varmistamaan maantieteellisen kattavuuden huippuosaamiskeskusten ja testausrakenteiden verkostoissa sekä täydentävyyden koheesiopolitiikkaan liittyvien investointien kanssa. Vaikka Euroopalla on kiistattomia vahvuuksia monien johtavien tutkimuskeskustensa ansiosta, voimien yhdistäminen on välttämätöntä maailmanlaajuisen kilpailukyvyn säilyttämiseksi. Eurooppa kasvattaa kansallisia tutkimusvalmiuksia ja saavuttaa kriittisen massan </w:t>
      </w:r>
      <w:r>
        <w:rPr>
          <w:rFonts w:ascii="Times New Roman" w:hAnsi="Times New Roman"/>
          <w:b/>
          <w:noProof/>
          <w:sz w:val="24"/>
          <w:u w:val="single"/>
        </w:rPr>
        <w:t>verkottamalla tiiviimmin eurooppalaisen tekoälytutkimuksen huippuosaamiskeskukset</w:t>
      </w:r>
      <w:r>
        <w:rPr>
          <w:rStyle w:val="FootnoteReference"/>
          <w:rFonts w:ascii="Times New Roman" w:hAnsi="Times New Roman"/>
          <w:b/>
          <w:noProof/>
          <w:sz w:val="24"/>
          <w:u w:val="single"/>
        </w:rPr>
        <w:footnoteReference w:id="28"/>
      </w:r>
      <w:r>
        <w:rPr>
          <w:rFonts w:ascii="Times New Roman" w:hAnsi="Times New Roman"/>
          <w:noProof/>
          <w:sz w:val="24"/>
        </w:rPr>
        <w:t>. Tavoitteena on edistää Euroopan parhaiden tutkimusryhmien välistä yhteistyötä, jotta ne voivat yhdessä vastata tehokkaammin tekoälyyn liittyviin suuriin tieteellisiin ja teknologisiin haasteisiin,</w:t>
      </w:r>
      <w:r>
        <w:rPr>
          <w:noProof/>
        </w:rPr>
        <w:t xml:space="preserve"> </w:t>
      </w:r>
      <w:r>
        <w:rPr>
          <w:rFonts w:ascii="Times New Roman" w:hAnsi="Times New Roman"/>
          <w:noProof/>
          <w:sz w:val="24"/>
        </w:rPr>
        <w:t>ja saada teollisuus mukaan tutkimusryhmiin ja löytää synergioita tutkimusryhmien välillä.</w:t>
      </w:r>
    </w:p>
    <w:p>
      <w:pPr>
        <w:spacing w:after="240" w:line="240" w:lineRule="auto"/>
        <w:jc w:val="both"/>
        <w:rPr>
          <w:rFonts w:ascii="Times New Roman" w:hAnsi="Times New Roman"/>
          <w:noProof/>
          <w:sz w:val="24"/>
        </w:rPr>
      </w:pPr>
      <w:r>
        <w:rPr>
          <w:rFonts w:ascii="Times New Roman" w:hAnsi="Times New Roman"/>
          <w:b/>
          <w:noProof/>
          <w:sz w:val="24"/>
          <w:u w:val="single"/>
        </w:rPr>
        <w:t>Maailmanluokan vertailutestausrakenteiden</w:t>
      </w:r>
      <w:r>
        <w:rPr>
          <w:rStyle w:val="FootnoteReference"/>
          <w:rFonts w:ascii="Times New Roman" w:hAnsi="Times New Roman"/>
          <w:b/>
          <w:noProof/>
          <w:sz w:val="24"/>
          <w:u w:val="single"/>
        </w:rPr>
        <w:footnoteReference w:id="29"/>
      </w:r>
      <w:r>
        <w:rPr>
          <w:rFonts w:ascii="Times New Roman" w:hAnsi="Times New Roman"/>
          <w:b/>
          <w:noProof/>
          <w:sz w:val="24"/>
        </w:rPr>
        <w:t xml:space="preserve"> perustaminen</w:t>
      </w:r>
      <w:r>
        <w:rPr>
          <w:rFonts w:ascii="Times New Roman" w:hAnsi="Times New Roman"/>
          <w:noProof/>
          <w:sz w:val="24"/>
        </w:rPr>
        <w:t>: Yksi tärkeä askel teknologian saattamisessa markkinoille on alan viimeisintä kehitystä edustavan teknologian kokeileminen ja testaus tosielämän ympäristössä. Investointien optimoimiseksi ja päällekkäisten tai kilpailevien toimien välttämiseksi olisi perustettava rajallinen määrä tekoälyyn erikoistuneita suuren mittakaavan vertailupaikkoja, jotka avataan kaikille eurooppalaiselle toimijoille.</w:t>
      </w:r>
    </w:p>
    <w:p>
      <w:pPr>
        <w:spacing w:after="240" w:line="240" w:lineRule="auto"/>
        <w:jc w:val="both"/>
        <w:rPr>
          <w:noProof/>
        </w:rPr>
      </w:pPr>
      <w:r>
        <w:rPr>
          <w:rFonts w:ascii="Times New Roman" w:hAnsi="Times New Roman"/>
          <w:noProof/>
          <w:sz w:val="24"/>
        </w:rPr>
        <w:t xml:space="preserve">Esimerkkeinä tällaisista testausrakenteista voidaan mainita verkkoon liitetyn ja automatisoidun autoilun rajat ylittävä testaus, automatisoitujen alusten testausalueet ja data-avaruuksien luominen. Komissio ja jäsenvaltiot määrittelevät, mitä uusia suuren mittakaavan testausrakenteita tarvitaan viimeisimpien tekoälyteknologioiden testaamiseksi keskeisillä aloilla, joita ovat muun muassa liikkuvuus, valmistus, elintarviketeollisuus ja turvallisuus. Näihin testausrakenteisiin voi sisältyä sääntelyn virtuaalisia testauspaikkoja (eli alueita, joissa sääntely on rajallista tai suosii uusien tuotteiden ja palvelujen testaamista) valituilla aloilla, joilla lainsäädäntö antaa sääntelyviranomaisille riittävästi harkintavaltaa ja lakisääteisiä tai sääntelyllisiä vaatimuksia voidaan höllentää testauksen ajaksi. </w:t>
      </w:r>
    </w:p>
    <w:p>
      <w:pPr>
        <w:spacing w:after="240" w:line="240" w:lineRule="auto"/>
        <w:jc w:val="both"/>
        <w:rPr>
          <w:rFonts w:ascii="Times New Roman" w:hAnsi="Times New Roman" w:cs="Times New Roman"/>
          <w:b/>
          <w:noProof/>
          <w:sz w:val="24"/>
          <w:szCs w:val="24"/>
        </w:rPr>
      </w:pPr>
      <w:r>
        <w:rPr>
          <w:rFonts w:ascii="Times New Roman" w:hAnsi="Times New Roman"/>
          <w:b/>
          <w:noProof/>
          <w:sz w:val="24"/>
        </w:rPr>
        <w:t xml:space="preserve">Tekoälyn käyttöönoton nopeuttaminen </w:t>
      </w:r>
      <w:r>
        <w:rPr>
          <w:rFonts w:ascii="Times New Roman" w:hAnsi="Times New Roman"/>
          <w:b/>
          <w:noProof/>
          <w:sz w:val="24"/>
          <w:u w:val="single"/>
        </w:rPr>
        <w:t>digitaali-innovaatiokeskittymien</w:t>
      </w:r>
      <w:r>
        <w:rPr>
          <w:rFonts w:ascii="Times New Roman" w:hAnsi="Times New Roman"/>
          <w:b/>
          <w:noProof/>
          <w:sz w:val="24"/>
        </w:rPr>
        <w:t xml:space="preserve"> avulla: </w:t>
      </w:r>
      <w:r>
        <w:rPr>
          <w:rFonts w:ascii="Times New Roman" w:hAnsi="Times New Roman"/>
          <w:noProof/>
          <w:sz w:val="24"/>
        </w:rPr>
        <w:t xml:space="preserve">Yhtä tärkeää on edistää tekoälyn laajempaa käyttöönottoa taloudessa, etenkin pk-yrityksissä. Tähän sisältyy eurooppalaisten tekoälytutkimuksen huippuosaamiskeskusten tuottaman tietämyksen ja tieteellisten edistyksen ja edellä mainituissa testausrakenteissa validoitujen teknologioiden siirtäminen eteenpäin. </w:t>
      </w:r>
      <w:r>
        <w:rPr>
          <w:rFonts w:ascii="Times New Roman" w:hAnsi="Times New Roman"/>
          <w:b/>
          <w:noProof/>
          <w:sz w:val="24"/>
        </w:rPr>
        <w:t>Digitaali-innovaatiokeskittymät</w:t>
      </w:r>
      <w:r>
        <w:rPr>
          <w:rFonts w:ascii="Times New Roman" w:hAnsi="Times New Roman"/>
          <w:noProof/>
          <w:sz w:val="24"/>
        </w:rPr>
        <w:t xml:space="preserve"> voivat auttaa varmistamaan, että kaikki yritykset, niin suuret kuin pienet, huipputeknologiaa edustavat tai muut, sekä julkinen sektori voivat tarttua digitaalisiin mahdollisuuksiin. Digitaali-innovaatiokeskittymien ytimen muodostavat tekniset korkeakoulut tai tutkimuslaitokset, ja ne voivat toimia keskitettyinä palvelupisteinä, joissa yritykset ja julkiset tahot voivat saada käyttöönsä teknologiaa, testausapua ja teknistä tukea, rahoitusneuvoja, markkinatietoja ja verkottumismahdollisuuksia. Tekoälyn alalla digitaali-innovaatiokeskittymät voivat auttaa pk-yrityksiä ja julkishallintoja määrittelemään tarvittavat datakokonaisuudet, kehittämään algoritmeja ja kouluttamaan tekoälyä ja ne voivat muodostaa yhteyden laskentavalmiuksiin tekoälyn tilausalustan pohjalta. Ne voivat auttaa kouluttamaan pk-yritysten ammattilaisia tekoälysovellusten käytössä ja antaa neuvoja saatavilla olevasta rahoitustuesta. Ne ovat yhteydessä sekä tutkimuksen huippuosaamiskeskuksiin että käytettävissä oleviin testausrakenteisiin.</w:t>
      </w:r>
    </w:p>
    <w:p>
      <w:pPr>
        <w:spacing w:after="240" w:line="240" w:lineRule="auto"/>
        <w:jc w:val="both"/>
        <w:rPr>
          <w:noProof/>
        </w:rPr>
      </w:pPr>
      <w:r>
        <w:rPr>
          <w:rFonts w:ascii="Times New Roman" w:hAnsi="Times New Roman"/>
          <w:noProof/>
          <w:sz w:val="24"/>
        </w:rPr>
        <w:t>Samalla tavoin Euroopan innovaatio- ja teknologiainstituutin digitaalialan osaamis- ja innovaatioyhteisöjen nykyiset yksitoista keskittymää tuovat kohdealueillaan yhteen digitaalialan merkittäviä toimijoita.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88"/>
      </w:tblGrid>
      <w:tr>
        <w:tc>
          <w:tcPr>
            <w:tcW w:w="9288" w:type="dxa"/>
            <w:shd w:val="clear" w:color="auto" w:fill="DBE5F1" w:themeFill="accent1" w:themeFillTint="33"/>
          </w:tcPr>
          <w:p>
            <w:pPr>
              <w:spacing w:after="120"/>
              <w:jc w:val="both"/>
              <w:rPr>
                <w:rFonts w:ascii="Times New Roman" w:hAnsi="Times New Roman" w:cs="Times New Roman"/>
                <w:noProof/>
                <w:sz w:val="24"/>
                <w:szCs w:val="24"/>
              </w:rPr>
            </w:pPr>
            <w:r>
              <w:rPr>
                <w:rFonts w:ascii="Times New Roman" w:hAnsi="Times New Roman"/>
                <w:b/>
                <w:noProof/>
                <w:sz w:val="24"/>
              </w:rPr>
              <w:t xml:space="preserve">i) Huipputason tutkimuksen vahvistaminen </w:t>
            </w:r>
            <w:r>
              <w:rPr>
                <w:rFonts w:ascii="Times New Roman" w:hAnsi="Times New Roman"/>
                <w:b/>
                <w:noProof/>
                <w:sz w:val="24"/>
                <w:u w:val="single"/>
              </w:rPr>
              <w:t>eurooppalaisten tekoälytutkimuksen huippuosaamiskeskusten verkostojen</w:t>
            </w:r>
            <w:r>
              <w:rPr>
                <w:rFonts w:ascii="Times New Roman" w:hAnsi="Times New Roman"/>
                <w:b/>
                <w:noProof/>
                <w:sz w:val="24"/>
              </w:rPr>
              <w:t xml:space="preserve"> avulla</w:t>
            </w:r>
            <w:r>
              <w:rPr>
                <w:rFonts w:ascii="Times New Roman" w:hAnsi="Times New Roman"/>
                <w:noProof/>
                <w:sz w:val="24"/>
              </w:rPr>
              <w:t xml:space="preserve">: </w:t>
            </w:r>
          </w:p>
          <w:p>
            <w:pPr>
              <w:numPr>
                <w:ilvl w:val="0"/>
                <w:numId w:val="2"/>
              </w:numPr>
              <w:spacing w:after="120"/>
              <w:jc w:val="both"/>
              <w:rPr>
                <w:rFonts w:ascii="Times New Roman" w:hAnsi="Times New Roman" w:cs="Times New Roman"/>
                <w:noProof/>
                <w:sz w:val="24"/>
                <w:szCs w:val="24"/>
              </w:rPr>
            </w:pPr>
            <w:r>
              <w:rPr>
                <w:rFonts w:ascii="Times New Roman" w:hAnsi="Times New Roman"/>
                <w:b/>
                <w:noProof/>
                <w:sz w:val="24"/>
              </w:rPr>
              <w:t>Komissio kartoittaa vuonna 2019 kansalliset tekoälytutkimuksen huippuosaamiskeskukset</w:t>
            </w:r>
            <w:r>
              <w:rPr>
                <w:rFonts w:ascii="Times New Roman" w:hAnsi="Times New Roman"/>
                <w:noProof/>
                <w:sz w:val="24"/>
              </w:rPr>
              <w:t xml:space="preserve"> ja niiden osaamisen ja tukee niiden EU:n laajuista yhteistyötä ja verkottumista kansallisten ohjelmien pohjalta. </w:t>
            </w:r>
          </w:p>
          <w:p>
            <w:pPr>
              <w:numPr>
                <w:ilvl w:val="0"/>
                <w:numId w:val="2"/>
              </w:numPr>
              <w:spacing w:after="120"/>
              <w:jc w:val="both"/>
              <w:rPr>
                <w:rFonts w:ascii="Times New Roman" w:hAnsi="Times New Roman" w:cs="Times New Roman"/>
                <w:noProof/>
                <w:sz w:val="24"/>
                <w:szCs w:val="24"/>
              </w:rPr>
            </w:pPr>
            <w:r>
              <w:rPr>
                <w:rFonts w:ascii="Times New Roman" w:hAnsi="Times New Roman"/>
                <w:b/>
                <w:noProof/>
                <w:sz w:val="24"/>
              </w:rPr>
              <w:t>Komissio</w:t>
            </w:r>
            <w:r>
              <w:rPr>
                <w:rFonts w:ascii="Times New Roman" w:hAnsi="Times New Roman"/>
                <w:noProof/>
                <w:sz w:val="24"/>
              </w:rPr>
              <w:t xml:space="preserve"> aikoo rahoittaa </w:t>
            </w:r>
            <w:r>
              <w:rPr>
                <w:rFonts w:ascii="Times New Roman" w:hAnsi="Times New Roman"/>
                <w:b/>
                <w:noProof/>
                <w:sz w:val="24"/>
              </w:rPr>
              <w:t>eurooppalaisten tekoälytutkimuksen huippuosaamiskeskusten verkostoja</w:t>
            </w:r>
            <w:r>
              <w:rPr>
                <w:rFonts w:ascii="Times New Roman" w:hAnsi="Times New Roman"/>
                <w:noProof/>
                <w:sz w:val="24"/>
              </w:rPr>
              <w:t xml:space="preserve"> 50 miljoonalla eurolla vuonna 2020 Horisontti 2020 -ohjelmasta. Rahoituksella tuetaan tutkimusyhteistyötä, jossa käsitellään teollisia ja tieteellisiä haasteita, jotka tällaiset verkostot ovat yksilöineet yhteisissä tutkimuslinjauksissaan.</w:t>
            </w:r>
          </w:p>
          <w:p>
            <w:pPr>
              <w:numPr>
                <w:ilvl w:val="0"/>
                <w:numId w:val="2"/>
              </w:numPr>
              <w:spacing w:after="120"/>
              <w:jc w:val="both"/>
              <w:rPr>
                <w:rFonts w:ascii="Times New Roman" w:hAnsi="Times New Roman" w:cs="Times New Roman"/>
                <w:noProof/>
                <w:sz w:val="24"/>
                <w:szCs w:val="24"/>
                <w:u w:val="single"/>
              </w:rPr>
            </w:pPr>
            <w:r>
              <w:rPr>
                <w:rFonts w:ascii="Times New Roman" w:hAnsi="Times New Roman"/>
                <w:b/>
                <w:noProof/>
                <w:sz w:val="24"/>
              </w:rPr>
              <w:t>Jäsenvaltioita</w:t>
            </w:r>
            <w:r>
              <w:rPr>
                <w:rFonts w:ascii="Times New Roman" w:hAnsi="Times New Roman"/>
                <w:noProof/>
                <w:sz w:val="24"/>
              </w:rPr>
              <w:t xml:space="preserve"> kannustetaan aktivoimaan teollisuuttaan, jotta se osallistuisi </w:t>
            </w:r>
            <w:r>
              <w:rPr>
                <w:rFonts w:ascii="Times New Roman" w:hAnsi="Times New Roman"/>
                <w:b/>
                <w:noProof/>
                <w:sz w:val="24"/>
              </w:rPr>
              <w:t>eurooppalaisten tekoälytutkimuksen huippuosaamiskeskusten verkostoihin</w:t>
            </w:r>
            <w:r>
              <w:rPr>
                <w:rFonts w:ascii="Times New Roman" w:hAnsi="Times New Roman"/>
                <w:noProof/>
                <w:sz w:val="24"/>
              </w:rPr>
              <w:t xml:space="preserve"> ja kehittäisi synergioita niiden kanssa.</w:t>
            </w:r>
          </w:p>
        </w:tc>
      </w:tr>
    </w:tbl>
    <w:p>
      <w:pPr>
        <w:spacing w:after="240" w:line="240" w:lineRule="auto"/>
        <w:jc w:val="both"/>
        <w:rPr>
          <w:rFonts w:ascii="Times New Roman" w:hAnsi="Times New Roman" w:cs="Times New Roman"/>
          <w:noProof/>
          <w:sz w:val="24"/>
          <w:szCs w:val="24"/>
          <w:u w:val="single"/>
        </w:rPr>
      </w:pPr>
    </w:p>
    <w:tbl>
      <w:tblPr>
        <w:tblStyle w:val="TableGrid"/>
        <w:tblW w:w="0" w:type="auto"/>
        <w:tblLook w:val="04A0" w:firstRow="1" w:lastRow="0" w:firstColumn="1" w:lastColumn="0" w:noHBand="0" w:noVBand="1"/>
      </w:tblPr>
      <w:tblGrid>
        <w:gridCol w:w="9288"/>
      </w:tblGrid>
      <w:tr>
        <w:tc>
          <w:tcPr>
            <w:tcW w:w="9288" w:type="dxa"/>
            <w:tcBorders>
              <w:top w:val="nil"/>
              <w:left w:val="nil"/>
              <w:bottom w:val="nil"/>
              <w:right w:val="nil"/>
            </w:tcBorders>
            <w:shd w:val="clear" w:color="auto" w:fill="DBE5F1" w:themeFill="accent1" w:themeFillTint="33"/>
          </w:tcPr>
          <w:p>
            <w:pPr>
              <w:spacing w:after="120"/>
              <w:jc w:val="both"/>
              <w:rPr>
                <w:rFonts w:ascii="Times New Roman" w:hAnsi="Times New Roman" w:cs="Times New Roman"/>
                <w:b/>
                <w:noProof/>
                <w:sz w:val="24"/>
                <w:szCs w:val="24"/>
              </w:rPr>
            </w:pPr>
            <w:r>
              <w:rPr>
                <w:rFonts w:ascii="Times New Roman" w:hAnsi="Times New Roman"/>
                <w:b/>
                <w:noProof/>
                <w:sz w:val="24"/>
              </w:rPr>
              <w:t xml:space="preserve">ii) </w:t>
            </w:r>
            <w:r>
              <w:rPr>
                <w:rFonts w:ascii="Times New Roman" w:hAnsi="Times New Roman"/>
                <w:b/>
                <w:noProof/>
                <w:sz w:val="24"/>
                <w:u w:val="single"/>
              </w:rPr>
              <w:t>Maailmanluokan vertailutestausrakenteiden</w:t>
            </w:r>
            <w:r>
              <w:rPr>
                <w:rFonts w:ascii="Times New Roman" w:hAnsi="Times New Roman"/>
                <w:b/>
                <w:noProof/>
                <w:sz w:val="24"/>
              </w:rPr>
              <w:t xml:space="preserve"> perustaminen:</w:t>
            </w:r>
          </w:p>
          <w:p>
            <w:pPr>
              <w:numPr>
                <w:ilvl w:val="0"/>
                <w:numId w:val="2"/>
              </w:numPr>
              <w:spacing w:after="120"/>
              <w:jc w:val="both"/>
              <w:rPr>
                <w:rFonts w:ascii="Times New Roman" w:hAnsi="Times New Roman" w:cs="Times New Roman"/>
                <w:noProof/>
                <w:sz w:val="24"/>
                <w:szCs w:val="24"/>
              </w:rPr>
            </w:pPr>
            <w:r>
              <w:rPr>
                <w:rFonts w:ascii="Times New Roman" w:hAnsi="Times New Roman"/>
                <w:b/>
                <w:noProof/>
                <w:sz w:val="24"/>
              </w:rPr>
              <w:t>Vuosina 2018–2020 jäsenvaltiot ja komissio</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tukevat verkkoon liitetyn ja automatisoidun autoilun ensimmäisten 5G-teknologiaan perustuvien rajat ylittävien käytävien</w:t>
            </w:r>
            <w:r>
              <w:rPr>
                <w:rFonts w:ascii="Times New Roman" w:hAnsi="Times New Roman"/>
                <w:noProof/>
                <w:sz w:val="24"/>
                <w:vertAlign w:val="superscript"/>
              </w:rPr>
              <w:footnoteReference w:id="30"/>
            </w:r>
            <w:r>
              <w:rPr>
                <w:rFonts w:ascii="Times New Roman" w:hAnsi="Times New Roman"/>
                <w:noProof/>
                <w:sz w:val="24"/>
              </w:rPr>
              <w:t xml:space="preserve"> pohjalta </w:t>
            </w:r>
            <w:r>
              <w:rPr>
                <w:rFonts w:ascii="Times New Roman" w:hAnsi="Times New Roman"/>
                <w:b/>
                <w:noProof/>
                <w:sz w:val="24"/>
              </w:rPr>
              <w:t>uusien testauskäytävien perustamista</w:t>
            </w:r>
            <w:r>
              <w:rPr>
                <w:rFonts w:ascii="Times New Roman" w:hAnsi="Times New Roman"/>
                <w:noProof/>
                <w:sz w:val="24"/>
              </w:rPr>
              <w:t xml:space="preserve"> vuonna 2020 enintään 30 miljoonalla eurolla Horisontti 2020 </w:t>
            </w:r>
            <w:r>
              <w:rPr>
                <w:rFonts w:ascii="Times New Roman" w:hAnsi="Times New Roman"/>
                <w:noProof/>
                <w:sz w:val="24"/>
              </w:rPr>
              <w:noBreakHyphen/>
              <w:t xml:space="preserve">ohjelmasta; </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 xml:space="preserve">jatkavat sellaisten </w:t>
            </w:r>
            <w:r>
              <w:rPr>
                <w:rFonts w:ascii="Times New Roman" w:hAnsi="Times New Roman"/>
                <w:b/>
                <w:noProof/>
                <w:sz w:val="24"/>
              </w:rPr>
              <w:t>alustojen ja suuren mittakaavan pilottihankkeiden</w:t>
            </w:r>
            <w:r>
              <w:rPr>
                <w:rFonts w:ascii="Times New Roman" w:hAnsi="Times New Roman"/>
                <w:noProof/>
                <w:sz w:val="24"/>
              </w:rPr>
              <w:t xml:space="preserve"> kehittämistä, joihin on integroitu tekoälyelementtejä, muun muassa energian, terveydenhoidon, valmistuksen, geoinformaation ja maatalouden aloilla. Komissio osoittaa tähän 160 miljoonaa euroa Horisontti 2020 -ohjelmasta vuosina 2019–2020.</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 xml:space="preserve">Tekoäly ja data-analytiikka sisällytetään vuosina 2019 ja 2020 </w:t>
            </w:r>
            <w:r>
              <w:rPr>
                <w:rFonts w:ascii="Times New Roman" w:hAnsi="Times New Roman"/>
                <w:b/>
                <w:noProof/>
                <w:sz w:val="24"/>
              </w:rPr>
              <w:t>ECSEL-yhteisyrityksen</w:t>
            </w:r>
            <w:r>
              <w:rPr>
                <w:rFonts w:ascii="Times New Roman" w:hAnsi="Times New Roman"/>
                <w:b/>
                <w:noProof/>
                <w:sz w:val="24"/>
                <w:vertAlign w:val="superscript"/>
              </w:rPr>
              <w:footnoteReference w:id="31"/>
            </w:r>
            <w:r>
              <w:rPr>
                <w:rFonts w:ascii="Times New Roman" w:hAnsi="Times New Roman"/>
                <w:noProof/>
                <w:sz w:val="24"/>
              </w:rPr>
              <w:t xml:space="preserve"> puitteissa valmistusta, liikkuvuutta ja yksilöllistä lääketiedettä koskeviin kärkihankkeisiin, joiden kokonaisbudjetti on noin 200 miljoonaa euroa, komponenteista aina täydellisiin järjestelmiin. </w:t>
            </w:r>
          </w:p>
          <w:p>
            <w:pPr>
              <w:spacing w:after="120"/>
              <w:jc w:val="both"/>
              <w:rPr>
                <w:rFonts w:ascii="Times New Roman" w:hAnsi="Times New Roman" w:cs="Times New Roman"/>
                <w:noProof/>
                <w:sz w:val="24"/>
                <w:szCs w:val="24"/>
              </w:rPr>
            </w:pPr>
            <w:r>
              <w:rPr>
                <w:rFonts w:ascii="Times New Roman" w:hAnsi="Times New Roman"/>
                <w:noProof/>
                <w:sz w:val="24"/>
              </w:rPr>
              <w:t>Komissio asettaa saataville alustojen ja suuren mittakaavan pilottihankkeiden kehittämiseen kaiken kaikkiaan noin 390 miljoonaa euroa vuosina 2019–2020. Tämän lisäksi jäsenvaltioiden odotetaan investoivan lähes 200 miljoonaa euroa ja yksityisen sektorin 550 miljoonaa euroa.</w:t>
            </w:r>
          </w:p>
          <w:p>
            <w:pPr>
              <w:spacing w:after="120"/>
              <w:jc w:val="both"/>
              <w:rPr>
                <w:rFonts w:ascii="Times New Roman" w:hAnsi="Times New Roman" w:cs="Times New Roman"/>
                <w:noProof/>
                <w:sz w:val="24"/>
                <w:szCs w:val="24"/>
              </w:rPr>
            </w:pPr>
            <w:r>
              <w:rPr>
                <w:rFonts w:ascii="Times New Roman" w:hAnsi="Times New Roman"/>
                <w:noProof/>
                <w:sz w:val="24"/>
              </w:rPr>
              <w:t xml:space="preserve"> </w:t>
            </w:r>
            <w:r>
              <w:rPr>
                <w:rFonts w:ascii="Times New Roman" w:hAnsi="Times New Roman"/>
                <w:b/>
                <w:noProof/>
                <w:sz w:val="24"/>
              </w:rPr>
              <w:t>Vuoden 2020 jälkeen</w:t>
            </w:r>
            <w:r>
              <w:rPr>
                <w:rFonts w:ascii="Times New Roman" w:hAnsi="Times New Roman"/>
                <w:noProof/>
                <w:sz w:val="24"/>
              </w:rPr>
              <w:t xml:space="preserve"> </w:t>
            </w:r>
          </w:p>
          <w:p>
            <w:pPr>
              <w:numPr>
                <w:ilvl w:val="1"/>
                <w:numId w:val="2"/>
              </w:numPr>
              <w:spacing w:after="120"/>
              <w:jc w:val="both"/>
              <w:rPr>
                <w:rFonts w:ascii="Times New Roman" w:hAnsi="Times New Roman" w:cs="Times New Roman"/>
                <w:noProof/>
                <w:sz w:val="24"/>
                <w:szCs w:val="24"/>
              </w:rPr>
            </w:pPr>
            <w:r>
              <w:rPr>
                <w:rFonts w:ascii="Times New Roman" w:hAnsi="Times New Roman"/>
                <w:b/>
                <w:noProof/>
                <w:sz w:val="24"/>
              </w:rPr>
              <w:t>Komissio aikoo asettaa Digitaalinen Eurooppa -ohjelmassa saataville noin 1,5 miljardia euroa maailmanluokan testaus- ja kokeilurakenteiden perustamiseen tekoälyyn perustuville tuotteille ja palveluille kaikkialla Euroopassa.</w:t>
            </w:r>
            <w:r>
              <w:rPr>
                <w:rFonts w:ascii="Times New Roman" w:hAnsi="Times New Roman"/>
                <w:noProof/>
                <w:sz w:val="24"/>
              </w:rPr>
              <w:t xml:space="preserve"> Nämä testauspaikat määritellään ja kehitetään vuonna 2019 tiiviissä yhteistyössä jäsenvaltioiden kanssa, jotka kartoittavat olemassa olevat kansalliset testauspaikat, ja ne kattavat koko tekoälyn toimitusketjun komponenteista (neuromorfinen laskenta ja kvanttiteknologiat) aina integroituihin sovelluksiin terveydenhoidon, liikkuvuuden, energian, turvallisuuden ja teollisuustuotannon kaltaisilla aloilla,</w:t>
            </w:r>
          </w:p>
          <w:p>
            <w:pPr>
              <w:numPr>
                <w:ilvl w:val="1"/>
                <w:numId w:val="2"/>
              </w:numPr>
              <w:spacing w:after="120"/>
              <w:jc w:val="both"/>
              <w:rPr>
                <w:rFonts w:ascii="Times New Roman" w:hAnsi="Times New Roman" w:cs="Times New Roman"/>
                <w:noProof/>
                <w:sz w:val="24"/>
                <w:szCs w:val="24"/>
                <w:u w:val="single"/>
              </w:rPr>
            </w:pPr>
            <w:r>
              <w:rPr>
                <w:rFonts w:ascii="Times New Roman" w:hAnsi="Times New Roman"/>
                <w:b/>
                <w:noProof/>
                <w:sz w:val="24"/>
              </w:rPr>
              <w:t>Jäsenvaltioita</w:t>
            </w:r>
            <w:r>
              <w:rPr>
                <w:rFonts w:ascii="Times New Roman" w:hAnsi="Times New Roman"/>
                <w:noProof/>
                <w:sz w:val="24"/>
              </w:rPr>
              <w:t xml:space="preserve"> kannustetaan investoimaan Digitaalinen Eurooppa -ohjelman investointeja vastaava määrä, jotta saatavilla on yhteensä 3 miljardin euron investoinnit.</w:t>
            </w:r>
            <w:r>
              <w:rPr>
                <w:rFonts w:ascii="Times New Roman" w:hAnsi="Times New Roman"/>
                <w:b/>
                <w:noProof/>
                <w:sz w:val="24"/>
              </w:rPr>
              <w:t xml:space="preserve"> </w:t>
            </w:r>
            <w:r>
              <w:rPr>
                <w:rFonts w:ascii="Times New Roman" w:hAnsi="Times New Roman"/>
                <w:noProof/>
                <w:sz w:val="24"/>
              </w:rPr>
              <w:t>Myös muiden rahoituslähteiden, kuten Euroopan aluekehitysrahaston, käyttöön kannustetaan.</w:t>
            </w:r>
          </w:p>
        </w:tc>
      </w:tr>
    </w:tbl>
    <w:p>
      <w:pPr>
        <w:spacing w:after="240" w:line="240" w:lineRule="auto"/>
        <w:jc w:val="both"/>
        <w:rPr>
          <w:rFonts w:ascii="Times New Roman" w:hAnsi="Times New Roman" w:cs="Times New Roman"/>
          <w:noProof/>
          <w:sz w:val="24"/>
          <w:szCs w:val="24"/>
          <w:u w:val="single"/>
        </w:rPr>
      </w:pPr>
    </w:p>
    <w:tbl>
      <w:tblPr>
        <w:tblStyle w:val="TableGrid"/>
        <w:tblW w:w="0" w:type="auto"/>
        <w:tblLook w:val="04A0" w:firstRow="1" w:lastRow="0" w:firstColumn="1" w:lastColumn="0" w:noHBand="0" w:noVBand="1"/>
      </w:tblPr>
      <w:tblGrid>
        <w:gridCol w:w="9288"/>
      </w:tblGrid>
      <w:tr>
        <w:tc>
          <w:tcPr>
            <w:tcW w:w="9288" w:type="dxa"/>
            <w:tcBorders>
              <w:top w:val="nil"/>
              <w:left w:val="nil"/>
              <w:bottom w:val="nil"/>
              <w:right w:val="nil"/>
            </w:tcBorders>
            <w:shd w:val="clear" w:color="auto" w:fill="DBE5F1" w:themeFill="accent1" w:themeFillTint="33"/>
          </w:tcPr>
          <w:p>
            <w:pPr>
              <w:spacing w:after="120"/>
              <w:jc w:val="both"/>
              <w:rPr>
                <w:rFonts w:ascii="Times New Roman" w:hAnsi="Times New Roman" w:cs="Times New Roman"/>
                <w:b/>
                <w:noProof/>
                <w:sz w:val="24"/>
                <w:szCs w:val="24"/>
                <w:u w:val="single"/>
              </w:rPr>
            </w:pPr>
            <w:r>
              <w:rPr>
                <w:rFonts w:ascii="Times New Roman" w:hAnsi="Times New Roman"/>
                <w:b/>
                <w:noProof/>
                <w:sz w:val="24"/>
              </w:rPr>
              <w:t xml:space="preserve">iii) Tekoälyn käyttöönoton nopeuttaminen </w:t>
            </w:r>
            <w:r>
              <w:rPr>
                <w:rFonts w:ascii="Times New Roman" w:hAnsi="Times New Roman"/>
                <w:b/>
                <w:noProof/>
                <w:sz w:val="24"/>
                <w:u w:val="single"/>
              </w:rPr>
              <w:t>digitaali-innovaatiokeskittymien</w:t>
            </w:r>
            <w:r>
              <w:rPr>
                <w:rFonts w:ascii="Times New Roman" w:hAnsi="Times New Roman"/>
                <w:b/>
                <w:noProof/>
                <w:sz w:val="24"/>
              </w:rPr>
              <w:t xml:space="preserve"> avulla:</w:t>
            </w:r>
            <w:r>
              <w:rPr>
                <w:rFonts w:ascii="Times New Roman" w:hAnsi="Times New Roman"/>
                <w:b/>
                <w:noProof/>
                <w:sz w:val="24"/>
                <w:u w:val="single"/>
              </w:rPr>
              <w:t xml:space="preserve"> </w:t>
            </w:r>
          </w:p>
          <w:p>
            <w:pPr>
              <w:numPr>
                <w:ilvl w:val="0"/>
                <w:numId w:val="2"/>
              </w:numPr>
              <w:spacing w:after="120"/>
              <w:jc w:val="both"/>
              <w:rPr>
                <w:rFonts w:ascii="Times New Roman" w:hAnsi="Times New Roman" w:cs="Times New Roman"/>
                <w:b/>
                <w:noProof/>
                <w:sz w:val="24"/>
                <w:szCs w:val="24"/>
              </w:rPr>
            </w:pPr>
            <w:r>
              <w:rPr>
                <w:rFonts w:ascii="Times New Roman" w:hAnsi="Times New Roman"/>
                <w:b/>
                <w:noProof/>
                <w:sz w:val="24"/>
              </w:rPr>
              <w:t>Jäsenvaltioita pyydetään vuonna 2019 vahvistamaan digitaali-innovaatiokeskittymien verkostojaan</w:t>
            </w:r>
            <w:r>
              <w:rPr>
                <w:rFonts w:ascii="Times New Roman" w:hAnsi="Times New Roman"/>
                <w:noProof/>
                <w:sz w:val="24"/>
              </w:rPr>
              <w:t xml:space="preserve"> keskittymällä paikallisten pk-yritysyhteisöjensä tukemiseen digitalisaatiossa. Jäsenvaltioita pyydetään määrittelemään digitaali-innovaatiokeskittymät, joilla on tekoälyyn liittyvää osaamista.</w:t>
            </w:r>
            <w:r>
              <w:rPr>
                <w:rFonts w:ascii="Times New Roman" w:hAnsi="Times New Roman"/>
                <w:b/>
                <w:noProof/>
                <w:sz w:val="24"/>
              </w:rPr>
              <w:t xml:space="preserve"> </w:t>
            </w:r>
          </w:p>
          <w:p>
            <w:pPr>
              <w:numPr>
                <w:ilvl w:val="0"/>
                <w:numId w:val="2"/>
              </w:numPr>
              <w:spacing w:after="120"/>
              <w:jc w:val="both"/>
              <w:rPr>
                <w:rFonts w:ascii="Times New Roman" w:hAnsi="Times New Roman" w:cs="Times New Roman"/>
                <w:b/>
                <w:noProof/>
                <w:sz w:val="24"/>
                <w:szCs w:val="24"/>
              </w:rPr>
            </w:pPr>
            <w:r>
              <w:rPr>
                <w:rFonts w:ascii="Times New Roman" w:hAnsi="Times New Roman"/>
                <w:b/>
                <w:noProof/>
                <w:sz w:val="24"/>
              </w:rPr>
              <w:t>Komissio asettaa vuosina 2019 ja 2020 saataville yli 100 miljoonaa euroa digitaali-innovaatiokeskittymille valikoiduilla, tekoälyn kannalta merkityksellisillä aloilla</w:t>
            </w:r>
            <w:r>
              <w:rPr>
                <w:rFonts w:ascii="Times New Roman" w:hAnsi="Times New Roman"/>
                <w:noProof/>
                <w:sz w:val="24"/>
              </w:rPr>
              <w:t xml:space="preserve"> (massadata, älykäs valmistus). Tähän sisältyvät toimet alueilla, joilla on nykyisin harvoja digitaali-innovaatiokeskittymiä, kuten EU13-maissa.</w:t>
            </w:r>
          </w:p>
          <w:p>
            <w:pPr>
              <w:numPr>
                <w:ilvl w:val="0"/>
                <w:numId w:val="2"/>
              </w:numPr>
              <w:spacing w:after="120"/>
              <w:jc w:val="both"/>
              <w:rPr>
                <w:rFonts w:ascii="Times New Roman" w:hAnsi="Times New Roman" w:cs="Times New Roman"/>
                <w:noProof/>
                <w:sz w:val="24"/>
                <w:szCs w:val="24"/>
              </w:rPr>
            </w:pPr>
            <w:r>
              <w:rPr>
                <w:rFonts w:ascii="Times New Roman" w:hAnsi="Times New Roman"/>
                <w:noProof/>
                <w:sz w:val="24"/>
              </w:rPr>
              <w:t>Myös Euroopan innovaatio- ja teknologiainstituutin toimet edistävät tekoälyn käyttöönottoa julkisella ja yksityisellä sektorilla.</w:t>
            </w:r>
            <w:r>
              <w:rPr>
                <w:rFonts w:ascii="Times New Roman" w:hAnsi="Times New Roman"/>
                <w:b/>
                <w:noProof/>
                <w:sz w:val="24"/>
              </w:rPr>
              <w:t xml:space="preserve"> </w:t>
            </w:r>
            <w:r>
              <w:rPr>
                <w:rFonts w:ascii="Times New Roman" w:hAnsi="Times New Roman"/>
                <w:noProof/>
                <w:sz w:val="24"/>
              </w:rPr>
              <w:t>Unioni investoi vuosina 2018–2020 toimiin, joilla tuetaan Euroopan innovaatio- ja teknologiainstituutin digitaaliteknologian osaamis- ja innovaatioyhteisön (EIT Digital) toimia ja sen keskusten verkostoa unionissa. Näissä investoinneissa keskitytään teollisuuden, kaupunkien, terveydenhuollon, infrastruktuurin ja rahoitusalan digitalisaatioon ja erityisesti mukautumiseen tekoälyn tarjoamiin mahdollisuuksiin.</w:t>
            </w:r>
          </w:p>
          <w:p>
            <w:pPr>
              <w:numPr>
                <w:ilvl w:val="0"/>
                <w:numId w:val="2"/>
              </w:numPr>
              <w:spacing w:after="120"/>
              <w:jc w:val="both"/>
              <w:rPr>
                <w:rFonts w:ascii="Times New Roman" w:hAnsi="Times New Roman" w:cs="Times New Roman"/>
                <w:noProof/>
                <w:sz w:val="24"/>
                <w:szCs w:val="24"/>
                <w:u w:val="single"/>
              </w:rPr>
            </w:pPr>
            <w:r>
              <w:rPr>
                <w:rFonts w:ascii="Times New Roman" w:hAnsi="Times New Roman"/>
                <w:b/>
                <w:noProof/>
                <w:sz w:val="24"/>
              </w:rPr>
              <w:t>Digitaalinen Eurooppa -ohjelman rahoitusta ehdotetaan käytettävän vuoden 2020 jälkeen digitaali-innovaatiokeskittymien perustamiseen kaikkiin jäsenvaltioihin laajan maantieteellisen kattavuuden varmistamiseksi</w:t>
            </w:r>
            <w:r>
              <w:rPr>
                <w:rFonts w:ascii="Times New Roman" w:hAnsi="Times New Roman"/>
                <w:noProof/>
                <w:sz w:val="24"/>
              </w:rPr>
              <w:t xml:space="preserve"> (mahdollisesti keskimäärin yksi keskittymä jokaisella NUTS2-alueella</w:t>
            </w:r>
            <w:r>
              <w:rPr>
                <w:rFonts w:ascii="Times New Roman" w:hAnsi="Times New Roman"/>
                <w:noProof/>
                <w:sz w:val="24"/>
                <w:vertAlign w:val="superscript"/>
              </w:rPr>
              <w:footnoteReference w:id="32"/>
            </w:r>
            <w:r>
              <w:rPr>
                <w:rFonts w:ascii="Times New Roman" w:hAnsi="Times New Roman"/>
                <w:noProof/>
                <w:sz w:val="24"/>
              </w:rPr>
              <w:t>). Suunnitelmien mukaan unioni osoittaa enintään 900 miljoonaa euroa näiden keskittymien kehittämiseen, ja jäsenvaltioiden odotetaan investoivan vastaava määrä. Horisontti Eurooppa -ohjelman avulla digitaali-innovaatiokeskittymien odotetaan voivan jatkaa digitalisaatioon liittyviä kokeiluja ja tukevan jopa 10 000 pk-yritystä kaikkialla Euroopassa.</w:t>
            </w:r>
          </w:p>
        </w:tc>
      </w:tr>
    </w:tbl>
    <w:p>
      <w:pPr>
        <w:pStyle w:val="ListParagraph"/>
        <w:keepNext/>
        <w:numPr>
          <w:ilvl w:val="1"/>
          <w:numId w:val="1"/>
        </w:numPr>
        <w:spacing w:before="360" w:after="240" w:line="240" w:lineRule="auto"/>
        <w:ind w:left="567" w:hanging="567"/>
        <w:contextualSpacing w:val="0"/>
        <w:jc w:val="both"/>
        <w:rPr>
          <w:rFonts w:ascii="Times New Roman" w:hAnsi="Times New Roman"/>
          <w:b/>
          <w:noProof/>
          <w:sz w:val="24"/>
        </w:rPr>
      </w:pPr>
      <w:r>
        <w:rPr>
          <w:rFonts w:ascii="Times New Roman" w:hAnsi="Times New Roman"/>
          <w:b/>
          <w:noProof/>
          <w:sz w:val="24"/>
          <w:u w:val="single"/>
        </w:rPr>
        <w:t>Taidot ja elinikäinen oppiminen</w:t>
      </w:r>
    </w:p>
    <w:p>
      <w:pPr>
        <w:spacing w:after="240" w:line="240" w:lineRule="auto"/>
        <w:jc w:val="both"/>
        <w:rPr>
          <w:noProof/>
        </w:rPr>
      </w:pPr>
      <w:r>
        <w:rPr>
          <w:rFonts w:ascii="Times New Roman" w:hAnsi="Times New Roman"/>
          <w:noProof/>
          <w:sz w:val="24"/>
        </w:rPr>
        <w:t>Osaaminen on yksi keskeinen osatekijä, jota tekoälyn kehittäminen ja käyttö edellyttää. Tekoäly ja digitalisaatio muuttavat nopeasti yhteiskuntaa ja koko taloutta, myös työympäristöä. Euroopassa vallitsee merkittävä ja jatkuva tieto- ja viestintätekniikka-alan osaamisvaje. Osaamisen tarve on erityisen polttava tekoälyn kaltaisilla kehittyvillä aloilla, ja ongelma pahenee tarjonnan jäädessä jälkeen markkinoista. Lähes kaikissa jäsenvaltioissa on pula tieto- ja viestintätekniikan ammattilaisista, myös tekoälyn alalla</w:t>
      </w:r>
      <w:r>
        <w:rPr>
          <w:rStyle w:val="FootnoteReference"/>
          <w:rFonts w:ascii="Times New Roman" w:hAnsi="Times New Roman"/>
          <w:noProof/>
          <w:sz w:val="24"/>
        </w:rPr>
        <w:footnoteReference w:id="33"/>
      </w:r>
      <w:r>
        <w:rPr>
          <w:rFonts w:ascii="Times New Roman" w:hAnsi="Times New Roman"/>
          <w:noProof/>
          <w:sz w:val="24"/>
        </w:rPr>
        <w:t>. Erikoistuneiden korkea-asteen koulutusohjelmien nykyinen tarjonta on rajallinen, eikä sitä ole tasaisesti saatavilla kaikissa jäsenvaltioissa</w:t>
      </w:r>
      <w:r>
        <w:rPr>
          <w:rStyle w:val="FootnoteReference"/>
          <w:rFonts w:ascii="Times New Roman" w:hAnsi="Times New Roman"/>
          <w:noProof/>
          <w:sz w:val="24"/>
        </w:rPr>
        <w:footnoteReference w:id="34"/>
      </w:r>
      <w:r>
        <w:rPr>
          <w:rFonts w:ascii="Times New Roman" w:hAnsi="Times New Roman"/>
          <w:noProof/>
          <w:sz w:val="24"/>
        </w:rPr>
        <w:t>.</w:t>
      </w:r>
      <w:r>
        <w:rPr>
          <w:noProof/>
        </w:rPr>
        <w:t> </w:t>
      </w:r>
    </w:p>
    <w:p>
      <w:pPr>
        <w:spacing w:after="240" w:line="240" w:lineRule="auto"/>
        <w:jc w:val="both"/>
        <w:rPr>
          <w:rFonts w:ascii="Times New Roman" w:hAnsi="Times New Roman" w:cs="Times New Roman"/>
          <w:noProof/>
          <w:sz w:val="24"/>
          <w:szCs w:val="24"/>
        </w:rPr>
      </w:pPr>
      <w:r>
        <w:rPr>
          <w:rFonts w:ascii="Times New Roman" w:hAnsi="Times New Roman"/>
          <w:noProof/>
          <w:sz w:val="24"/>
        </w:rPr>
        <w:t>Laajemman väestön yleinen heikko teknologinen tietämys haittaa tekoälyyn perustuvien ratkaisujen saatavuutta ja käyttöönottoa. Tarvittavien taitojen saatavuutta olisi edistettävä perusasteen ja keskiasteen koulutuksessa, vaikka opettajien koulutus onkin edelleen merkittävä haaste. On suunniteltava nopeutettuja uudelleenkoulutusohjelmia, jotta väestö voisi saada kokemusta tekoälystä. Oppimisen laajentamiseen voitaisiin käyttää verkossa avointen massakurssien (MOOC) kaltaista teknologiaa. Tekoälystä on tehtävä osa ei-teknisiä koulutusohjelmia muodollisessa ja epämuodollisessa koulutuksessa, jotta tulevaisuuden työntekijät saisivat tarvittavan tietämyksen voidakseen toimia ja selviytyä työympäristössä, jossa tekoäly on osa jokapäiväisiä tehtäviä.</w:t>
      </w:r>
    </w:p>
    <w:p>
      <w:pPr>
        <w:spacing w:after="240" w:line="240" w:lineRule="auto"/>
        <w:jc w:val="both"/>
        <w:rPr>
          <w:rFonts w:ascii="Times New Roman" w:hAnsi="Times New Roman" w:cs="Times New Roman"/>
          <w:noProof/>
          <w:sz w:val="24"/>
          <w:szCs w:val="24"/>
        </w:rPr>
      </w:pPr>
      <w:r>
        <w:rPr>
          <w:rFonts w:ascii="Times New Roman" w:hAnsi="Times New Roman"/>
          <w:noProof/>
          <w:sz w:val="24"/>
        </w:rPr>
        <w:t>Tieto- ja viestintätekniikan taitojen lisäksi myös muut taidot ovat yhtä tärkeitä ihmiskeskeisen tekoälyn kehittämisessä. Etiikka ja muut STEM-alojen ulkopuoliset taidot ovat yhtä tärkeitä, ja niiden olisi sisällyttävä kansallisten ja kansainvälisten tekoälystrategioiden osaamisen kasvattamista koskevaan osioon. Taitojen parantamiseen ja uudelleenkoulutukseen olisi lisäksi liityttävä myös työmarkkinoiden ja sosiaalipolitiikan uudenaikaistaminen, jotta useammin esiintyvistä työmarkkinasiirtymistä voidaan selvitä paremmin.</w:t>
      </w:r>
    </w:p>
    <w:p>
      <w:pPr>
        <w:spacing w:after="240" w:line="240" w:lineRule="auto"/>
        <w:jc w:val="both"/>
        <w:rPr>
          <w:rFonts w:ascii="Times New Roman" w:hAnsi="Times New Roman" w:cs="Times New Roman"/>
          <w:noProof/>
          <w:sz w:val="24"/>
          <w:szCs w:val="24"/>
        </w:rPr>
      </w:pPr>
      <w:r>
        <w:rPr>
          <w:rFonts w:ascii="Times New Roman" w:hAnsi="Times New Roman"/>
          <w:noProof/>
          <w:sz w:val="24"/>
        </w:rPr>
        <w:t>Osaamisvajetta pahentaa se, että lahjakkuuksia on vaikea houkutella Eurooppaan ja pitää siellä. Lahjakkaat tutkijat ja lupaavat startup-yritykset saavat usein houkuttelevia tarjouksia ulkomailta. Vuonna 2017 38 prosenttia Piilaakson väestöstä oli ulkomaalaisia, jotka olivat tulleet Yhdysvaltoihin täyttämään tietyn teknologiateollisuuden työpaikan, ja näistä 8 prosenttia oli eurooppalaisia</w:t>
      </w:r>
      <w:r>
        <w:rPr>
          <w:rFonts w:ascii="Times New Roman" w:hAnsi="Times New Roman"/>
          <w:noProof/>
          <w:sz w:val="24"/>
          <w:vertAlign w:val="superscript"/>
        </w:rPr>
        <w:footnoteReference w:id="35"/>
      </w:r>
      <w:r>
        <w:rPr>
          <w:rFonts w:ascii="Times New Roman" w:hAnsi="Times New Roman"/>
          <w:noProof/>
          <w:sz w:val="24"/>
        </w:rPr>
        <w:t xml:space="preserve">. Toimia tarvitaan erityisesti parhaiden lahjakkuuksien houkuttelemiseksi Eurooppaan ja pitämiseksi siellä ja kilpailukykyisen ympäristön luomiseksi. Tiiviimpi yhteistyö toimialan kanssa auttaa varmistamaan, että oppisisältö vastaa työmarkkinoiden tarpeita.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Komissio on hyväksynyt digitaalisen koulutuksen toimintasuunnitelman</w:t>
      </w:r>
      <w:r>
        <w:rPr>
          <w:rStyle w:val="FootnoteReference"/>
          <w:rFonts w:ascii="Times New Roman" w:hAnsi="Times New Roman"/>
          <w:noProof/>
          <w:sz w:val="24"/>
        </w:rPr>
        <w:footnoteReference w:id="36"/>
      </w:r>
      <w:r>
        <w:rPr>
          <w:rFonts w:ascii="Times New Roman" w:hAnsi="Times New Roman"/>
          <w:noProof/>
          <w:sz w:val="24"/>
        </w:rPr>
        <w:t>, jolla tuetaan teknologian käytön ja digitaalitaitojen kehittämistä koulutuksessa. Kuten huhtikuisessa tiedonannossa ilmoitettiin, Euroopan innovaatio- ja teknologiainstituutti on parhaillaan sisällyttämässä tekoälyä tukemiensa maisteri- ja tohtoritasoisten koulutusohjelmien opetussuunnitelmiin. Lisäksi digitaalisten mahdollisuuksien harjoitteluohjelman (2018–2020)</w:t>
      </w:r>
      <w:r>
        <w:rPr>
          <w:rStyle w:val="FootnoteReference"/>
          <w:rFonts w:ascii="Times New Roman" w:hAnsi="Times New Roman"/>
          <w:noProof/>
          <w:sz w:val="24"/>
        </w:rPr>
        <w:footnoteReference w:id="37"/>
      </w:r>
      <w:r>
        <w:rPr>
          <w:rFonts w:ascii="Times New Roman" w:hAnsi="Times New Roman"/>
          <w:noProof/>
          <w:sz w:val="24"/>
        </w:rPr>
        <w:t xml:space="preserve"> puitteissa tarjotaan harjoittelupaikkoja, joissa Erasmus-opiskelijat voivat oppia edistyneitä digitaalitaitoja. Alakohtaista osaamisyhteistyötä koskevassa suunnitelmassa tuetaan alakohtaisten strategioiden laatimista osaamisvajeen poistamiseksi</w:t>
      </w:r>
      <w:r>
        <w:rPr>
          <w:rStyle w:val="FootnoteReference"/>
          <w:rFonts w:ascii="Times New Roman" w:hAnsi="Times New Roman"/>
          <w:noProof/>
          <w:sz w:val="24"/>
        </w:rPr>
        <w:footnoteReference w:id="38"/>
      </w:r>
      <w:r>
        <w:rPr>
          <w:rFonts w:ascii="Times New Roman" w:hAnsi="Times New Roman"/>
          <w:noProof/>
          <w:sz w:val="24"/>
        </w:rPr>
        <w:t xml:space="preserve">. Lisäksi pyritään parantamaan monitieteisiä lähestymistapoja sisällyttämällä tekoälyyn liittyviä osatekijöitä muihin tieteenaloihin. </w:t>
      </w:r>
    </w:p>
    <w:p>
      <w:pPr>
        <w:spacing w:after="240" w:line="240" w:lineRule="auto"/>
        <w:jc w:val="both"/>
        <w:rPr>
          <w:rFonts w:ascii="Times New Roman" w:hAnsi="Times New Roman"/>
          <w:noProof/>
          <w:sz w:val="24"/>
        </w:rPr>
      </w:pPr>
      <w:r>
        <w:rPr>
          <w:rFonts w:ascii="Times New Roman" w:hAnsi="Times New Roman"/>
          <w:noProof/>
          <w:sz w:val="24"/>
        </w:rPr>
        <w:t>Tutkintojen vastavuoroinen tunnustaminen on tärkeää myös tekoälyn kaltaisten uusien tieteenalojen opinnoissa. Komissio antoi toukokuussa 2108 ehdotuksen neuvoston suositukseksi</w:t>
      </w:r>
      <w:r>
        <w:rPr>
          <w:noProof/>
          <w:vertAlign w:val="superscript"/>
        </w:rPr>
        <w:footnoteReference w:id="39"/>
      </w:r>
      <w:r>
        <w:rPr>
          <w:rFonts w:ascii="Times New Roman" w:hAnsi="Times New Roman"/>
          <w:noProof/>
          <w:sz w:val="24"/>
        </w:rPr>
        <w:t xml:space="preserve"> korkea-asteen ja toisen asteen koulutuksen tutkintojen ja ulkomailla suoritettujen opintojaksojen automaattisen vastavuoroisen tunnustamisen edistämisestä. Ehdotetussa neuvoston suosituksessa jäsenvaltioita kehotetaan tekemään poliittinen sitoumus siitä, että automaattinen tunnustaminen otetaan käyttöön vuoteen 2025 mennessä. </w:t>
      </w:r>
    </w:p>
    <w:tbl>
      <w:tblPr>
        <w:tblStyle w:val="TableGrid"/>
        <w:tblW w:w="0" w:type="auto"/>
        <w:tblLook w:val="04A0" w:firstRow="1" w:lastRow="0" w:firstColumn="1" w:lastColumn="0" w:noHBand="0" w:noVBand="1"/>
      </w:tblPr>
      <w:tblGrid>
        <w:gridCol w:w="9288"/>
      </w:tblGrid>
      <w:tr>
        <w:tc>
          <w:tcPr>
            <w:tcW w:w="9288" w:type="dxa"/>
            <w:tcBorders>
              <w:top w:val="nil"/>
              <w:left w:val="nil"/>
              <w:bottom w:val="nil"/>
              <w:right w:val="nil"/>
            </w:tcBorders>
            <w:shd w:val="clear" w:color="auto" w:fill="DBE5F1" w:themeFill="accent1" w:themeFillTint="33"/>
          </w:tcPr>
          <w:p>
            <w:pPr>
              <w:spacing w:after="120"/>
              <w:jc w:val="both"/>
              <w:rPr>
                <w:rFonts w:ascii="Times New Roman" w:hAnsi="Times New Roman"/>
                <w:noProof/>
                <w:sz w:val="24"/>
              </w:rPr>
            </w:pPr>
            <w:r>
              <w:rPr>
                <w:rFonts w:ascii="Times New Roman" w:hAnsi="Times New Roman"/>
                <w:b/>
                <w:noProof/>
                <w:sz w:val="24"/>
                <w:u w:val="single"/>
              </w:rPr>
              <w:t>Osaaminen, taidot ja elinikäinen oppiminen</w:t>
            </w:r>
          </w:p>
          <w:p>
            <w:pPr>
              <w:numPr>
                <w:ilvl w:val="1"/>
                <w:numId w:val="2"/>
              </w:numPr>
              <w:spacing w:after="120"/>
              <w:jc w:val="both"/>
              <w:rPr>
                <w:rFonts w:ascii="Times New Roman" w:hAnsi="Times New Roman"/>
                <w:noProof/>
                <w:sz w:val="24"/>
              </w:rPr>
            </w:pPr>
            <w:r>
              <w:rPr>
                <w:rFonts w:ascii="Times New Roman" w:hAnsi="Times New Roman"/>
                <w:noProof/>
                <w:sz w:val="24"/>
              </w:rPr>
              <w:t xml:space="preserve">Taidot ja koulutus ovat aloja, jotka kuuluvat suurelta osin kansalliseen, ja joskus alueelliseen, toimivaltaan. Unionin tason toimet ovat kuitenkin tärkeitä, jotta voidaan jakaa kokemuksia ja tarttua yhteisiin mahdollisuuksiin. </w:t>
            </w:r>
          </w:p>
          <w:p>
            <w:pPr>
              <w:numPr>
                <w:ilvl w:val="0"/>
                <w:numId w:val="2"/>
              </w:numPr>
              <w:spacing w:after="120"/>
              <w:jc w:val="both"/>
              <w:rPr>
                <w:rFonts w:ascii="Times New Roman" w:hAnsi="Times New Roman"/>
                <w:b/>
                <w:noProof/>
                <w:sz w:val="24"/>
              </w:rPr>
            </w:pPr>
            <w:r>
              <w:rPr>
                <w:rFonts w:ascii="Times New Roman" w:hAnsi="Times New Roman"/>
                <w:b/>
                <w:noProof/>
                <w:sz w:val="24"/>
              </w:rPr>
              <w:t>Jäsenvaltioita kehotetaan</w:t>
            </w:r>
          </w:p>
          <w:p>
            <w:pPr>
              <w:numPr>
                <w:ilvl w:val="1"/>
                <w:numId w:val="2"/>
              </w:numPr>
              <w:spacing w:after="120"/>
              <w:jc w:val="both"/>
              <w:rPr>
                <w:rFonts w:ascii="Times New Roman" w:hAnsi="Times New Roman"/>
                <w:noProof/>
                <w:sz w:val="24"/>
              </w:rPr>
            </w:pPr>
            <w:r>
              <w:rPr>
                <w:rFonts w:ascii="Times New Roman" w:hAnsi="Times New Roman"/>
                <w:b/>
                <w:noProof/>
                <w:sz w:val="24"/>
              </w:rPr>
              <w:t>vaihtamaan parhaita käytäntöjä</w:t>
            </w:r>
            <w:r>
              <w:rPr>
                <w:rFonts w:ascii="Times New Roman" w:hAnsi="Times New Roman"/>
                <w:noProof/>
                <w:sz w:val="24"/>
              </w:rPr>
              <w:t xml:space="preserve"> siitä, i) kuinka voidaan vahvistaa huippuosaamista ja pitää tekoälyalan lahjakkuudet Euroopassa, ja ii) nykyisen työvoiman taitojen parantamisesta ja uudelleenkoulutuksesta (vuonna 2019);</w:t>
            </w:r>
          </w:p>
          <w:p>
            <w:pPr>
              <w:numPr>
                <w:ilvl w:val="1"/>
                <w:numId w:val="2"/>
              </w:numPr>
              <w:spacing w:after="120"/>
              <w:jc w:val="both"/>
              <w:rPr>
                <w:rFonts w:ascii="Times New Roman" w:hAnsi="Times New Roman"/>
                <w:noProof/>
                <w:sz w:val="24"/>
              </w:rPr>
            </w:pPr>
            <w:r>
              <w:rPr>
                <w:rFonts w:ascii="Times New Roman" w:hAnsi="Times New Roman"/>
                <w:noProof/>
                <w:sz w:val="24"/>
              </w:rPr>
              <w:t xml:space="preserve">vaihtamaan parhaita käytäntöjä siitä, kuinka voidaan hyödyntää täydessä mitassa EU:n </w:t>
            </w:r>
            <w:r>
              <w:rPr>
                <w:rFonts w:ascii="Times New Roman" w:hAnsi="Times New Roman"/>
                <w:b/>
                <w:noProof/>
                <w:sz w:val="24"/>
              </w:rPr>
              <w:t>sinisen kortin järjestelmän</w:t>
            </w:r>
            <w:r>
              <w:rPr>
                <w:rFonts w:ascii="Times New Roman" w:hAnsi="Times New Roman"/>
                <w:noProof/>
                <w:sz w:val="24"/>
              </w:rPr>
              <w:t xml:space="preserve"> tarjoamat mahdollisuudet korkean osaamistason tekoälyammattilaisten houkuttelemiseksi EU:hun ja pitämiseksi siellä ja nopeuttaa järjestelmän toteuttamista, ja kuinka voidaan helpottaa tekoälyyn liittyvää yrittäjyyttä (vuoden 2019 loppuun mennessä);</w:t>
            </w:r>
          </w:p>
          <w:p>
            <w:pPr>
              <w:numPr>
                <w:ilvl w:val="1"/>
                <w:numId w:val="2"/>
              </w:numPr>
              <w:spacing w:after="120"/>
              <w:jc w:val="both"/>
              <w:rPr>
                <w:rFonts w:ascii="Times New Roman" w:hAnsi="Times New Roman"/>
                <w:noProof/>
                <w:sz w:val="24"/>
              </w:rPr>
            </w:pPr>
            <w:r>
              <w:rPr>
                <w:rFonts w:ascii="Times New Roman" w:hAnsi="Times New Roman"/>
                <w:b/>
                <w:noProof/>
                <w:sz w:val="24"/>
              </w:rPr>
              <w:t xml:space="preserve">sisällyttämään osaamisulottuvuuden kansallisiin tekoälystrategioihin </w:t>
            </w:r>
            <w:r>
              <w:rPr>
                <w:rFonts w:ascii="Times New Roman" w:hAnsi="Times New Roman"/>
                <w:noProof/>
                <w:sz w:val="24"/>
              </w:rPr>
              <w:t>(vuoden 2019 puoliväliin mennessä) ja kartoittamaan tekoälyyn liittyvän kansallisen koulutustarjonnan, osaamistarpeet (tekoäly on integroitava myös muihin tieteenaloihin, kuten oikeustieteeseen, humanistisiin tieteisiin, ympäristötieteisiin ja lääketieteeseen) ja koulutusprioriteetit ja kiinnittämään tässä erityistä huomiota osallistavuuteen ja naisten määrän kasvattamiseen tekoälyopinnoissa (vuoden 2020 loppuun mennessä). Strategioissa olisi käsiteltävä muodollisen koulutuksen, ammattikoulutuksen, korkea-asteen koulutuksen ja tohtorintutkintoa seuraavan koulutuksen koko sykliä. Samalla olisi kiinnitettävä enemmän huomiota elinikäiseen oppimiseen, jotta jo työelämässä olevat henkilöt voivat hankkia tekoälyyn liittyviä taitoja ja parantaa niitä;</w:t>
            </w:r>
          </w:p>
          <w:p>
            <w:pPr>
              <w:numPr>
                <w:ilvl w:val="1"/>
                <w:numId w:val="2"/>
              </w:numPr>
              <w:spacing w:after="120"/>
              <w:jc w:val="both"/>
              <w:rPr>
                <w:rFonts w:ascii="Times New Roman" w:hAnsi="Times New Roman"/>
                <w:noProof/>
                <w:sz w:val="24"/>
              </w:rPr>
            </w:pPr>
            <w:r>
              <w:rPr>
                <w:rFonts w:ascii="Times New Roman" w:hAnsi="Times New Roman"/>
                <w:noProof/>
                <w:sz w:val="24"/>
              </w:rPr>
              <w:t xml:space="preserve">tarkastelemaan, kuinka </w:t>
            </w:r>
            <w:r>
              <w:rPr>
                <w:rFonts w:ascii="Times New Roman" w:hAnsi="Times New Roman"/>
                <w:b/>
                <w:noProof/>
                <w:sz w:val="24"/>
              </w:rPr>
              <w:t>tekoäly</w:t>
            </w:r>
            <w:r>
              <w:rPr>
                <w:rFonts w:ascii="Times New Roman" w:hAnsi="Times New Roman"/>
                <w:noProof/>
                <w:sz w:val="24"/>
              </w:rPr>
              <w:t xml:space="preserve"> voitaisiin sisällyttää keskiasteen ja korkea-asteen koulutuksen opetussuunnitelmiin, mukaan lukien </w:t>
            </w:r>
            <w:r>
              <w:rPr>
                <w:rFonts w:ascii="Times New Roman" w:hAnsi="Times New Roman"/>
                <w:b/>
                <w:noProof/>
                <w:sz w:val="24"/>
              </w:rPr>
              <w:t>ammattikoulutus</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Komissio julkaisee jäsenvaltioiden avustamana tätä koskevan raportin vuoden 2020 alkuun mennessä ja tukee mallitoimia valituilla alueilla. </w:t>
            </w:r>
          </w:p>
          <w:p>
            <w:pPr>
              <w:numPr>
                <w:ilvl w:val="0"/>
                <w:numId w:val="2"/>
              </w:numPr>
              <w:spacing w:after="120"/>
              <w:jc w:val="both"/>
              <w:rPr>
                <w:rFonts w:ascii="Times New Roman" w:hAnsi="Times New Roman"/>
                <w:noProof/>
                <w:sz w:val="24"/>
              </w:rPr>
            </w:pPr>
            <w:r>
              <w:rPr>
                <w:rFonts w:ascii="Times New Roman" w:hAnsi="Times New Roman"/>
                <w:b/>
                <w:noProof/>
                <w:sz w:val="24"/>
              </w:rPr>
              <w:t>Komissio aikoo</w:t>
            </w:r>
            <w:r>
              <w:rPr>
                <w:rFonts w:ascii="Times New Roman" w:hAnsi="Times New Roman"/>
                <w:noProof/>
                <w:sz w:val="24"/>
              </w:rPr>
              <w:t xml:space="preserve"> </w:t>
            </w:r>
          </w:p>
          <w:p>
            <w:pPr>
              <w:numPr>
                <w:ilvl w:val="1"/>
                <w:numId w:val="2"/>
              </w:numPr>
              <w:spacing w:after="120"/>
              <w:jc w:val="both"/>
              <w:rPr>
                <w:rFonts w:ascii="Times New Roman" w:hAnsi="Times New Roman"/>
                <w:noProof/>
                <w:sz w:val="24"/>
              </w:rPr>
            </w:pPr>
            <w:r>
              <w:rPr>
                <w:rFonts w:ascii="Times New Roman" w:hAnsi="Times New Roman"/>
                <w:b/>
                <w:noProof/>
                <w:sz w:val="24"/>
              </w:rPr>
              <w:t>sisällyttää yhteisiä tohtoriohjelmia ja tohtorintutkinnon jälkeisiä ohjelmia koskevan osan tekoälytutkimuksen huippuosaamiskeskusten vahvistamista koskevaan ehdotuspyyntöön vuonna 2020</w:t>
            </w:r>
            <w:r>
              <w:rPr>
                <w:rFonts w:ascii="Times New Roman" w:hAnsi="Times New Roman"/>
                <w:noProof/>
                <w:sz w:val="24"/>
              </w:rPr>
              <w:t xml:space="preserve"> ja kiinnittää tässä erityistä huomiota teollisuuden haasteisiin. Tavoitteena on luoda ainutlaatuinen ja maailmanlaajuisesti tunnustettu brändi teollisuuteen suuntautuneelle tekoälyalan eurooppalaiselle tohtorikoulutusohjelmalle ja pitää tutkijat Euroopassa heidän tohtorintutkintonsa jälkeen. Marie Skłodowska-Curie-toimet</w:t>
            </w:r>
            <w:r>
              <w:rPr>
                <w:rFonts w:ascii="Times New Roman" w:hAnsi="Times New Roman"/>
                <w:noProof/>
                <w:sz w:val="24"/>
                <w:vertAlign w:val="superscript"/>
              </w:rPr>
              <w:footnoteReference w:id="40"/>
            </w:r>
            <w:r>
              <w:rPr>
                <w:rFonts w:ascii="Times New Roman" w:hAnsi="Times New Roman"/>
                <w:noProof/>
                <w:sz w:val="24"/>
              </w:rPr>
              <w:t xml:space="preserve"> edistävät tämän tavoitteen saavuttamista; </w:t>
            </w:r>
          </w:p>
          <w:p>
            <w:pPr>
              <w:numPr>
                <w:ilvl w:val="1"/>
                <w:numId w:val="2"/>
              </w:numPr>
              <w:spacing w:after="120"/>
              <w:jc w:val="both"/>
              <w:rPr>
                <w:rFonts w:ascii="Times New Roman" w:hAnsi="Times New Roman"/>
                <w:noProof/>
                <w:sz w:val="24"/>
              </w:rPr>
            </w:pPr>
            <w:r>
              <w:rPr>
                <w:rFonts w:ascii="Times New Roman" w:hAnsi="Times New Roman"/>
                <w:noProof/>
                <w:sz w:val="24"/>
              </w:rPr>
              <w:t xml:space="preserve">tarkastella mahdollisuuksia tukea tekoälyä käsittelevien opintomoduulien sisällyttämistä monitieteisiin </w:t>
            </w:r>
            <w:r>
              <w:rPr>
                <w:rFonts w:ascii="Times New Roman" w:hAnsi="Times New Roman"/>
                <w:b/>
                <w:noProof/>
                <w:sz w:val="24"/>
              </w:rPr>
              <w:t>maisteriohjelmiin (esim. terveydenhoidon, rahoitusteknologian ja sähköisen hallinnon aloilla) sekä aikuiskoulutusohjelmiin, joissa keskitytään korkeasti koulutettuihin, työkokemusta omaaviin henkilöihin</w:t>
            </w:r>
            <w:r>
              <w:rPr>
                <w:rFonts w:ascii="Times New Roman" w:hAnsi="Times New Roman"/>
                <w:noProof/>
                <w:sz w:val="24"/>
              </w:rPr>
              <w:t>.</w:t>
            </w:r>
          </w:p>
          <w:p>
            <w:pPr>
              <w:numPr>
                <w:ilvl w:val="1"/>
                <w:numId w:val="2"/>
              </w:numPr>
              <w:spacing w:after="120"/>
              <w:jc w:val="both"/>
              <w:rPr>
                <w:rFonts w:ascii="Times New Roman" w:hAnsi="Times New Roman"/>
                <w:noProof/>
                <w:sz w:val="24"/>
              </w:rPr>
            </w:pPr>
            <w:r>
              <w:rPr>
                <w:rFonts w:ascii="Times New Roman" w:hAnsi="Times New Roman"/>
                <w:noProof/>
                <w:sz w:val="24"/>
              </w:rPr>
              <w:t xml:space="preserve">Jäsenvaltiot ja komissio kehittävät yhteistyössä materiaalia, jota voidaan käyttää tekoälyn hyötyjä esittelevissä </w:t>
            </w:r>
            <w:r>
              <w:rPr>
                <w:rFonts w:ascii="Times New Roman" w:hAnsi="Times New Roman"/>
                <w:b/>
                <w:noProof/>
                <w:sz w:val="24"/>
              </w:rPr>
              <w:t>tiedotuskampanjoissa</w:t>
            </w:r>
            <w:r>
              <w:rPr>
                <w:rFonts w:ascii="Times New Roman" w:hAnsi="Times New Roman"/>
                <w:noProof/>
                <w:sz w:val="24"/>
              </w:rPr>
              <w:t xml:space="preserve">. </w:t>
            </w:r>
          </w:p>
          <w:p>
            <w:pPr>
              <w:numPr>
                <w:ilvl w:val="0"/>
                <w:numId w:val="2"/>
              </w:numPr>
              <w:spacing w:after="120"/>
              <w:jc w:val="both"/>
              <w:rPr>
                <w:rFonts w:ascii="Times New Roman" w:hAnsi="Times New Roman"/>
                <w:noProof/>
                <w:sz w:val="24"/>
              </w:rPr>
            </w:pPr>
            <w:r>
              <w:rPr>
                <w:rFonts w:ascii="Times New Roman" w:hAnsi="Times New Roman"/>
                <w:b/>
                <w:noProof/>
                <w:sz w:val="24"/>
              </w:rPr>
              <w:t xml:space="preserve">Vuoden 2020 jälkeistä aikaa ajatellen </w:t>
            </w:r>
            <w:r>
              <w:rPr>
                <w:rFonts w:ascii="Times New Roman" w:hAnsi="Times New Roman"/>
                <w:noProof/>
                <w:sz w:val="24"/>
              </w:rPr>
              <w:t xml:space="preserve">komissio ehdottaa, että unioni osoittaa Digitaalinen Eurooppa -ohjelmassa yhteensä 700 miljoonaa euroa edistyneiden taitojen tukemiseen (tekoälyn, suurteholaskennan ja kyberturvallisuuden aloilla) seuraavissa muodoissa: </w:t>
            </w:r>
          </w:p>
          <w:p>
            <w:pPr>
              <w:numPr>
                <w:ilvl w:val="1"/>
                <w:numId w:val="2"/>
              </w:numPr>
              <w:spacing w:after="120"/>
              <w:jc w:val="both"/>
              <w:rPr>
                <w:rFonts w:ascii="Times New Roman" w:hAnsi="Times New Roman"/>
                <w:noProof/>
                <w:sz w:val="24"/>
              </w:rPr>
            </w:pPr>
            <w:r>
              <w:rPr>
                <w:rFonts w:ascii="Times New Roman" w:hAnsi="Times New Roman"/>
                <w:noProof/>
                <w:sz w:val="24"/>
              </w:rPr>
              <w:t>ylemmät korkeakoulututkinnot;</w:t>
            </w:r>
          </w:p>
          <w:p>
            <w:pPr>
              <w:numPr>
                <w:ilvl w:val="1"/>
                <w:numId w:val="2"/>
              </w:numPr>
              <w:spacing w:after="120"/>
              <w:jc w:val="both"/>
              <w:rPr>
                <w:rFonts w:ascii="Times New Roman" w:hAnsi="Times New Roman"/>
                <w:noProof/>
                <w:sz w:val="24"/>
              </w:rPr>
            </w:pPr>
            <w:r>
              <w:rPr>
                <w:rFonts w:ascii="Times New Roman" w:hAnsi="Times New Roman"/>
                <w:noProof/>
                <w:sz w:val="24"/>
              </w:rPr>
              <w:t xml:space="preserve">nuorten henkilöiden ja kokemusta tarvitsevien ammattilaisten työpaikkakoulutus ja harjoittelu; </w:t>
            </w:r>
          </w:p>
          <w:p>
            <w:pPr>
              <w:numPr>
                <w:ilvl w:val="1"/>
                <w:numId w:val="2"/>
              </w:numPr>
              <w:spacing w:after="120"/>
              <w:jc w:val="both"/>
              <w:rPr>
                <w:rFonts w:ascii="Times New Roman" w:hAnsi="Times New Roman"/>
                <w:noProof/>
                <w:sz w:val="24"/>
              </w:rPr>
            </w:pPr>
            <w:r>
              <w:rPr>
                <w:rFonts w:ascii="Times New Roman" w:hAnsi="Times New Roman"/>
                <w:noProof/>
                <w:sz w:val="24"/>
              </w:rPr>
              <w:t xml:space="preserve">työntekijöiden lyhytkestoiset koulutukset, joissa he voivat tutustua tekoälyyn. </w:t>
            </w:r>
          </w:p>
          <w:p>
            <w:pPr>
              <w:numPr>
                <w:ilvl w:val="0"/>
                <w:numId w:val="2"/>
              </w:numPr>
              <w:spacing w:after="120"/>
              <w:jc w:val="both"/>
              <w:rPr>
                <w:rFonts w:ascii="Times New Roman" w:hAnsi="Times New Roman"/>
                <w:noProof/>
                <w:sz w:val="24"/>
              </w:rPr>
            </w:pPr>
            <w:r>
              <w:rPr>
                <w:rFonts w:ascii="Times New Roman" w:hAnsi="Times New Roman"/>
                <w:noProof/>
                <w:sz w:val="24"/>
              </w:rPr>
              <w:t>Unionin kehittämät eettiset periaatteet sisällytetään kaikkiin edellä ehdotettuihin koulutusjärjestelmiin ja -ohjelmiin.</w:t>
            </w:r>
          </w:p>
        </w:tc>
      </w:tr>
    </w:tbl>
    <w:p>
      <w:pPr>
        <w:pStyle w:val="ListParagraph"/>
        <w:keepNext/>
        <w:numPr>
          <w:ilvl w:val="1"/>
          <w:numId w:val="1"/>
        </w:numPr>
        <w:spacing w:before="360" w:after="240" w:line="240" w:lineRule="auto"/>
        <w:ind w:left="567" w:hanging="567"/>
        <w:contextualSpacing w:val="0"/>
        <w:jc w:val="both"/>
        <w:rPr>
          <w:rFonts w:ascii="Times New Roman" w:hAnsi="Times New Roman"/>
          <w:b/>
          <w:noProof/>
          <w:sz w:val="24"/>
        </w:rPr>
      </w:pPr>
      <w:r>
        <w:rPr>
          <w:rFonts w:ascii="Times New Roman" w:hAnsi="Times New Roman"/>
          <w:b/>
          <w:noProof/>
          <w:sz w:val="24"/>
          <w:u w:val="single"/>
        </w:rPr>
        <w:t>Data: tekoälyn kulmakivi – yhteisen eurooppalaisen data-avaruuden luominen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Tekoälyn nykyistä laajenemista tukee suurten datajoukkojen saatavuus yhdistettynä laskentatehon ja tietoliikenneyhteyksien kasvuun. EU:n politiikan kulmakivi on turvallisen, luotettavan ja laadukkaan datan saatavuuden turvaaminen laajalle käyttäjäjoukolle yli rajojen. Avoimuus kansainvälisille datavirroille varmistetaan jatkossakin noudattaen täysimääräisesti henkilötietojen suojaa koskevia EU:n sääntöjä ja sovellettavia oikeudellisia välineitä, kuten vapaakauppasopimuksia, joita EU tekee kumppaneidensa kanssa, ja komission tietosuojan tason riittävyyttä koskevia päätöksiä henkilötietojen suojan tasosta kolmansissa maissa. Alakohtaisen lainsäädännön täysimääräinen täytäntöönpano parantaa tietojen saatavuutta ja uudelleenkäyttöä (esim. INSPIRE-direktiivi</w:t>
      </w:r>
      <w:r>
        <w:rPr>
          <w:rFonts w:ascii="Times New Roman" w:hAnsi="Times New Roman"/>
          <w:noProof/>
          <w:sz w:val="24"/>
          <w:vertAlign w:val="superscript"/>
        </w:rPr>
        <w:footnoteReference w:id="41"/>
      </w:r>
      <w:r>
        <w:rPr>
          <w:rFonts w:ascii="Times New Roman" w:hAnsi="Times New Roman"/>
          <w:noProof/>
          <w:sz w:val="24"/>
        </w:rPr>
        <w:t>) ja mahdollistaa alakohtaisen datan, jota tarvitaan julkisen sektorin tehokkaiden tekoälysovellusten tueksi analyyttisiin tai politiikan seurannan tarkoituksiin</w:t>
      </w:r>
      <w:r>
        <w:rPr>
          <w:rFonts w:ascii="Times New Roman" w:hAnsi="Times New Roman"/>
          <w:noProof/>
          <w:sz w:val="24"/>
          <w:vertAlign w:val="superscript"/>
        </w:rPr>
        <w:footnoteReference w:id="42"/>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Yleisessä tietosuoja-asetuksessa vahvistetaan henkilötietojen keräämiseen, käyttöön ja jakamiseen sovellettavat säännöt, joita on noudatettava käsiteltäessä yksittäisiin henkilöihin liittyvää dataa. Lisäksi hiljattain hyväksytty asetus muiden kuin henkilötietojen vapaasta liikkuvuudesta helpottaa rajatylittäviä datavirtoja kaikkialla unionissa digitaalisten sisämarkkinoiden kulmakivenä. Datan jakamisen ja käyttöoikeuden saamisen osalta harkitaan myös lohkoketjuihin perustuvia ratkaisuja, jotka ovat kaikilta osin yleisen tietosuoja-asetuksen ja yksityisyyden suojan mukaisia. Verkossa toimivien välityspalvelujen, kuten markkinapaikkojen, sovelluskauppojen tai majoituksen varausjärjestelmien välille on ehdotettu kauppatapoja koskevia sääntöjä</w:t>
      </w:r>
      <w:r>
        <w:rPr>
          <w:rFonts w:ascii="Times New Roman" w:hAnsi="Times New Roman"/>
          <w:noProof/>
          <w:sz w:val="24"/>
          <w:vertAlign w:val="superscript"/>
        </w:rPr>
        <w:footnoteReference w:id="43"/>
      </w:r>
      <w:r>
        <w:rPr>
          <w:rFonts w:ascii="Times New Roman" w:hAnsi="Times New Roman"/>
          <w:noProof/>
          <w:sz w:val="24"/>
        </w:rPr>
        <w:t>, joissa asetetaan edellytykset ennakoitavalle ja avoimelle datan käytölle säilytyspalvelujen piirissä ja niiden yrityskäyttäjien keskuudessa. Tällaisten toimenpiteiden tarkoituksena on varmistaa oikeudenmukaisuus ja luottamus liikesuhteisiin sekä datan arvoa tuottava käyttö verkkoalustojen ympäristössä.</w:t>
      </w:r>
    </w:p>
    <w:p>
      <w:pPr>
        <w:spacing w:after="240" w:line="240" w:lineRule="auto"/>
        <w:jc w:val="both"/>
        <w:rPr>
          <w:rFonts w:ascii="Times New Roman" w:hAnsi="Times New Roman" w:cs="Times New Roman"/>
          <w:noProof/>
          <w:sz w:val="24"/>
          <w:szCs w:val="24"/>
        </w:rPr>
      </w:pPr>
      <w:r>
        <w:rPr>
          <w:rFonts w:ascii="Times New Roman" w:hAnsi="Times New Roman"/>
          <w:noProof/>
          <w:sz w:val="24"/>
        </w:rPr>
        <w:t>Tarvitaan toimia, joilla helpotetaan julkisen ja yksityisen sektorin hallussa olevan datan jakamista luomalla yhteinen eurooppalainen data-avaruus</w:t>
      </w:r>
      <w:r>
        <w:rPr>
          <w:rFonts w:ascii="Times New Roman" w:hAnsi="Times New Roman"/>
          <w:noProof/>
          <w:sz w:val="24"/>
          <w:vertAlign w:val="superscript"/>
        </w:rPr>
        <w:footnoteReference w:id="44"/>
      </w:r>
      <w:r>
        <w:rPr>
          <w:rFonts w:ascii="Times New Roman" w:hAnsi="Times New Roman"/>
          <w:noProof/>
          <w:sz w:val="24"/>
        </w:rPr>
        <w:t>: saumaton digitaalinen alue mittakaavassa, joka mahdollistaa dataan perustuvien uusien tuotteiden ja palvelujen kehittämisen. Erityisesti julkisen sektorin tuottama ja hallussaan pitämä data on usein hyvin laadukasta ja siksi merkittävä voimavara Euroopan innovaattoreille ja yrityksille.</w:t>
      </w:r>
    </w:p>
    <w:p>
      <w:pPr>
        <w:spacing w:after="240" w:line="240" w:lineRule="auto"/>
        <w:jc w:val="both"/>
        <w:rPr>
          <w:rFonts w:ascii="Times New Roman" w:hAnsi="Times New Roman" w:cs="Times New Roman"/>
          <w:noProof/>
          <w:sz w:val="24"/>
          <w:szCs w:val="24"/>
        </w:rPr>
      </w:pPr>
      <w:r>
        <w:rPr>
          <w:rFonts w:ascii="Times New Roman" w:hAnsi="Times New Roman"/>
          <w:noProof/>
          <w:sz w:val="24"/>
        </w:rPr>
        <w:t>Datan käytön lisäämiseksi data-avaruudessa siitä olisi tehtävä mahdollisimman yhteentoimivaa, erityisesti sopimalla, että tavoitellaan dataformaatteja, jotka ovat avoimia, löydettävyyttä, saatavuutta, yhteentoimivuutta ja uudelleenkäyttöä koskevien FAIR-periaatteiden mukaisia, koneellisesti luettavia, standardoituja ja dokumentoituja, sekä kanssakäymisessä julkisen ja yksityisen sektorin välillä että eri sektorien sisällä ja yli niiden rajojen</w:t>
      </w:r>
      <w:r>
        <w:rPr>
          <w:rFonts w:ascii="Times New Roman" w:hAnsi="Times New Roman"/>
          <w:noProof/>
          <w:sz w:val="24"/>
          <w:vertAlign w:val="superscript"/>
        </w:rPr>
        <w:footnoteReference w:id="45"/>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Julkisen sektorin hallussa olevia tietoja koskevassa direktiivissä</w:t>
      </w:r>
      <w:r>
        <w:rPr>
          <w:rFonts w:ascii="Times New Roman" w:hAnsi="Times New Roman"/>
          <w:noProof/>
          <w:sz w:val="24"/>
          <w:vertAlign w:val="superscript"/>
        </w:rPr>
        <w:footnoteReference w:id="46"/>
      </w:r>
      <w:r>
        <w:rPr>
          <w:rFonts w:ascii="Times New Roman" w:hAnsi="Times New Roman"/>
          <w:noProof/>
          <w:sz w:val="24"/>
        </w:rPr>
        <w:t xml:space="preserve"> asetetaan puitteet tällaisten tietojen uudelleenkäytölle yrityksissä. Toimissa olisi keskityttävä helpottamaan datajoukkojen käytännön saatavuutta, erityisesti startup-yritysten ja pk-yritysten kannalta, ja niiden yhdistämistä. Erityisen tärkeitä ovat yhteentoimivien data- ja metatietoformaattien suunnittelu ja toteuttaminen sekä standardoitujen sovellusrajapintojen käyttöönotto eurooppalaisten yhteentoimivuusperiaatteiden pohjalta</w:t>
      </w:r>
      <w:r>
        <w:rPr>
          <w:rFonts w:ascii="Times New Roman" w:hAnsi="Times New Roman"/>
          <w:noProof/>
          <w:sz w:val="24"/>
          <w:vertAlign w:val="superscript"/>
        </w:rPr>
        <w:footnoteReference w:id="47"/>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Näillä toimilla täydennetään jäsenvaltioiden toimia, joilla pyritään edistämään datan saatavuutta, yhteentoimivuutta ja uudelleenkäytettävyyttä tekoälyn kannalta erittäin merkittävillä aloilla, kuten terveydenhuolto</w:t>
      </w:r>
      <w:r>
        <w:rPr>
          <w:rFonts w:ascii="Times New Roman" w:hAnsi="Times New Roman"/>
          <w:noProof/>
          <w:sz w:val="24"/>
          <w:vertAlign w:val="superscript"/>
        </w:rPr>
        <w:footnoteReference w:id="48"/>
      </w:r>
      <w:r>
        <w:rPr>
          <w:rFonts w:ascii="Times New Roman" w:hAnsi="Times New Roman"/>
          <w:noProof/>
          <w:sz w:val="24"/>
        </w:rPr>
        <w:t xml:space="preserve"> (ks. jäljempänä), ympäristö, liikkuvuus, turvallisuus, muuttoliike sekä kestävä ja kiertotaloutta edistävä biotalous ja elintarvikejärjestelmä. </w:t>
      </w:r>
    </w:p>
    <w:tbl>
      <w:tblPr>
        <w:tblStyle w:val="TableGrid2"/>
        <w:tblW w:w="0" w:type="auto"/>
        <w:tblLook w:val="04A0" w:firstRow="1" w:lastRow="0" w:firstColumn="1" w:lastColumn="0" w:noHBand="0" w:noVBand="1"/>
      </w:tblPr>
      <w:tblGrid>
        <w:gridCol w:w="9288"/>
      </w:tblGrid>
      <w:tr>
        <w:tc>
          <w:tcPr>
            <w:tcW w:w="9288" w:type="dxa"/>
            <w:tcBorders>
              <w:top w:val="nil"/>
              <w:left w:val="nil"/>
              <w:bottom w:val="nil"/>
              <w:right w:val="nil"/>
            </w:tcBorders>
            <w:shd w:val="clear" w:color="auto" w:fill="DBE5F1" w:themeFill="accent1" w:themeFillTint="33"/>
          </w:tcPr>
          <w:p>
            <w:pPr>
              <w:spacing w:after="120"/>
              <w:jc w:val="both"/>
              <w:rPr>
                <w:rFonts w:ascii="Times New Roman" w:hAnsi="Times New Roman" w:cs="Times New Roman"/>
                <w:b/>
                <w:noProof/>
                <w:sz w:val="24"/>
                <w:szCs w:val="24"/>
                <w:u w:val="single"/>
              </w:rPr>
            </w:pPr>
            <w:r>
              <w:rPr>
                <w:rFonts w:ascii="Times New Roman" w:hAnsi="Times New Roman"/>
                <w:b/>
                <w:noProof/>
                <w:sz w:val="24"/>
                <w:u w:val="single"/>
              </w:rPr>
              <w:t xml:space="preserve">Data </w:t>
            </w:r>
          </w:p>
          <w:p>
            <w:pPr>
              <w:spacing w:after="120"/>
              <w:jc w:val="both"/>
              <w:rPr>
                <w:rFonts w:ascii="Times New Roman" w:hAnsi="Times New Roman" w:cs="Times New Roman"/>
                <w:b/>
                <w:noProof/>
                <w:sz w:val="24"/>
                <w:szCs w:val="24"/>
              </w:rPr>
            </w:pPr>
            <w:r>
              <w:rPr>
                <w:rFonts w:ascii="Times New Roman" w:hAnsi="Times New Roman"/>
                <w:b/>
                <w:noProof/>
                <w:sz w:val="24"/>
                <w:u w:val="single"/>
              </w:rPr>
              <w:t>Tekoäly yleistä etua palvelevilla aloilla</w:t>
            </w:r>
            <w:r>
              <w:rPr>
                <w:rFonts w:ascii="Times New Roman" w:hAnsi="Times New Roman"/>
                <w:b/>
                <w:noProof/>
                <w:sz w:val="24"/>
              </w:rPr>
              <w:t xml:space="preserve">: </w:t>
            </w:r>
            <w:r>
              <w:rPr>
                <w:rFonts w:ascii="Times New Roman" w:hAnsi="Times New Roman"/>
                <w:noProof/>
                <w:sz w:val="24"/>
              </w:rPr>
              <w:t>Jäsenvaltioita kannustetaan toimimaan yhteistyössä komission kanssa seuraavien päämäärien hyväksi:</w:t>
            </w:r>
          </w:p>
          <w:p>
            <w:pPr>
              <w:numPr>
                <w:ilvl w:val="1"/>
                <w:numId w:val="2"/>
              </w:numPr>
              <w:spacing w:after="120"/>
              <w:jc w:val="both"/>
              <w:rPr>
                <w:rFonts w:ascii="Times New Roman" w:hAnsi="Times New Roman" w:cs="Times New Roman"/>
                <w:noProof/>
                <w:sz w:val="24"/>
                <w:szCs w:val="24"/>
              </w:rPr>
            </w:pPr>
            <w:r>
              <w:rPr>
                <w:rFonts w:ascii="Times New Roman" w:hAnsi="Times New Roman"/>
                <w:b/>
                <w:noProof/>
                <w:sz w:val="24"/>
              </w:rPr>
              <w:t>Yksilöidään julkisia datajoukkoja,</w:t>
            </w:r>
            <w:r>
              <w:rPr>
                <w:rFonts w:ascii="Times New Roman" w:hAnsi="Times New Roman"/>
                <w:noProof/>
                <w:sz w:val="24"/>
              </w:rPr>
              <w:t xml:space="preserve"> joista olisi tehtävä avoimemmin uudelleenkäytettäviä kaikkialla unionissa ja varsinkin, jos ne soveltuvat tekoälysovellusten kouluttamiseen. Tätä voidaan tukea antamalla tehtäväksi laatia luettelo korkean lisäarvon datajoukoista, kuten säädetään julkisen sektorin hallussa olevista tiedoista annetun direktiivin uudelleenlaatimista koskevassa ehdotuksessa, joka on parhaillaan neuvoteltavana. </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 xml:space="preserve">Investoidaan yhdessä tarvittaviin välineisiin, joilla helpotetaan julkisten tietojen saatavuutta, yhteenliitettävyyttä, yhteentoimivuutta ja yhdistämistä, mukaan luettuna dynaamiseen datan saamiseen tarvittavien sovellusrajapintojen kehittäminen. Toimella tuetaan data- ja metadatastandardien määrittelyä ja soveltamista tiiviissä yhteistyössä asianomaisten sidosryhmien (esim. eurooppalaisten standardointielinten) kanssa. Komissio aikoo antaa saataville jopa 100 miljoonaa euroa Horisontti 2020 </w:t>
            </w:r>
            <w:r>
              <w:rPr>
                <w:rFonts w:ascii="Times New Roman" w:hAnsi="Times New Roman"/>
                <w:noProof/>
                <w:sz w:val="24"/>
              </w:rPr>
              <w:noBreakHyphen/>
              <w:t xml:space="preserve">puiteohjelmasta ja Verkkojen Eurooppa -välineestä. </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Tuetaan sellaisen datainfrastruktuurin kehittämistä ja toimintaa, joka mahdollistaa datan hallinnan ja jakamisen reaaliaikaisesti ja kokeilun datavetoista tekoälyä käyttävien palvelujen virtuaalisessa testausympäristössä valtionhallinnolle ja julkishallinnoille yleisesti, mukaan lukien Euroopan laajuiset rajatylittävät turvatut tietojärjestelmät. Tällaisia palveluja tarjotaan Verkkojen Eurooppa -välineestä rahoitettavan julkisen avoimen datan palveluinfrastruktuurissa. Verkkojen Euroopan puitteissa tuetaan jo Euroopan dataportaalin</w:t>
            </w:r>
            <w:r>
              <w:rPr>
                <w:rFonts w:ascii="Times New Roman" w:hAnsi="Times New Roman"/>
                <w:noProof/>
                <w:sz w:val="24"/>
                <w:vertAlign w:val="superscript"/>
              </w:rPr>
              <w:footnoteReference w:id="49"/>
            </w:r>
            <w:r>
              <w:rPr>
                <w:rFonts w:ascii="Times New Roman" w:hAnsi="Times New Roman"/>
                <w:noProof/>
                <w:sz w:val="24"/>
              </w:rPr>
              <w:t xml:space="preserve"> käyttöönottoa, jonka tavoitteena on helpottaa eurooppalaisen julkisen datan löytämistä ja saatavuutta, mukaan lukien data, joka on tulosta jäsenvaltioiden avoimen datan aloitteista kansallisella, alueellisella ja paikallisella tasolla.</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Varmistetaan, että eurooppalaisia avoimen tieteen pilvipalveluja kehitetään edelleen keskeisenä voimavarana, jotta tekoälyä voidaan hyödyntää parhaalla mahdollisella tavalla tieteessä ja teknologiassa ja sovelluksissa aina edistyneestä lääketieteestä ympäristöön ja ilmastonmuutokseen. Huomioidaan dataan liittyvien algoritmien koulutus ja testaus avoimen datan hyötyjen maksimoimiseksi.</w:t>
            </w:r>
          </w:p>
          <w:p>
            <w:pPr>
              <w:numPr>
                <w:ilvl w:val="1"/>
                <w:numId w:val="2"/>
              </w:numPr>
              <w:spacing w:after="120"/>
              <w:jc w:val="both"/>
              <w:rPr>
                <w:rFonts w:ascii="Times New Roman" w:hAnsi="Times New Roman" w:cs="Times New Roman"/>
                <w:b/>
                <w:noProof/>
                <w:sz w:val="24"/>
                <w:szCs w:val="24"/>
                <w:u w:val="single"/>
              </w:rPr>
            </w:pPr>
            <w:r>
              <w:rPr>
                <w:rFonts w:ascii="Times New Roman" w:hAnsi="Times New Roman"/>
                <w:noProof/>
                <w:sz w:val="24"/>
              </w:rPr>
              <w:t xml:space="preserve">Tuetaan </w:t>
            </w:r>
            <w:r>
              <w:rPr>
                <w:rFonts w:ascii="Times New Roman" w:hAnsi="Times New Roman"/>
                <w:b/>
                <w:noProof/>
                <w:sz w:val="24"/>
              </w:rPr>
              <w:t>lohkoketjuihin perustuvien ja muiden turvallisten ratkaisujen</w:t>
            </w:r>
            <w:r>
              <w:rPr>
                <w:rFonts w:ascii="Times New Roman" w:hAnsi="Times New Roman"/>
                <w:noProof/>
                <w:sz w:val="24"/>
              </w:rPr>
              <w:t xml:space="preserve"> kehittämistä </w:t>
            </w:r>
            <w:r>
              <w:rPr>
                <w:rFonts w:ascii="Times New Roman" w:hAnsi="Times New Roman"/>
                <w:b/>
                <w:noProof/>
                <w:sz w:val="24"/>
              </w:rPr>
              <w:t>datan saatavuuden varmistamiseksi ja eheyden turvaamiseksi</w:t>
            </w:r>
            <w:r>
              <w:rPr>
                <w:rFonts w:ascii="Times New Roman" w:hAnsi="Times New Roman"/>
                <w:noProof/>
                <w:sz w:val="24"/>
              </w:rPr>
              <w:t xml:space="preserve">. Komissio suunnittelee varaavansa Horisontti 2020 -ohjelmasta 27 miljoonaa euroa tälle alalle. </w:t>
            </w:r>
          </w:p>
          <w:p>
            <w:pPr>
              <w:numPr>
                <w:ilvl w:val="1"/>
                <w:numId w:val="2"/>
              </w:numPr>
              <w:spacing w:after="120"/>
              <w:jc w:val="both"/>
              <w:rPr>
                <w:rFonts w:ascii="Times New Roman" w:hAnsi="Times New Roman" w:cs="Times New Roman"/>
                <w:noProof/>
                <w:sz w:val="24"/>
                <w:szCs w:val="24"/>
              </w:rPr>
            </w:pPr>
            <w:r>
              <w:rPr>
                <w:rFonts w:ascii="Times New Roman" w:hAnsi="Times New Roman"/>
                <w:b/>
                <w:noProof/>
                <w:sz w:val="24"/>
              </w:rPr>
              <w:t>Terveydenhuolto</w:t>
            </w:r>
            <w:r>
              <w:rPr>
                <w:rFonts w:ascii="Times New Roman" w:hAnsi="Times New Roman"/>
                <w:noProof/>
                <w:sz w:val="24"/>
              </w:rPr>
              <w:t xml:space="preserve"> voi erityisesti hyötyä tekoälystä. Potilastiedot, potilaskertomukset, diagnoositulokset ja kliiniset tutkimukset ovat vain muutamia esimerkkejä terveydenhuollon datan lähteistä. Komissio ehdottaa, että keskitytään ensisijaisesti kahteen suureen kokonaisuuteen:</w:t>
            </w:r>
          </w:p>
          <w:p>
            <w:pPr>
              <w:numPr>
                <w:ilvl w:val="0"/>
                <w:numId w:val="21"/>
              </w:numPr>
              <w:spacing w:after="120"/>
              <w:jc w:val="both"/>
              <w:rPr>
                <w:rFonts w:ascii="Times New Roman" w:hAnsi="Times New Roman" w:cs="Times New Roman"/>
                <w:noProof/>
                <w:sz w:val="24"/>
                <w:szCs w:val="24"/>
              </w:rPr>
            </w:pPr>
            <w:r>
              <w:rPr>
                <w:rFonts w:ascii="Times New Roman" w:hAnsi="Times New Roman"/>
                <w:noProof/>
                <w:sz w:val="24"/>
              </w:rPr>
              <w:t>Kaikkiaan 19 jäsenvaltiota on sitoutunut perustamaan vähintään miljoonan sekvensoidun genomin tutkimuskohortin EU:ssa vuoteen 2022 mennessä</w:t>
            </w:r>
            <w:r>
              <w:rPr>
                <w:rFonts w:ascii="Times New Roman" w:hAnsi="Times New Roman"/>
                <w:noProof/>
                <w:sz w:val="24"/>
                <w:vertAlign w:val="superscript"/>
              </w:rPr>
              <w:footnoteReference w:id="50"/>
            </w:r>
            <w:r>
              <w:rPr>
                <w:rFonts w:ascii="Times New Roman" w:hAnsi="Times New Roman"/>
                <w:noProof/>
                <w:sz w:val="24"/>
              </w:rPr>
              <w:t>, ja komissio tukee aloitetta yhdistämällä genomirekistereitä. Komissio tukee myös harvinaisten sairauksien rekisterien perustamista. Organisatoristen, sääntelyllisten, turvallisuutta koskevien, eettisten ja teknisten vaatimusten noudattaminen ja yhteentoimivuus otetaan asianmukaisesti huomioon. Tämä on olennaisen tärkeää, jotta tekoälyteknologiaa voidaan tutkia, kehittää ja kokeilla uuden tietämyksen määrittämiseksi ja kliinisen tutkimuksen ja päätöksenteon tukemiseksi.</w:t>
            </w:r>
          </w:p>
          <w:p>
            <w:pPr>
              <w:numPr>
                <w:ilvl w:val="0"/>
                <w:numId w:val="21"/>
              </w:numPr>
              <w:spacing w:after="120"/>
              <w:jc w:val="both"/>
              <w:rPr>
                <w:rFonts w:ascii="Times New Roman" w:hAnsi="Times New Roman" w:cs="Times New Roman"/>
                <w:noProof/>
                <w:sz w:val="24"/>
                <w:szCs w:val="24"/>
              </w:rPr>
            </w:pPr>
            <w:r>
              <w:rPr>
                <w:rFonts w:ascii="Times New Roman" w:hAnsi="Times New Roman"/>
                <w:noProof/>
                <w:sz w:val="24"/>
              </w:rPr>
              <w:t xml:space="preserve">Vuonna 2020 komissio tukee koordinoidusti yhdessä jäsenvaltioiden kanssa yhteisen lääketieteellisen kuvatietokannan kehittämistä siten, että aluksi keskitytään yleisimpiin syöpätyyppeihin (potilaiden luovuttaman anonymisoidun datan pohjalta). Sen on täytettävä kaikki tarvittavat organisatoriset, sääntelylliset, eettiset ja tekniset vaatimukset. Tietokanta yhdistetään asianmukaisiin tekoälyvälineisiin diagnoosien, hoidon ja seurannan parantamiseksi. </w:t>
            </w:r>
          </w:p>
          <w:p>
            <w:pPr>
              <w:spacing w:after="120"/>
              <w:jc w:val="both"/>
              <w:rPr>
                <w:rFonts w:ascii="Times New Roman" w:hAnsi="Times New Roman" w:cs="Times New Roman"/>
                <w:noProof/>
                <w:sz w:val="24"/>
                <w:szCs w:val="24"/>
              </w:rPr>
            </w:pPr>
            <w:r>
              <w:rPr>
                <w:rFonts w:ascii="Times New Roman" w:hAnsi="Times New Roman"/>
                <w:noProof/>
                <w:sz w:val="24"/>
              </w:rPr>
              <w:t>EU:n rahoitusosuus näihin aloitteisiin on aluksi yhteensä noin 35 miljoonaa euroa Horisontti 2020 -ohjelmasta. Jäsenvaltioita kannustetaan vastaavaan panostukseen.</w:t>
            </w:r>
          </w:p>
          <w:p>
            <w:pPr>
              <w:spacing w:after="120"/>
              <w:jc w:val="both"/>
              <w:rPr>
                <w:rFonts w:ascii="Times New Roman" w:hAnsi="Times New Roman" w:cs="Times New Roman"/>
                <w:noProof/>
                <w:sz w:val="24"/>
                <w:szCs w:val="24"/>
              </w:rPr>
            </w:pPr>
            <w:r>
              <w:rPr>
                <w:rFonts w:ascii="Times New Roman" w:hAnsi="Times New Roman"/>
                <w:noProof/>
                <w:sz w:val="24"/>
              </w:rPr>
              <w:t>Nämä aloitteet ja investoinnit muodostavat perustan laajamittaisemmalle, yhteiselle terveysdata-avaruudelle, jota voidaan vuodesta 2021 alkaen mahdollisesti tukea Digitaalinen Eurooppa -ohjelmasta.</w:t>
            </w:r>
          </w:p>
          <w:p>
            <w:pPr>
              <w:numPr>
                <w:ilvl w:val="1"/>
                <w:numId w:val="2"/>
              </w:numPr>
              <w:spacing w:after="120"/>
              <w:jc w:val="both"/>
              <w:rPr>
                <w:rFonts w:ascii="Times New Roman" w:hAnsi="Times New Roman" w:cs="Times New Roman"/>
                <w:noProof/>
                <w:sz w:val="24"/>
                <w:szCs w:val="24"/>
              </w:rPr>
            </w:pPr>
            <w:r>
              <w:rPr>
                <w:rFonts w:ascii="Times New Roman" w:hAnsi="Times New Roman"/>
                <w:b/>
                <w:noProof/>
                <w:sz w:val="24"/>
              </w:rPr>
              <w:t>Geotieto/maanhavainnointi:</w:t>
            </w:r>
            <w:r>
              <w:rPr>
                <w:rFonts w:ascii="Times New Roman" w:hAnsi="Times New Roman"/>
                <w:noProof/>
                <w:sz w:val="24"/>
              </w:rPr>
              <w:t xml:space="preserve"> EU:n Copernicus-ohjelma on maailman suurin maanseurantatiedon tarjoaja. Ohjelmassa on otettu käyttöön maksuttoman, kattavan ja avoimen datan politiikka ja edistyneitä data- ja tietopalveluja, jotka käsittävät valtavan määrän jäsenneltyä dataa ja laskentavalmiuksia. Tämän pohjalta komissio ehdottaa, että kehitetään ja otetaan käyttöön tekoälyvalmiuksia käyttäen Copernicus-ohjelman dataa ja infrastruktuuria edistämään paikannukseen perustuvia palveluja ilmaston, maatalouden, ilmalaadun, päästöjen, meriympäristön, vesihuollon, turvallisuuden ja muuttoliikkeen seurannan ja kansalaistieteen aloilla</w:t>
            </w:r>
            <w:r>
              <w:rPr>
                <w:rFonts w:ascii="Times New Roman" w:hAnsi="Times New Roman"/>
                <w:noProof/>
                <w:sz w:val="24"/>
                <w:vertAlign w:val="superscript"/>
              </w:rPr>
              <w:footnoteReference w:id="51"/>
            </w:r>
            <w:r>
              <w:rPr>
                <w:rFonts w:ascii="Times New Roman" w:hAnsi="Times New Roman"/>
                <w:noProof/>
                <w:sz w:val="24"/>
              </w:rPr>
              <w:t>. Ohjelmassa käynnistetään myös aloitteita, joilla tuetaan tekoälyyn perustuvaa maanhavainnointitietojen hyödyntämistä julkisella ja yksityisellä sektorilla.</w:t>
            </w:r>
          </w:p>
          <w:p>
            <w:pPr>
              <w:numPr>
                <w:ilvl w:val="1"/>
                <w:numId w:val="2"/>
              </w:numPr>
              <w:spacing w:after="120"/>
              <w:jc w:val="both"/>
              <w:rPr>
                <w:rFonts w:ascii="Times New Roman" w:hAnsi="Times New Roman" w:cs="Times New Roman"/>
                <w:noProof/>
                <w:sz w:val="24"/>
                <w:szCs w:val="24"/>
              </w:rPr>
            </w:pPr>
            <w:r>
              <w:rPr>
                <w:rFonts w:ascii="Times New Roman" w:hAnsi="Times New Roman"/>
                <w:b/>
                <w:noProof/>
                <w:sz w:val="24"/>
              </w:rPr>
              <w:t>Kielellinen data:</w:t>
            </w:r>
            <w:r>
              <w:rPr>
                <w:rFonts w:ascii="Times New Roman" w:hAnsi="Times New Roman"/>
                <w:noProof/>
                <w:sz w:val="24"/>
              </w:rPr>
              <w:t xml:space="preserve"> Komission kielelliset resurssit, joita käytetään tekoälyn mahdollistamien käännöspalvelujen ja luonnollisen kielen käsittelyn käyttöönotossa, kuuluvat Euroopan dataportaalin eniten ladattuihin datajoukkoihin. Parantaakseen palveluja entisestään komissio suunnittelee myöntävänsä Verkkojen Eurooppa -välineestä 10 miljoonan euron lisärahoituksen verkossa vähemmän edustettuina olevien kieliresurssien keräämiseen lisäämiseen. </w:t>
            </w:r>
          </w:p>
          <w:p>
            <w:pPr>
              <w:spacing w:after="120"/>
              <w:jc w:val="both"/>
              <w:rPr>
                <w:rFonts w:ascii="Times New Roman" w:hAnsi="Times New Roman" w:cs="Times New Roman"/>
                <w:noProof/>
                <w:sz w:val="24"/>
                <w:szCs w:val="24"/>
              </w:rPr>
            </w:pPr>
            <w:r>
              <w:rPr>
                <w:rFonts w:ascii="Times New Roman" w:hAnsi="Times New Roman"/>
                <w:b/>
                <w:noProof/>
                <w:sz w:val="24"/>
              </w:rPr>
              <w:t>Teolliset data-alustat:</w:t>
            </w:r>
            <w:r>
              <w:rPr>
                <w:rFonts w:ascii="Times New Roman" w:hAnsi="Times New Roman"/>
                <w:noProof/>
                <w:sz w:val="24"/>
              </w:rPr>
              <w:t xml:space="preserve"> Komissio on jo käynnistänyt Horisontti 2020 -ohjelmassa tutkimus- ja kehittämistoimia, jotka koskevat alustoja teollisoikeuden alaisten tietojen turvatuksi ja valvotuksi jakamiseksi, mukaan lukien teolliset ja henkilötietojen data-avaruudet</w:t>
            </w:r>
            <w:r>
              <w:rPr>
                <w:rFonts w:ascii="Times New Roman" w:hAnsi="Times New Roman"/>
                <w:noProof/>
                <w:sz w:val="24"/>
                <w:vertAlign w:val="superscript"/>
              </w:rPr>
              <w:footnoteReference w:id="52"/>
            </w:r>
            <w:r>
              <w:rPr>
                <w:rFonts w:ascii="Times New Roman" w:hAnsi="Times New Roman"/>
                <w:noProof/>
                <w:sz w:val="24"/>
              </w:rPr>
              <w:t>. Komission tiedonannon ”Kohti yhteistä eurooppalaista data-avaruutta”</w:t>
            </w:r>
            <w:r>
              <w:rPr>
                <w:rFonts w:ascii="Times New Roman" w:hAnsi="Times New Roman"/>
                <w:noProof/>
                <w:sz w:val="24"/>
                <w:vertAlign w:val="superscript"/>
              </w:rPr>
              <w:footnoteReference w:id="53"/>
            </w:r>
            <w:r>
              <w:rPr>
                <w:rFonts w:ascii="Times New Roman" w:hAnsi="Times New Roman"/>
                <w:noProof/>
                <w:sz w:val="24"/>
              </w:rPr>
              <w:t xml:space="preserve"> pohjalta on julkaistu joukko suuntaviivoja</w:t>
            </w:r>
            <w:r>
              <w:rPr>
                <w:rFonts w:ascii="Times New Roman" w:hAnsi="Times New Roman"/>
                <w:noProof/>
                <w:sz w:val="24"/>
                <w:vertAlign w:val="superscript"/>
              </w:rPr>
              <w:footnoteReference w:id="54"/>
            </w:r>
            <w:r>
              <w:rPr>
                <w:rFonts w:ascii="Times New Roman" w:hAnsi="Times New Roman"/>
                <w:noProof/>
                <w:sz w:val="24"/>
              </w:rPr>
              <w:t xml:space="preserve">, joiden tarkoituksena on tarjota välineistöä datan hallussapitäjien, käyttäjien tai molempien käyttöön. Tämän pohjalta komissio aikoo </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 xml:space="preserve">tukea vuonna 2019 strategisia seuraavan sukupolven digitaalisia teollisuusalustoja laajoilla yhdistävillä hankkeilla, joihin investoidaan 50 miljoonaa euroa Horisontti 2020 -ohjelmasta; </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kannustaa jäsenvaltioita yhdistämään nykyiset ja suunnitellut kansalliset investoinnit alustoihin, joilla on EU-tason toimintaa, jotta voidaan varmistaa niiden toiminnan laajentaminen ja yhteentoimivuus;</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 xml:space="preserve">ehdottaa vuoden 2020 jälkeen, että unioni investoi yhdessä jäsenvaltioiden ja yksityisen sektorin kanssa varoja miljardiin euroon asti Digitaalinen Eurooppa </w:t>
            </w:r>
            <w:r>
              <w:rPr>
                <w:rFonts w:ascii="Times New Roman" w:hAnsi="Times New Roman"/>
                <w:noProof/>
                <w:sz w:val="24"/>
              </w:rPr>
              <w:noBreakHyphen/>
              <w:t>ohjelman tekoälyosastosta sellaisen yhteisen eurooppalaisen data-avaruuden perustamiseen, joka tuo datan helposti uudelleenkäytettäväksi innovaattoreille, yrityksille ja julkiselle sektorille;</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kiinnittää erityistä huomiota sellaisten paikallisten järjestelmien kehittämiseen aluetasolla ja sitä alemmalla tasolla, joissa tuodaan yhteen paikallisia pk-yrityksiä ja muita yrityksiä, julkishallintoja, koulutuskeskuksia, digitaali-innovaatiokeskittymiä ja teknologisia infrastruktuureja, jotka kehittävät ja jakavat laadukkaalla datalla koulutettuja algoritmeja ratkaisemaan paikallisia ongelmia. Näin liitetään osaamisen kehittäminen ja koulutus paikallisiin data-avaruuksiin innovoinnin edistämiseksi.</w:t>
            </w:r>
          </w:p>
          <w:p>
            <w:pPr>
              <w:spacing w:after="120"/>
              <w:jc w:val="both"/>
              <w:rPr>
                <w:rFonts w:ascii="Times New Roman" w:hAnsi="Times New Roman" w:cs="Times New Roman"/>
                <w:noProof/>
                <w:sz w:val="24"/>
                <w:szCs w:val="24"/>
              </w:rPr>
            </w:pPr>
            <w:r>
              <w:rPr>
                <w:rFonts w:ascii="Times New Roman" w:hAnsi="Times New Roman"/>
                <w:b/>
                <w:noProof/>
                <w:sz w:val="24"/>
              </w:rPr>
              <w:t>Datan jakamisen tukikeskus:</w:t>
            </w:r>
            <w:r>
              <w:rPr>
                <w:rFonts w:ascii="Times New Roman" w:hAnsi="Times New Roman"/>
                <w:noProof/>
                <w:sz w:val="24"/>
              </w:rPr>
              <w:t xml:space="preserve"> Komissio käynnistää vuoden 2019 puoleenväliin mennessä datan jakamisen tukikeskuksen, joka ehdottaa mallisopimuksia yksityisen sektorin datan jakamiseksi, antaa käytännön neuvoja ja jakaa parhaita käytäntöjä ja menetelmiä datan jakamista ja data-analyysiä varten kaikille datatalouden eurooppalaisille toimijoille. </w:t>
            </w:r>
          </w:p>
          <w:p>
            <w:pPr>
              <w:spacing w:after="120"/>
              <w:jc w:val="both"/>
              <w:rPr>
                <w:rFonts w:ascii="Times New Roman" w:hAnsi="Times New Roman" w:cs="Times New Roman"/>
                <w:noProof/>
                <w:sz w:val="24"/>
                <w:szCs w:val="24"/>
              </w:rPr>
            </w:pPr>
            <w:r>
              <w:rPr>
                <w:rFonts w:ascii="Times New Roman" w:hAnsi="Times New Roman"/>
                <w:b/>
                <w:noProof/>
                <w:sz w:val="24"/>
              </w:rPr>
              <w:t xml:space="preserve">Euroopan suurteholaskennan aloite (EuroHPC): </w:t>
            </w:r>
            <w:r>
              <w:rPr>
                <w:rFonts w:ascii="Times New Roman" w:hAnsi="Times New Roman"/>
                <w:noProof/>
                <w:sz w:val="24"/>
              </w:rPr>
              <w:t>Komissio ja jäsenvaltiot tekevät yhteistyötä EuroHPC-aloitteen toteuttamiseksi aikataulun mukaisesti, jotta voidaan kehittää yleiseurooppalainen suurteholaskentainfrastruktuuri, joka on ratkaisevan tärkeä tekoälyn kannalta.</w:t>
            </w:r>
          </w:p>
        </w:tc>
      </w:tr>
    </w:tbl>
    <w:p>
      <w:pPr>
        <w:pStyle w:val="ListParagraph"/>
        <w:keepNext/>
        <w:numPr>
          <w:ilvl w:val="1"/>
          <w:numId w:val="1"/>
        </w:numPr>
        <w:spacing w:before="360" w:after="240" w:line="240" w:lineRule="auto"/>
        <w:ind w:left="567" w:hanging="567"/>
        <w:contextualSpacing w:val="0"/>
        <w:jc w:val="both"/>
        <w:rPr>
          <w:rFonts w:ascii="Times New Roman" w:hAnsi="Times New Roman"/>
          <w:b/>
          <w:noProof/>
          <w:sz w:val="24"/>
        </w:rPr>
      </w:pPr>
      <w:r>
        <w:rPr>
          <w:rFonts w:ascii="Times New Roman" w:hAnsi="Times New Roman"/>
          <w:b/>
          <w:noProof/>
          <w:sz w:val="24"/>
          <w:u w:val="single"/>
        </w:rPr>
        <w:t>Sisäänrakennettu eettisyys ja sääntelykehys</w:t>
      </w:r>
    </w:p>
    <w:p>
      <w:pPr>
        <w:spacing w:after="240" w:line="240" w:lineRule="auto"/>
        <w:jc w:val="both"/>
        <w:rPr>
          <w:rFonts w:ascii="Times New Roman" w:hAnsi="Times New Roman" w:cs="Times New Roman"/>
          <w:noProof/>
          <w:sz w:val="24"/>
          <w:szCs w:val="24"/>
        </w:rPr>
      </w:pPr>
      <w:r>
        <w:rPr>
          <w:rFonts w:ascii="Times New Roman" w:hAnsi="Times New Roman"/>
          <w:noProof/>
          <w:sz w:val="24"/>
        </w:rPr>
        <w:t>Asianmukainen ja ennakoitavissa oleva, eettinen ja sääntelyllinen kehys, joka perustuu tehokkaisiin suojatoimiin perusoikeuksien ja -vapauksien suojaamiseksi, on välttämätön edellytys, jotta kansalaiset voivat luottaa tekoälyyn ja investointivarmuutta tarvitsevat yritykset voivat tarttua uusiin liiketoimintamahdollisuuksiin. Eettisten näkökohtien esiin tuonti edistettäessä innovaatioita voi tuoda Euroopan yrityksille kilpailuetua maailmanmarkkinoilla. Lisäksi tekoälyn yleistyminen julkisella sektorilla herättää myös samanlaisia eettisiä ja perusoikeuksia koskevia huolenaiheita, joihin on puututtava varhaisessa vaiheessa.</w:t>
      </w:r>
    </w:p>
    <w:p>
      <w:pPr>
        <w:spacing w:after="240" w:line="240" w:lineRule="auto"/>
        <w:jc w:val="both"/>
        <w:rPr>
          <w:rFonts w:ascii="Times New Roman" w:hAnsi="Times New Roman" w:cs="Times New Roman"/>
          <w:noProof/>
          <w:sz w:val="24"/>
          <w:szCs w:val="24"/>
        </w:rPr>
      </w:pPr>
      <w:r>
        <w:rPr>
          <w:rFonts w:ascii="Times New Roman" w:hAnsi="Times New Roman"/>
          <w:noProof/>
          <w:sz w:val="24"/>
        </w:rPr>
        <w:t>Kuten tiedonannossa ”Tekoäly Euroopalle” ilmoitettiin, komissio on antanut tekoälyä käsittelevän korkean tason asiantuntijaryhmän tehtäväksi laatia tekoälyä koskevien eettisten suuntaviivojen luonnos</w:t>
      </w:r>
      <w:r>
        <w:rPr>
          <w:noProof/>
          <w:vertAlign w:val="superscript"/>
        </w:rPr>
        <w:footnoteReference w:id="55"/>
      </w:r>
      <w:r>
        <w:rPr>
          <w:rFonts w:ascii="Times New Roman" w:hAnsi="Times New Roman"/>
          <w:noProof/>
          <w:sz w:val="24"/>
        </w:rPr>
        <w:t>. Ensimmäinen luonnos suuntaviivoiksi valmistuu joulukuussa 2018, ja lopullinen versio on määrä julkaista maaliskuussa 2019 Euroopan tekoälyallianssin laajan kuulemisen jälkeen</w:t>
      </w:r>
      <w:r>
        <w:rPr>
          <w:noProof/>
          <w:vertAlign w:val="superscript"/>
        </w:rPr>
        <w:footnoteReference w:id="56"/>
      </w:r>
      <w:r>
        <w:rPr>
          <w:rFonts w:ascii="Times New Roman" w:hAnsi="Times New Roman"/>
          <w:noProof/>
          <w:sz w:val="24"/>
        </w:rPr>
        <w:t xml:space="preserve">. Yksi keskeisistä periaatteista on ”sisäänrakennettu eettisyys”, jossa eettiset periaatteet sisällytetään tekoälytuotteisiin ja -palveluihin jo suunnitteluprosessin alussa. </w:t>
      </w:r>
    </w:p>
    <w:p>
      <w:pPr>
        <w:spacing w:after="240" w:line="240" w:lineRule="auto"/>
        <w:jc w:val="both"/>
        <w:rPr>
          <w:noProof/>
        </w:rPr>
      </w:pPr>
      <w:r>
        <w:rPr>
          <w:rFonts w:ascii="Times New Roman" w:hAnsi="Times New Roman"/>
          <w:noProof/>
          <w:sz w:val="24"/>
        </w:rPr>
        <w:t>On tärkeää, että lainsäädäntö tarjoaa oikeat puitteet tekoälyä hyödyntäville innovaatioille ja tekoälyratkaisujen käyttöönotolle. Samalla on käsiteltävä mahdollisia riskejä, joita teknologian käyttö ja vuorovaikutus teknologian kanssa aiheuttavat, mukaan lukien kyberturvallisuuteen liittyvät huolenaiheet. Kyberturvallisuudella tarkoitetaan tässä yhteydessä väärinkäytön (esim. hakkeroinnin, tekoälyalgoritmien manipuloinnin tai tekoälyalgoritmeilla käsiteltävän datan manipuloinnin) ehkäisemistä sekä mekanismeja, joilla varmistetaan kuluttajien turvallisuus ja tehokkaat oikeussuojakeinot vahinkoja kärsineille uhreille ja helpotetaan tutkimuksia, jos tekoälyjärjestelmä vaarantuu. Tekoälyyn liittyviä kyberturvallisuusvaatimuksia on tarpeen täsmentää, ja ne olisi sisällytettävä ehdotetun eurooppalaisen kyberturvallisuuden sertifiointikehyksen</w:t>
      </w:r>
      <w:r>
        <w:rPr>
          <w:rFonts w:ascii="Times New Roman" w:hAnsi="Times New Roman"/>
          <w:noProof/>
          <w:sz w:val="24"/>
          <w:vertAlign w:val="superscript"/>
        </w:rPr>
        <w:footnoteReference w:id="57"/>
      </w:r>
      <w:r>
        <w:rPr>
          <w:rFonts w:ascii="Times New Roman" w:hAnsi="Times New Roman"/>
          <w:noProof/>
          <w:sz w:val="24"/>
        </w:rPr>
        <w:t xml:space="preserve"> mukaiseen sertifiointijärjestelmään. Lisäksi tapauksissa, joissa yritykset toimivat turvallisuuden kannalta merkityksellisillä aloilla (esim. rahoituslaitokset, radioaktiivisten aineiden tuottajat jne.) tiettyjen tekoälytuotteiden käyttö ja prosessit palvelevat yleistä etua, joten niiden käytöstä voidaan tehdä pakollista.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Riittävä turvallisuus- ja vahinkovastuujärjestelmä, jolla taataan uhrien korkeatasoinen turvallisuus ja tehokkaat oikeussuojakeinot, on välttämätön, jotta voidaan rakentaa luottamusta tekoälyyn.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Lisäksi asianmukaisilla turvatoimilla, sääntelyn virtuaalisilla testauspaikoilla ja muilla politiikan kokeilu- ja kehitysmenetelmillä voi olla merkittävä rooli tekoälyyn perustuvaan innovointiin kannustamisessa aloilla, joilla lainsäädännössä annetaan sääntelyviranomaisille riittävästi liikkumavaraa. Vuonna 2019 keskitytään arvioimaan sitä, onko Euroopan sääntelykehys yleisesti tekoälyn mahdollistaman teknologian ja erityisesti verkkoon liitetyn ja automatisoidun autoilun kannalta tarkoituksenmukainen.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Innovaatiosopimukset</w:t>
      </w:r>
      <w:r>
        <w:rPr>
          <w:rFonts w:ascii="Times New Roman" w:hAnsi="Times New Roman"/>
          <w:noProof/>
          <w:sz w:val="24"/>
          <w:vertAlign w:val="superscript"/>
        </w:rPr>
        <w:footnoteReference w:id="58"/>
      </w:r>
      <w:r>
        <w:rPr>
          <w:rFonts w:ascii="Times New Roman" w:hAnsi="Times New Roman"/>
          <w:noProof/>
          <w:sz w:val="24"/>
        </w:rPr>
        <w:t xml:space="preserve"> voivat toimia nykyisen lainsäädännön puitteissa välineinä tekoälyn kehittämiseen ja käyttöönottoon liittyvien sääntelyesteiden arvioimiseksi. Innovaatiosopimukset ovat EU:n, innovaattoreiden sekä kansallisten, alueellisten ja paikallisten viranomaisten välisiä vapaaehtoisia yhteistyösopimuksia. Sopimuksen tavoitteena on saada syvällinen käsitys siitä, miten EU:n sääntö tai määräys toimii käytännössä. Jos säännön tai määräyksen todetaan muodostavan esteen innovoinnille, sopimus tuo asian esiin ja siitä on hyötyä myös jatkotoimissa.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Muita tärkeitä tekijöitä yhdennettyjen eurooppalaisten kotimarkkinoiden luomiseksi tekoälyn mahdollistamille tuotteille, palveluille ja sovelluksille ovat esimerkiksi tietosuoja ja yksityisyyden suoja</w:t>
      </w:r>
      <w:r>
        <w:rPr>
          <w:rFonts w:ascii="Times New Roman" w:hAnsi="Times New Roman"/>
          <w:noProof/>
          <w:sz w:val="24"/>
          <w:vertAlign w:val="superscript"/>
        </w:rPr>
        <w:footnoteReference w:id="59"/>
      </w:r>
      <w:r>
        <w:rPr>
          <w:rFonts w:ascii="Times New Roman" w:hAnsi="Times New Roman"/>
          <w:noProof/>
          <w:sz w:val="24"/>
        </w:rPr>
        <w:t>, kuluttajansuoja ja kilpailulainsäädännön noudattamisen sisällyttäminen jo suunnitteluvaiheeseen. Lisäksi tekoälyn kehittämisen ja käyttöönoton eräät tärkeät näkökohdat erityisesti aloilla, joilla on suuria yhteiskunnallisia ja poliittisia kysymyksiä, liittyvät algoritmisen päätöksenteon ja siihen liittyvien hallintomallien oikeudenmukaisuuteen, läpinäkyvyyteen ja vastuullisuuteen</w:t>
      </w:r>
      <w:r>
        <w:rPr>
          <w:rFonts w:ascii="Times New Roman" w:hAnsi="Times New Roman"/>
          <w:noProof/>
          <w:sz w:val="24"/>
          <w:vertAlign w:val="superscript"/>
        </w:rPr>
        <w:footnoteReference w:id="60"/>
      </w:r>
      <w:r>
        <w:rPr>
          <w:rFonts w:ascii="Times New Roman" w:hAnsi="Times New Roman"/>
          <w:noProof/>
          <w:sz w:val="24"/>
        </w:rPr>
        <w:t xml:space="preserve"> sekä tekoälyn vaikutukseen ihmisten käyttäytymiseen</w:t>
      </w:r>
      <w:r>
        <w:rPr>
          <w:rFonts w:ascii="Times New Roman" w:hAnsi="Times New Roman"/>
          <w:noProof/>
          <w:sz w:val="24"/>
          <w:vertAlign w:val="superscript"/>
        </w:rPr>
        <w:footnoteReference w:id="61"/>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Olisi tutkittava myös teollis- ja tekijänoikeuksia koskevia kysymyksiä, jotta voidaan varmistaa, että asiaan liittyvässä sääntelykehyksessä otetaan asianmukaisesti huomioon tietyt tekoälyyn liittyvät haasteet ja voidaan siten edistää sen tehokasta kehittämistä.</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88"/>
      </w:tblGrid>
      <w:tr>
        <w:tc>
          <w:tcPr>
            <w:tcW w:w="9288" w:type="dxa"/>
            <w:shd w:val="clear" w:color="auto" w:fill="DBE5F1" w:themeFill="accent1" w:themeFillTint="33"/>
          </w:tcPr>
          <w:p>
            <w:pPr>
              <w:spacing w:after="120"/>
              <w:jc w:val="both"/>
              <w:rPr>
                <w:rFonts w:ascii="Times New Roman" w:hAnsi="Times New Roman" w:cs="Times New Roman"/>
                <w:b/>
                <w:noProof/>
                <w:sz w:val="24"/>
                <w:szCs w:val="24"/>
                <w:u w:val="single"/>
              </w:rPr>
            </w:pPr>
            <w:r>
              <w:rPr>
                <w:rFonts w:ascii="Times New Roman" w:hAnsi="Times New Roman"/>
                <w:b/>
                <w:noProof/>
                <w:sz w:val="24"/>
                <w:u w:val="single"/>
              </w:rPr>
              <w:t>Sisäänrakennettu eettisyys ja sääntelykehys</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 xml:space="preserve">Komissio on antanut tekoälyä käsittelevän korkean tason asiantuntijaryhmän tehtäväksi laatia </w:t>
            </w:r>
            <w:r>
              <w:rPr>
                <w:rFonts w:ascii="Times New Roman" w:hAnsi="Times New Roman"/>
                <w:b/>
                <w:noProof/>
                <w:sz w:val="24"/>
              </w:rPr>
              <w:t>tekoälyä koskevien eettisten suuntaviivojen</w:t>
            </w:r>
            <w:r>
              <w:rPr>
                <w:rFonts w:ascii="Times New Roman" w:hAnsi="Times New Roman"/>
                <w:noProof/>
                <w:sz w:val="24"/>
              </w:rPr>
              <w:t xml:space="preserve"> luonnos. Lopullinen versio on odotettavissa maaliskuussa 2019.</w:t>
            </w:r>
          </w:p>
          <w:p>
            <w:pPr>
              <w:numPr>
                <w:ilvl w:val="0"/>
                <w:numId w:val="7"/>
              </w:numPr>
              <w:spacing w:after="120"/>
              <w:jc w:val="both"/>
              <w:rPr>
                <w:rFonts w:ascii="Times New Roman" w:hAnsi="Times New Roman" w:cs="Times New Roman"/>
                <w:b/>
                <w:noProof/>
                <w:sz w:val="24"/>
                <w:szCs w:val="24"/>
              </w:rPr>
            </w:pPr>
            <w:r>
              <w:rPr>
                <w:rFonts w:ascii="Times New Roman" w:hAnsi="Times New Roman"/>
                <w:noProof/>
                <w:sz w:val="24"/>
              </w:rPr>
              <w:t xml:space="preserve">Komissio aikoo tiukasti kunnioittaa sisäänrakennetun eettisyyden periaatetta ja sisällyttää sen tekoälyä käsitteleviin ehdotuspyyntöihinsä. </w:t>
            </w:r>
          </w:p>
          <w:p>
            <w:pPr>
              <w:numPr>
                <w:ilvl w:val="0"/>
                <w:numId w:val="7"/>
              </w:numPr>
              <w:spacing w:after="120"/>
              <w:jc w:val="both"/>
              <w:rPr>
                <w:rFonts w:ascii="Times New Roman" w:hAnsi="Times New Roman" w:cs="Times New Roman"/>
                <w:noProof/>
                <w:sz w:val="24"/>
                <w:szCs w:val="24"/>
              </w:rPr>
            </w:pPr>
            <w:r>
              <w:rPr>
                <w:rFonts w:ascii="Times New Roman" w:hAnsi="Times New Roman"/>
                <w:b/>
                <w:noProof/>
                <w:sz w:val="24"/>
              </w:rPr>
              <w:t>Komissio arvioi jäsenvaltioiden näkemykset huomioon ottaen, onko voimassa oleva lainsäädäntö tarkoituksenmukainen ja missä määrin se soveltuu</w:t>
            </w:r>
            <w:r>
              <w:rPr>
                <w:rFonts w:ascii="Times New Roman" w:hAnsi="Times New Roman"/>
                <w:noProof/>
                <w:sz w:val="24"/>
              </w:rPr>
              <w:t xml:space="preserve"> tekoälyyn liittyvien uusien mahdollisuuksien ja haasteiden käsittelyyn, ottaen huomioon tekoälyä käsittelevän korkean tason asiantuntijaryhmän ehdottamat suositukset. </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Vuoden 2019 puoliväliin mennessä komissio julkaisee selvityksen mahdollisista puutteista tekoälyä koskevissa turvallisuus- ja vastuukehyksissä ja niitä koskevista suuntaviivoista.</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Komissio on valmis tukemaan sidosryhmiä tekoälyn kehittämistä ja käyttöönottoa koskevien EU:n sääntöjen soveltamisessa esimerkiksi kilpailun ja valtiontuen aloilla, tarpeen vaatiessa ja sopivassa muodossa.</w:t>
            </w:r>
          </w:p>
          <w:p>
            <w:pPr>
              <w:numPr>
                <w:ilvl w:val="0"/>
                <w:numId w:val="7"/>
              </w:numPr>
              <w:spacing w:after="120"/>
              <w:jc w:val="both"/>
              <w:rPr>
                <w:rFonts w:ascii="Times New Roman" w:hAnsi="Times New Roman" w:cs="Times New Roman"/>
                <w:noProof/>
                <w:sz w:val="24"/>
                <w:szCs w:val="24"/>
              </w:rPr>
            </w:pPr>
            <w:r>
              <w:rPr>
                <w:rFonts w:ascii="Times New Roman" w:hAnsi="Times New Roman"/>
                <w:b/>
                <w:noProof/>
                <w:sz w:val="24"/>
              </w:rPr>
              <w:t>Jäsenvaltiot ja komissio keskustelevat vuonna 2019 sellaisten ympäristöjen luomisesta</w:t>
            </w:r>
            <w:r>
              <w:rPr>
                <w:rFonts w:ascii="Times New Roman" w:hAnsi="Times New Roman"/>
                <w:b/>
                <w:noProof/>
                <w:sz w:val="24"/>
                <w:vertAlign w:val="superscript"/>
              </w:rPr>
              <w:footnoteReference w:id="62"/>
            </w:r>
            <w:r>
              <w:rPr>
                <w:rFonts w:ascii="Times New Roman" w:hAnsi="Times New Roman"/>
                <w:b/>
                <w:noProof/>
                <w:sz w:val="24"/>
              </w:rPr>
              <w:t>, jotka kannustavat innovointiin</w:t>
            </w:r>
            <w:r>
              <w:rPr>
                <w:rFonts w:ascii="Times New Roman" w:hAnsi="Times New Roman"/>
                <w:b/>
                <w:noProof/>
                <w:sz w:val="24"/>
                <w:vertAlign w:val="superscript"/>
              </w:rPr>
              <w:footnoteReference w:id="63"/>
            </w:r>
            <w:r>
              <w:rPr>
                <w:rFonts w:ascii="Times New Roman" w:hAnsi="Times New Roman"/>
                <w:b/>
                <w:noProof/>
                <w:sz w:val="24"/>
              </w:rPr>
              <w:t>, kuten sääntelyn virtuaaliset testauspaikat ja julkiset testausjärjestelyt tietyille tekoälysovelluksille Euroopassa</w:t>
            </w:r>
            <w:r>
              <w:rPr>
                <w:noProof/>
              </w:rPr>
              <w:t>.</w:t>
            </w:r>
            <w:r>
              <w:rPr>
                <w:rFonts w:ascii="Times New Roman" w:hAnsi="Times New Roman"/>
                <w:noProof/>
                <w:sz w:val="24"/>
              </w:rPr>
              <w:t xml:space="preserve"> Näiden keskustelujen pohjalta jäsenvaltioita kannustetaan luomaan tällaisia ympäristöjä ja julkisia testausjärjestelyjä tekoälyratkaisuja varten vuoden 2020 loppuun mennessä. Tätä varten jäsenvaltioita kannustetaan perustamaan tekoälysovelluksia kehittäville yrityksille keskitettyjä asiointipisteitä, jotta ne voivat keskustella tällaisten ympäristöjen ja testausjärjestelyjen luomista koskevista erityistarpeista.</w:t>
            </w:r>
          </w:p>
        </w:tc>
      </w:tr>
    </w:tbl>
    <w:p>
      <w:pPr>
        <w:pStyle w:val="ListParagraph"/>
        <w:keepNext/>
        <w:numPr>
          <w:ilvl w:val="1"/>
          <w:numId w:val="1"/>
        </w:numPr>
        <w:spacing w:before="360" w:after="240" w:line="240" w:lineRule="auto"/>
        <w:ind w:left="567" w:hanging="567"/>
        <w:contextualSpacing w:val="0"/>
        <w:jc w:val="both"/>
        <w:rPr>
          <w:rFonts w:ascii="Times New Roman" w:hAnsi="Times New Roman"/>
          <w:b/>
          <w:noProof/>
          <w:sz w:val="24"/>
        </w:rPr>
      </w:pPr>
      <w:r>
        <w:rPr>
          <w:rFonts w:ascii="Times New Roman" w:hAnsi="Times New Roman"/>
          <w:b/>
          <w:noProof/>
          <w:sz w:val="24"/>
          <w:u w:val="single"/>
        </w:rPr>
        <w:t>Tekoäly julkisella sektorilla</w:t>
      </w:r>
    </w:p>
    <w:p>
      <w:pPr>
        <w:spacing w:after="240" w:line="240" w:lineRule="auto"/>
        <w:jc w:val="both"/>
        <w:rPr>
          <w:rFonts w:ascii="Times New Roman" w:hAnsi="Times New Roman" w:cs="Times New Roman"/>
          <w:noProof/>
          <w:sz w:val="24"/>
          <w:szCs w:val="24"/>
        </w:rPr>
      </w:pPr>
      <w:r>
        <w:rPr>
          <w:rFonts w:ascii="Times New Roman" w:hAnsi="Times New Roman"/>
          <w:noProof/>
          <w:sz w:val="24"/>
        </w:rPr>
        <w:t>Tekoälysovellukset voivat edistää parempia julkisia palveluja monin eri tavoin, esimerkiksi mahdollistamalla älykkäämmät analyyttiset valmiudet ja parantamalla reaaliaikaisten prosessien (esim. väestö, talous, ympäristö ja ilmastonmuutos) tuntemusta taloudessa, yhteiskunnassa ja ympäristökysymysten alalla, mukaan lukien rikollisen toiminnan, kuten veropetosten ja rahanpesun, havaitseminen.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Tekoälypohjaiset ratkaisut voivat tarjota lyhyempiä ja monipuolisempia palauteketjuja kaikille hallinnon tasoille, mikä tarjoaa mahdollisuuden nopeuttaa palvelujen toimittamista sekä parantaa niiden tehokkuutta ja vaikuttavuutta. Ne avaavat mahdollisuuksia </w:t>
      </w:r>
    </w:p>
    <w:p>
      <w:pPr>
        <w:numPr>
          <w:ilvl w:val="0"/>
          <w:numId w:val="41"/>
        </w:numPr>
        <w:spacing w:after="240" w:line="240" w:lineRule="auto"/>
        <w:ind w:left="714" w:hanging="357"/>
        <w:contextualSpacing/>
        <w:jc w:val="both"/>
        <w:rPr>
          <w:rFonts w:ascii="Times New Roman" w:eastAsia="Times New Roman" w:hAnsi="Times New Roman" w:cs="Times New Roman"/>
          <w:noProof/>
          <w:sz w:val="24"/>
          <w:szCs w:val="24"/>
        </w:rPr>
      </w:pPr>
      <w:r>
        <w:rPr>
          <w:rFonts w:ascii="Times New Roman" w:hAnsi="Times New Roman"/>
          <w:noProof/>
          <w:sz w:val="24"/>
        </w:rPr>
        <w:t xml:space="preserve">parantaa tarjottujen palvelujen laatua ja johdonmukaisuutta, </w:t>
      </w:r>
    </w:p>
    <w:p>
      <w:pPr>
        <w:numPr>
          <w:ilvl w:val="0"/>
          <w:numId w:val="41"/>
        </w:numPr>
        <w:spacing w:after="240" w:line="240" w:lineRule="auto"/>
        <w:ind w:left="714" w:hanging="357"/>
        <w:contextualSpacing/>
        <w:jc w:val="both"/>
        <w:rPr>
          <w:rFonts w:ascii="Times New Roman" w:eastAsia="Times New Roman" w:hAnsi="Times New Roman" w:cs="Times New Roman"/>
          <w:noProof/>
          <w:sz w:val="24"/>
          <w:szCs w:val="24"/>
        </w:rPr>
      </w:pPr>
      <w:r>
        <w:rPr>
          <w:rFonts w:ascii="Times New Roman" w:hAnsi="Times New Roman"/>
          <w:noProof/>
          <w:sz w:val="24"/>
        </w:rPr>
        <w:t>parantaa politiikkatoimien suunnittelua ja täytäntöönpanoa,</w:t>
      </w:r>
    </w:p>
    <w:p>
      <w:pPr>
        <w:numPr>
          <w:ilvl w:val="0"/>
          <w:numId w:val="41"/>
        </w:numPr>
        <w:spacing w:after="240" w:line="240" w:lineRule="auto"/>
        <w:ind w:left="714" w:hanging="357"/>
        <w:contextualSpacing/>
        <w:jc w:val="both"/>
        <w:rPr>
          <w:rFonts w:ascii="Times New Roman" w:eastAsia="Times New Roman" w:hAnsi="Times New Roman" w:cs="Times New Roman"/>
          <w:noProof/>
          <w:sz w:val="24"/>
          <w:szCs w:val="24"/>
        </w:rPr>
      </w:pPr>
      <w:r>
        <w:rPr>
          <w:rFonts w:ascii="Times New Roman" w:hAnsi="Times New Roman"/>
          <w:noProof/>
          <w:sz w:val="24"/>
        </w:rPr>
        <w:t>tehostaa ja kohdentaa toimenpiteitä,</w:t>
      </w:r>
    </w:p>
    <w:p>
      <w:pPr>
        <w:numPr>
          <w:ilvl w:val="0"/>
          <w:numId w:val="41"/>
        </w:numPr>
        <w:spacing w:after="240" w:line="240" w:lineRule="auto"/>
        <w:ind w:left="714" w:hanging="357"/>
        <w:contextualSpacing/>
        <w:jc w:val="both"/>
        <w:rPr>
          <w:rFonts w:ascii="Times New Roman" w:eastAsia="Times New Roman" w:hAnsi="Times New Roman" w:cs="Times New Roman"/>
          <w:noProof/>
          <w:sz w:val="24"/>
          <w:szCs w:val="24"/>
        </w:rPr>
      </w:pPr>
      <w:r>
        <w:rPr>
          <w:rFonts w:ascii="Times New Roman" w:hAnsi="Times New Roman"/>
          <w:noProof/>
          <w:sz w:val="24"/>
        </w:rPr>
        <w:t>parantaa julkisten hankintojen toimivuutta ja vaikuttavuutta sekä</w:t>
      </w:r>
    </w:p>
    <w:p>
      <w:pPr>
        <w:numPr>
          <w:ilvl w:val="0"/>
          <w:numId w:val="41"/>
        </w:numPr>
        <w:spacing w:after="24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lisätä turvallisuutta ja parantaa henkilöllisyyden hallintaa ja terveys- ja työvoimapalveluja.</w:t>
      </w:r>
    </w:p>
    <w:p>
      <w:pPr>
        <w:spacing w:after="240" w:line="240" w:lineRule="auto"/>
        <w:jc w:val="both"/>
        <w:rPr>
          <w:rFonts w:ascii="Times New Roman" w:hAnsi="Times New Roman" w:cs="Times New Roman"/>
          <w:noProof/>
          <w:sz w:val="24"/>
          <w:szCs w:val="24"/>
        </w:rPr>
      </w:pPr>
      <w:r>
        <w:rPr>
          <w:rFonts w:ascii="Times New Roman" w:hAnsi="Times New Roman"/>
          <w:noProof/>
          <w:sz w:val="24"/>
        </w:rPr>
        <w:t>Julkisen tuen saajien kannalta tekoälyä hyödyntävä päätös voi yksinkertaistaa viranomaisten ja tuensaajien välistä suhdetta sisällyttämällä laajemmin yleistä etua tai sääntelyä koskevia näkökohtia päivittäiseen päätöksentekoon (esim. kohdennetulla viestinnällä, käyttäytymistä ohjaavilla ”tuuppauksilla” jne.).</w:t>
      </w:r>
    </w:p>
    <w:p>
      <w:pPr>
        <w:spacing w:after="240" w:line="240" w:lineRule="auto"/>
        <w:jc w:val="both"/>
        <w:rPr>
          <w:rFonts w:ascii="Times New Roman" w:hAnsi="Times New Roman" w:cs="Times New Roman"/>
          <w:noProof/>
          <w:sz w:val="24"/>
          <w:szCs w:val="24"/>
        </w:rPr>
      </w:pPr>
      <w:r>
        <w:rPr>
          <w:rFonts w:ascii="Times New Roman" w:hAnsi="Times New Roman"/>
          <w:noProof/>
          <w:sz w:val="24"/>
        </w:rPr>
        <w:t>Tekoäly voi parantaa kansalaisten ja hallinnon kanssakäymistä vuorovaikutteisten keskustelujärjestelmien (mukaan lukien digiavustajat ja julkiset chatbotit), monikielisten palvelujen ja automatisoidun kääntämisen kautta. Tekoälyä pyritään soveltamaan myös sosiaali- ja terveysalalla lääkäreiden päätöksenteon tai nuorten syrjäytymisvaaran varhaisen tunnistamisen tukena</w:t>
      </w:r>
      <w:r>
        <w:rPr>
          <w:rFonts w:ascii="Times New Roman" w:hAnsi="Times New Roman"/>
          <w:noProof/>
          <w:sz w:val="24"/>
          <w:vertAlign w:val="superscript"/>
        </w:rPr>
        <w:footnoteReference w:id="64"/>
      </w:r>
      <w:r>
        <w:rPr>
          <w:noProof/>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Kuten edellä on esitetty, konkreettisia toimenpiteitä ehdotetaan julkisen sektorin tietojen avaamiseksi tekoälysovellusten käyttöön yleistä etua palvelevilla aloilla, kuten lääketieteellinen kuvantaminen tai genomiikka.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Jäsenvaltioita kannustetaan vertaisoppimiseen muiden jäsenvaltioiden kanssa erityisesti sääntelyn virtuaalisten testauspaikkojen ja muiden testausjärjestelmien osalta. </w:t>
      </w:r>
    </w:p>
    <w:tbl>
      <w:tblPr>
        <w:tblStyle w:val="TableGrid2"/>
        <w:tblW w:w="0" w:type="auto"/>
        <w:tblLook w:val="04A0" w:firstRow="1" w:lastRow="0" w:firstColumn="1" w:lastColumn="0" w:noHBand="0" w:noVBand="1"/>
      </w:tblPr>
      <w:tblGrid>
        <w:gridCol w:w="9288"/>
      </w:tblGrid>
      <w:tr>
        <w:tc>
          <w:tcPr>
            <w:tcW w:w="9288" w:type="dxa"/>
            <w:tcBorders>
              <w:top w:val="nil"/>
              <w:left w:val="nil"/>
              <w:bottom w:val="nil"/>
              <w:right w:val="nil"/>
            </w:tcBorders>
            <w:shd w:val="clear" w:color="auto" w:fill="DBE5F1" w:themeFill="accent1" w:themeFillTint="33"/>
          </w:tcPr>
          <w:p>
            <w:pPr>
              <w:spacing w:after="120"/>
              <w:jc w:val="both"/>
              <w:rPr>
                <w:rFonts w:ascii="Times New Roman" w:hAnsi="Times New Roman" w:cs="Times New Roman"/>
                <w:b/>
                <w:noProof/>
                <w:sz w:val="24"/>
                <w:szCs w:val="24"/>
                <w:u w:val="single"/>
              </w:rPr>
            </w:pPr>
            <w:r>
              <w:rPr>
                <w:rFonts w:ascii="Times New Roman" w:hAnsi="Times New Roman"/>
                <w:b/>
                <w:noProof/>
                <w:sz w:val="24"/>
                <w:u w:val="single"/>
              </w:rPr>
              <w:t>Tekoäly julkisella sektorilla</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Unioni lisää asteittain toimia edistääkseen tekoälyn yleistymistä yleiseen etuun liittyvillä aloilla, joita ovat esimerkiksi terveydenhuolto, liikenne, turvallisuus ja koulutus. Tähän käytetään verkkojen Eurooppa -välineen ja ISA</w:t>
            </w:r>
            <w:r>
              <w:rPr>
                <w:rFonts w:ascii="Times New Roman" w:hAnsi="Times New Roman"/>
                <w:noProof/>
                <w:sz w:val="24"/>
                <w:vertAlign w:val="superscript"/>
              </w:rPr>
              <w:t>2</w:t>
            </w:r>
            <w:r>
              <w:rPr>
                <w:rFonts w:ascii="Times New Roman" w:hAnsi="Times New Roman"/>
                <w:noProof/>
                <w:sz w:val="24"/>
              </w:rPr>
              <w:t xml:space="preserve">-ohjelman digitaalista palveluinfrastruktuuria koskevien toimien nykyistä investointitasoa, jota pyritään myös korottamaan. Ehdotetussa Digitaalinen Eurooppa -ohjelmassa jäsenvaltiot ja unioni investoivat yhdessä vuoden 2020 jälkeen EU:n laajuisten tekoälypalvelujen täysimittaiseen käyttöönottoon yleistä etua palvelevilla aloilla. </w:t>
            </w:r>
          </w:p>
          <w:p>
            <w:pPr>
              <w:numPr>
                <w:ilvl w:val="0"/>
                <w:numId w:val="7"/>
              </w:numPr>
              <w:spacing w:after="120"/>
              <w:jc w:val="both"/>
              <w:rPr>
                <w:rFonts w:ascii="Times New Roman" w:hAnsi="Times New Roman" w:cs="Times New Roman"/>
                <w:noProof/>
                <w:sz w:val="24"/>
                <w:szCs w:val="24"/>
              </w:rPr>
            </w:pPr>
            <w:r>
              <w:rPr>
                <w:rFonts w:ascii="Times New Roman" w:hAnsi="Times New Roman"/>
                <w:b/>
                <w:noProof/>
                <w:sz w:val="24"/>
              </w:rPr>
              <w:t>Vuodeksi 2019 jäsenvaltiot ja komissio suunnittelevat vertaisoppimista</w:t>
            </w:r>
            <w:r>
              <w:rPr>
                <w:rFonts w:ascii="Times New Roman" w:hAnsi="Times New Roman"/>
                <w:noProof/>
                <w:sz w:val="24"/>
              </w:rPr>
              <w:t xml:space="preserve"> ja parhaiden käytäntöjen, kokemusten ja datan jakamista EU:n laajuisesti</w:t>
            </w:r>
            <w:r>
              <w:rPr>
                <w:rFonts w:ascii="Times New Roman" w:hAnsi="Times New Roman"/>
                <w:noProof/>
                <w:sz w:val="24"/>
                <w:vertAlign w:val="superscript"/>
              </w:rPr>
              <w:footnoteReference w:id="65"/>
            </w:r>
            <w:r>
              <w:rPr>
                <w:rFonts w:ascii="Times New Roman" w:hAnsi="Times New Roman"/>
                <w:noProof/>
                <w:sz w:val="24"/>
              </w:rPr>
              <w:t>. Ne tekevät yhteistyötä laatiakseen katsauksen jäsenvaltioissa jo käytössä olevista sovelluksista, niiden vaikutuksesta ja lisäarvosta julkisten palvelujen toimittamisessa. Komissio on myös valmis auttamaan julkisen sektorin ostajia esimerkiksi perustamalla neuvontakeskuksen tekoäly- ja kyberturvallisuussovellusten hankinnan tueksi. Yksi konkreettinen esimerkki on Euroopan julkisten työvoimapalvelujen verkosto, jonka puitteissa kansalliset työvoimapalvelut vaihtavat parhaita käytäntöjä tekoälyn käytöstä palvelujen toimittamisessa, yhteen saattamisessa ja automaattisissa prosesseissa</w:t>
            </w:r>
            <w:r>
              <w:rPr>
                <w:rFonts w:ascii="Times New Roman" w:hAnsi="Times New Roman"/>
                <w:noProof/>
                <w:sz w:val="24"/>
                <w:vertAlign w:val="superscript"/>
              </w:rPr>
              <w:footnoteReference w:id="66"/>
            </w:r>
            <w:r>
              <w:rPr>
                <w:rFonts w:ascii="Times New Roman" w:hAnsi="Times New Roman"/>
                <w:noProof/>
                <w:sz w:val="24"/>
              </w:rPr>
              <w:t xml:space="preserve">. </w:t>
            </w:r>
          </w:p>
          <w:p>
            <w:pPr>
              <w:numPr>
                <w:ilvl w:val="0"/>
                <w:numId w:val="7"/>
              </w:numPr>
              <w:spacing w:after="120"/>
              <w:jc w:val="both"/>
              <w:rPr>
                <w:rFonts w:ascii="Times New Roman" w:hAnsi="Times New Roman" w:cs="Times New Roman"/>
                <w:noProof/>
                <w:sz w:val="24"/>
                <w:szCs w:val="24"/>
              </w:rPr>
            </w:pPr>
            <w:r>
              <w:rPr>
                <w:rFonts w:ascii="Times New Roman" w:hAnsi="Times New Roman"/>
                <w:b/>
                <w:noProof/>
                <w:sz w:val="24"/>
              </w:rPr>
              <w:t>Jäsenvaltioita kannustetaan työskentelemään yhdessä komission kanssa kartoittaakseen aloja, joilla voidaan toteuttaa yhteisiä tekoälyratkaisuja</w:t>
            </w:r>
            <w:r>
              <w:rPr>
                <w:rFonts w:ascii="Times New Roman" w:hAnsi="Times New Roman"/>
                <w:noProof/>
                <w:sz w:val="24"/>
              </w:rPr>
              <w:t xml:space="preserve">, jotka johtaisivat tehokkuusetuihin ja parempaan kustannustehokkuuteen. Yksi konkreettinen esimerkki ovat itsekorjautuvat järjestelmät kyberturvallisuuden alalla, joiden tapauksessa unionin ja kaikkien jäsenvaltioiden yhdistetty ostovoima voi helpottaa EU:ta varten kehitettävien ratkaisujen kehittämistä ja laajentamista. Tavoitteena on laatia vuoden 2019 puoliväliin mennessä yhteinen raportti aloista, joilla yhteisiä hankintoja suunnitellaan. Vuoden 2020 jälkeisen ajan osalta komissio ehdottaa töiden aloittamista uuden Digitaalinen Eurooppa -ohjelman mukaisesti. </w:t>
            </w:r>
          </w:p>
          <w:p>
            <w:pPr>
              <w:numPr>
                <w:ilvl w:val="0"/>
                <w:numId w:val="7"/>
              </w:numPr>
              <w:spacing w:after="120"/>
              <w:jc w:val="both"/>
              <w:rPr>
                <w:rFonts w:ascii="Times New Roman" w:hAnsi="Times New Roman" w:cs="Times New Roman"/>
                <w:noProof/>
                <w:sz w:val="24"/>
                <w:szCs w:val="24"/>
              </w:rPr>
            </w:pPr>
            <w:r>
              <w:rPr>
                <w:rFonts w:ascii="Times New Roman" w:hAnsi="Times New Roman"/>
                <w:b/>
                <w:noProof/>
                <w:sz w:val="24"/>
              </w:rPr>
              <w:t>Vuonna 2019 komissio aikoo tarjota</w:t>
            </w:r>
            <w:r>
              <w:rPr>
                <w:rFonts w:ascii="Times New Roman" w:hAnsi="Times New Roman"/>
                <w:noProof/>
                <w:sz w:val="24"/>
              </w:rPr>
              <w:t xml:space="preserve"> Verkkojen Eurooppa -välineen puitteissa kehitettyä tekoälypohjaista automaattista käännöspalvelua (</w:t>
            </w:r>
            <w:r>
              <w:rPr>
                <w:rFonts w:ascii="Times New Roman" w:hAnsi="Times New Roman"/>
                <w:b/>
                <w:noProof/>
                <w:sz w:val="24"/>
              </w:rPr>
              <w:t>eTranslation</w:t>
            </w:r>
            <w:r>
              <w:rPr>
                <w:rFonts w:ascii="Times New Roman" w:hAnsi="Times New Roman"/>
                <w:noProof/>
                <w:sz w:val="24"/>
              </w:rPr>
              <w:t>) jäsenvaltioiden julkishallinnoille. Horisontti Eurooppa - ja Digitaalinen Eurooppa -ohjelmia koskevissa komission ehdotuksissa kaavaillaan investointeja luonnollisen kielen käsittelypalvelujen kehittämiseen ja välineisiin monikielisyyden edistämiseksi julkisella sektorilla.</w:t>
            </w:r>
          </w:p>
          <w:p>
            <w:pPr>
              <w:numPr>
                <w:ilvl w:val="0"/>
                <w:numId w:val="7"/>
              </w:numPr>
              <w:spacing w:after="120"/>
              <w:jc w:val="both"/>
              <w:rPr>
                <w:rFonts w:ascii="Times New Roman" w:hAnsi="Times New Roman" w:cs="Times New Roman"/>
                <w:noProof/>
                <w:sz w:val="24"/>
                <w:szCs w:val="24"/>
              </w:rPr>
            </w:pPr>
            <w:r>
              <w:rPr>
                <w:rFonts w:ascii="Times New Roman" w:hAnsi="Times New Roman"/>
                <w:b/>
                <w:noProof/>
                <w:sz w:val="24"/>
              </w:rPr>
              <w:t>Vuonna 2020</w:t>
            </w:r>
            <w:r>
              <w:rPr>
                <w:rFonts w:ascii="Times New Roman" w:hAnsi="Times New Roman"/>
                <w:noProof/>
                <w:sz w:val="24"/>
              </w:rPr>
              <w:t xml:space="preserve"> jäsenvaltioita kannustetaan sähköisestä hallinnosta annetun Tallinnan ministerikokouksen julkilausuman mukaisesti kohdentamaan – komission tuella ja erityisesti hyödyntämällä seuraavan monivuotisen rahoituskehyksen yhteydessä ehdotettuja digitaali-innovaatiokeskittymiä – resursseja tekoälypohjaisten palvelujen kokeiluun, jotta voidaan parantaa ymmärrystä tekoälyn mahdollistamien julkisten palvelujen ja poliittisen päätöksenteon lisäarvosta ja mahdollisista vaikutuksista. Tekoälyyn perustuvat ratkaisut hyödyttävät myös oikeuslaitosta</w:t>
            </w:r>
            <w:r>
              <w:rPr>
                <w:rFonts w:ascii="Times New Roman" w:hAnsi="Times New Roman"/>
                <w:noProof/>
                <w:sz w:val="24"/>
                <w:vertAlign w:val="superscript"/>
              </w:rPr>
              <w:footnoteReference w:id="67"/>
            </w:r>
            <w:r>
              <w:rPr>
                <w:rFonts w:ascii="Times New Roman" w:hAnsi="Times New Roman"/>
                <w:noProof/>
                <w:sz w:val="24"/>
              </w:rPr>
              <w:t xml:space="preserve"> ja lainvalvontaviranomaisia. Toinen lupaava julkinen sovellusala on sisämarkkinalainsäädännön seuranta ja täytäntöönpano tavaroiden, palvelujen ja ihmisten osalta.</w:t>
            </w:r>
          </w:p>
          <w:p>
            <w:pPr>
              <w:numPr>
                <w:ilvl w:val="0"/>
                <w:numId w:val="7"/>
              </w:numPr>
              <w:spacing w:after="120"/>
              <w:jc w:val="both"/>
              <w:rPr>
                <w:rFonts w:ascii="Times New Roman" w:hAnsi="Times New Roman" w:cs="Times New Roman"/>
                <w:noProof/>
                <w:sz w:val="24"/>
                <w:szCs w:val="24"/>
              </w:rPr>
            </w:pPr>
            <w:r>
              <w:rPr>
                <w:rFonts w:ascii="Times New Roman" w:hAnsi="Times New Roman"/>
                <w:b/>
                <w:noProof/>
                <w:sz w:val="24"/>
              </w:rPr>
              <w:t>Jäsenvaltiot ja komissio</w:t>
            </w:r>
            <w:r>
              <w:rPr>
                <w:rFonts w:ascii="Times New Roman" w:hAnsi="Times New Roman"/>
                <w:noProof/>
                <w:sz w:val="24"/>
              </w:rPr>
              <w:t xml:space="preserve"> suunnittelevat jatkavansa integroidun maanhavainnoinnin ja tekoälypohjaisen koneoppimisen ratkaisujen kehittämistä näyttöön perustuvan päätöksenteon, täytäntöönpanon ja seurannan tukemiseksi sellaisilla aloilla kuin ilmastonmuutos, ympäristönsuojelu, maatalous, kaupunkirakentaminen, katastrofiapu, muuttoliike ja infrastruktuurin seuranta.</w:t>
            </w:r>
          </w:p>
        </w:tc>
      </w:tr>
    </w:tbl>
    <w:p>
      <w:pPr>
        <w:pStyle w:val="ListParagraph"/>
        <w:keepNext/>
        <w:numPr>
          <w:ilvl w:val="1"/>
          <w:numId w:val="1"/>
        </w:numPr>
        <w:spacing w:before="360" w:after="240" w:line="240" w:lineRule="auto"/>
        <w:ind w:left="567" w:hanging="567"/>
        <w:contextualSpacing w:val="0"/>
        <w:jc w:val="both"/>
        <w:rPr>
          <w:rFonts w:ascii="Times New Roman" w:hAnsi="Times New Roman"/>
          <w:b/>
          <w:noProof/>
          <w:sz w:val="24"/>
        </w:rPr>
      </w:pPr>
      <w:r>
        <w:rPr>
          <w:rFonts w:ascii="Times New Roman" w:hAnsi="Times New Roman"/>
          <w:b/>
          <w:noProof/>
          <w:sz w:val="24"/>
          <w:u w:val="single"/>
        </w:rPr>
        <w:t>Kansainvälinen yhteistyö</w:t>
      </w:r>
    </w:p>
    <w:p>
      <w:pPr>
        <w:spacing w:after="240" w:line="240" w:lineRule="auto"/>
        <w:jc w:val="both"/>
        <w:rPr>
          <w:rFonts w:ascii="Times New Roman" w:hAnsi="Times New Roman" w:cs="Times New Roman"/>
          <w:noProof/>
          <w:sz w:val="24"/>
          <w:szCs w:val="24"/>
        </w:rPr>
      </w:pPr>
      <w:r>
        <w:rPr>
          <w:rFonts w:ascii="Times New Roman" w:hAnsi="Times New Roman"/>
          <w:noProof/>
          <w:sz w:val="24"/>
        </w:rPr>
        <w:t>Tekoälystä keskustellaan tällä hetkellä kaikkialla maailmassa ja monilla kansainvälisillä foorumeilla, kuten YK:ssa, G7:ssä tai G20-ryhmässä</w:t>
      </w:r>
      <w:r>
        <w:rPr>
          <w:rFonts w:ascii="Times New Roman" w:hAnsi="Times New Roman"/>
          <w:noProof/>
          <w:sz w:val="24"/>
          <w:vertAlign w:val="superscript"/>
        </w:rPr>
        <w:footnoteReference w:id="68"/>
      </w:r>
      <w:r>
        <w:rPr>
          <w:rFonts w:ascii="Times New Roman" w:hAnsi="Times New Roman"/>
          <w:noProof/>
          <w:sz w:val="24"/>
        </w:rPr>
        <w:t>, joten kansainvälinen yhteistyö on ratkaisevan tärkeää. Tekoälyn kehittäminen hyötyy kansainvälisestä yhteistyöstä erityisesti edistyneissä maissa, joilla on tutkimus- ja innovointivahvuuksia ja varaa investoida tekoälyyn. Kansainvälisten standardien yhteinen kehittäminen helpottaa tekoälyn käyttöönottoa ja hyväksyntää. Unioni edistää tekoälyä koskevia eettisiä ohjeita kansainvälisesti ja avaa vuoropuhelua ja yhteistyötä kaikkien niiden EU:n ulkopuolisten maiden ja kolmansien maiden sidosryhmien kanssa, jotka ovat halukkaita jakamaan samat arvot.</w:t>
      </w:r>
    </w:p>
    <w:p>
      <w:pPr>
        <w:spacing w:after="240" w:line="240" w:lineRule="auto"/>
        <w:jc w:val="both"/>
        <w:rPr>
          <w:rFonts w:ascii="Times New Roman" w:hAnsi="Times New Roman" w:cs="Times New Roman"/>
          <w:noProof/>
          <w:sz w:val="24"/>
          <w:szCs w:val="24"/>
        </w:rPr>
      </w:pPr>
      <w:r>
        <w:rPr>
          <w:rFonts w:ascii="Times New Roman" w:hAnsi="Times New Roman"/>
          <w:noProof/>
          <w:sz w:val="24"/>
        </w:rPr>
        <w:t>Jotta nämä ponnistelut onnistuisivat, jäsenvaltioiden ja unionin olisi kuitenkin pyrittävä yhdenmukaistamaan tekoälyä koskevia kahdenvälisiä toimia yksittäisten jäsenvaltioiden ja kolmansien maiden välillä sekä yhdistettävä voimansa, jotta tekoälyä voidaan kehittää vastuullisella tavalla maailmanlaajuisesti. Unionin on tässä asiassa puhuttava yhdellä äänellä kolmansille maille ja ylipäänsä koko muulle maailmalle. Synergiassa jäsenvaltioiden toimien kanssa EU:n olisi pyrittävä liittoutumaan myös sidosryhmien – teknologiayritysten, korkeakoulujen ja muiden osapuolten – kanssa, jotta voidaan osallistua maailmanlaajuisesti eri sidosryhmistä muodostuvaan yhteenliittymään vastuullisen tekoälyn turvaamiseksi.</w:t>
      </w:r>
    </w:p>
    <w:p>
      <w:pPr>
        <w:spacing w:after="240" w:line="240" w:lineRule="auto"/>
        <w:jc w:val="both"/>
        <w:rPr>
          <w:rFonts w:ascii="Times New Roman" w:hAnsi="Times New Roman" w:cs="Times New Roman"/>
          <w:b/>
          <w:noProof/>
          <w:sz w:val="24"/>
          <w:szCs w:val="24"/>
          <w:u w:val="single"/>
        </w:rPr>
      </w:pPr>
      <w:r>
        <w:rPr>
          <w:rFonts w:ascii="Times New Roman" w:hAnsi="Times New Roman"/>
          <w:noProof/>
          <w:sz w:val="24"/>
        </w:rPr>
        <w:t>Lisäksi unioni järjestää vuoden 2019 ensimmäisellä puoliskolla tekoälyä käsittelevän kansainvälisen ministerikokouksen, jonka tavoitteena on saada aikaan maailmanlaajuinen yhteisymmärrys tekoälyn eettisistä vaikutuksista. EU myös käyttää ulkopolitiikan välineitään työskennellessään kansainvälisten kumppanien kanssa sääntelyyn ja etiikkaan liittyvissä kysymyksissä. Jotkin jäsenvaltiot ehdottavat ilmastonmuutospaneelin kaltaista hallitustenvälistä prosessia. Kansainvälisen turvallisuusulottuvuuden osalta tekoälypolitiikka pohjautuu korkean edustajan työhön maailmanlaajuisessa teknologiapaneelissa (Global Tech Panel) sekä Yhdistyneissä Kansakunnissa ja muilla monenvälisillä foorumeilla.</w:t>
      </w:r>
    </w:p>
    <w:p>
      <w:pPr>
        <w:spacing w:after="240" w:line="240" w:lineRule="auto"/>
        <w:jc w:val="both"/>
        <w:rPr>
          <w:rFonts w:ascii="Times New Roman" w:hAnsi="Times New Roman" w:cs="Times New Roman"/>
          <w:b/>
          <w:noProof/>
          <w:sz w:val="24"/>
          <w:szCs w:val="24"/>
          <w:u w:val="single"/>
        </w:rPr>
      </w:pPr>
      <w:r>
        <w:rPr>
          <w:rFonts w:ascii="Times New Roman" w:hAnsi="Times New Roman"/>
          <w:noProof/>
          <w:sz w:val="24"/>
        </w:rPr>
        <w:t xml:space="preserve">Lopuksi todettakoon, että unioni tarjoaa asiantuntemustaan ja kohdennettua rahoitusta tekoälyn sisällyttämiseksi tiiviimmin </w:t>
      </w:r>
      <w:r>
        <w:rPr>
          <w:rFonts w:ascii="Times New Roman" w:hAnsi="Times New Roman"/>
          <w:b/>
          <w:noProof/>
          <w:sz w:val="24"/>
        </w:rPr>
        <w:t>kehitysyhteistyöpolitiikkaan</w:t>
      </w:r>
      <w:r>
        <w:rPr>
          <w:rFonts w:ascii="Times New Roman" w:hAnsi="Times New Roman"/>
          <w:noProof/>
          <w:sz w:val="24"/>
        </w:rPr>
        <w:t>. Tekoälyllä tulee olemaan huomattava vaikutus maailmanlaajuisiin haasteisiin ja kehitysyhteistyöpolitiikkaan.</w:t>
      </w:r>
      <w:r>
        <w:rPr>
          <w:rFonts w:ascii="Times New Roman" w:hAnsi="Times New Roman"/>
          <w:b/>
          <w:noProof/>
          <w:sz w:val="24"/>
        </w:rPr>
        <w:t xml:space="preserve"> </w:t>
      </w:r>
      <w:r>
        <w:rPr>
          <w:rFonts w:ascii="Times New Roman" w:hAnsi="Times New Roman"/>
          <w:noProof/>
          <w:sz w:val="24"/>
        </w:rPr>
        <w:t xml:space="preserve">Esimerkiksi tekoälyä hyödyntävällä täsmäviljelyllä voidaan vähentää torjunta-aineiden ja lannoitteiden käyttöä sekä vedenkulutusta, minkä vuoksi se on teknologiaa, joka sopii ihanteellisesti kehitysmaiden kasvavan väestön auttamiseen. Tekoälyä voidaan käyttää myös sääilmiöiden, ilmaston ja muiden luonnonilmiöiden mallintamiseen, minkä avulla paikallisväestöä voidaan esimerkiksi varoittaa äärimmäisistä sääolosuhteista tai uhkaavista katastrofeista, jotta niihin voidaan valmistautua ennalta. Tekoäly ja digitaaliteknologia voivat tukea kohtuuhintaisia korkean teknologian ratkaisuja, myös epävarmassa asemassa oleville ihmisille, kunnioittaen samalla eettisiä ja yksityisyyteen liittyviä kysymyksiä. </w:t>
      </w:r>
    </w:p>
    <w:tbl>
      <w:tblPr>
        <w:tblStyle w:val="TableGrid2"/>
        <w:tblW w:w="0" w:type="auto"/>
        <w:tblLook w:val="04A0" w:firstRow="1" w:lastRow="0" w:firstColumn="1" w:lastColumn="0" w:noHBand="0" w:noVBand="1"/>
      </w:tblPr>
      <w:tblGrid>
        <w:gridCol w:w="9288"/>
      </w:tblGrid>
      <w:tr>
        <w:tc>
          <w:tcPr>
            <w:tcW w:w="9288" w:type="dxa"/>
            <w:tcBorders>
              <w:top w:val="nil"/>
              <w:left w:val="nil"/>
              <w:bottom w:val="nil"/>
              <w:right w:val="nil"/>
            </w:tcBorders>
            <w:shd w:val="clear" w:color="auto" w:fill="DBE5F1" w:themeFill="accent1" w:themeFillTint="33"/>
          </w:tcPr>
          <w:p>
            <w:pPr>
              <w:spacing w:after="120"/>
              <w:jc w:val="both"/>
              <w:rPr>
                <w:rFonts w:ascii="Times New Roman" w:hAnsi="Times New Roman" w:cs="Times New Roman"/>
                <w:b/>
                <w:noProof/>
                <w:sz w:val="24"/>
                <w:szCs w:val="24"/>
                <w:u w:val="single"/>
              </w:rPr>
            </w:pPr>
            <w:r>
              <w:rPr>
                <w:rFonts w:ascii="Times New Roman" w:hAnsi="Times New Roman"/>
                <w:b/>
                <w:noProof/>
                <w:sz w:val="24"/>
                <w:u w:val="single"/>
              </w:rPr>
              <w:t>Kansainvälinen yhteistyö</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 xml:space="preserve">Unioni kääntyy </w:t>
            </w:r>
            <w:r>
              <w:rPr>
                <w:rFonts w:ascii="Times New Roman" w:hAnsi="Times New Roman"/>
                <w:b/>
                <w:noProof/>
                <w:sz w:val="24"/>
              </w:rPr>
              <w:t>kansainvälisten kumppaniensa</w:t>
            </w:r>
            <w:r>
              <w:rPr>
                <w:rFonts w:ascii="Times New Roman" w:hAnsi="Times New Roman"/>
                <w:noProof/>
                <w:sz w:val="24"/>
              </w:rPr>
              <w:t xml:space="preserve"> puoleen ja </w:t>
            </w:r>
            <w:r>
              <w:rPr>
                <w:rFonts w:ascii="Times New Roman" w:hAnsi="Times New Roman"/>
                <w:b/>
                <w:noProof/>
                <w:sz w:val="24"/>
              </w:rPr>
              <w:t>edistää tekoälyä koskevia eettisiä ohjeita</w:t>
            </w:r>
            <w:r>
              <w:rPr>
                <w:rFonts w:ascii="Times New Roman" w:hAnsi="Times New Roman"/>
                <w:noProof/>
                <w:sz w:val="24"/>
              </w:rPr>
              <w:t xml:space="preserve"> kansainvälisesti vuoden 2019 aikana.</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Jäsenvaltioita ja unionia kannustetaan lähentämään kansainvälisiä toimiaan tekoälyn alalla ja varmistamaan, että Eurooppa lähettää maailmalle johdonmukaisia viestejä.</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Unioni järjestää vuonna 2019 tekoälyä käsittelevän kansainvälisen ministerikokouksen, jonka tavoitteena on saada aikaan maailmanlaajuinen yhteisymmärrys tekoälyn eettisistä vaikutuksista.</w:t>
            </w:r>
            <w:r>
              <w:rPr>
                <w:rFonts w:ascii="Times New Roman" w:hAnsi="Times New Roman"/>
                <w:b/>
                <w:noProof/>
                <w:sz w:val="24"/>
              </w:rPr>
              <w:t xml:space="preserve"> </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 xml:space="preserve">Unioni tarjoaa asiantuntemustaan ja kohdennettua rahoitusta tekoälyn sisällyttämiseksi tiiviimmin </w:t>
            </w:r>
            <w:r>
              <w:rPr>
                <w:rFonts w:ascii="Times New Roman" w:hAnsi="Times New Roman"/>
                <w:b/>
                <w:noProof/>
                <w:sz w:val="24"/>
              </w:rPr>
              <w:t>kehitysyhteistyöpolitiikkaan</w:t>
            </w:r>
            <w:r>
              <w:rPr>
                <w:rFonts w:ascii="Times New Roman" w:hAnsi="Times New Roman"/>
                <w:noProof/>
                <w:sz w:val="24"/>
              </w:rPr>
              <w:t xml:space="preserve">. Erityistä huomiota kiinnitetään Välimeren eteläpuolisiin maihin ja Afrikkaan. </w:t>
            </w:r>
          </w:p>
        </w:tc>
      </w:tr>
    </w:tbl>
    <w:p>
      <w:pPr>
        <w:spacing w:after="240" w:line="240" w:lineRule="auto"/>
        <w:jc w:val="both"/>
        <w:rPr>
          <w:rFonts w:ascii="Times New Roman" w:hAnsi="Times New Roman" w:cs="Times New Roman"/>
          <w:noProof/>
          <w:sz w:val="24"/>
          <w:szCs w:val="24"/>
        </w:rPr>
      </w:pPr>
    </w:p>
    <w:p>
      <w:pPr>
        <w:ind w:left="360"/>
        <w:contextualSpacing/>
        <w:jc w:val="both"/>
        <w:rPr>
          <w:rFonts w:ascii="Times New Roman" w:hAnsi="Times New Roman" w:cs="Times New Roman"/>
          <w:noProof/>
          <w:sz w:val="24"/>
          <w:szCs w:val="24"/>
        </w:rPr>
      </w:pPr>
    </w:p>
    <w:p>
      <w:pPr>
        <w:ind w:left="360"/>
        <w:contextualSpacing/>
        <w:jc w:val="both"/>
        <w:rPr>
          <w:rFonts w:ascii="Times New Roman" w:hAnsi="Times New Roman" w:cs="Times New Roman"/>
          <w:b/>
          <w:noProof/>
          <w:color w:val="1F497D" w:themeColor="text2"/>
          <w:sz w:val="24"/>
          <w:szCs w:val="24"/>
        </w:rPr>
      </w:pPr>
    </w:p>
    <w:p>
      <w:pPr>
        <w:spacing w:after="240" w:line="240" w:lineRule="auto"/>
        <w:jc w:val="both"/>
        <w:rPr>
          <w:rFonts w:ascii="Times New Roman" w:hAnsi="Times New Roman" w:cs="Times New Roman"/>
          <w:b/>
          <w:noProof/>
          <w:sz w:val="24"/>
          <w:szCs w:val="24"/>
        </w:rPr>
      </w:pPr>
      <w:r>
        <w:rPr>
          <w:rFonts w:ascii="Times New Roman" w:hAnsi="Times New Roman"/>
          <w:b/>
          <w:noProof/>
          <w:sz w:val="24"/>
        </w:rPr>
        <w:t>Linkkejä:</w:t>
      </w:r>
    </w:p>
    <w:p>
      <w:pPr>
        <w:spacing w:after="240" w:line="240" w:lineRule="auto"/>
        <w:contextualSpacing/>
        <w:jc w:val="both"/>
        <w:rPr>
          <w:rFonts w:ascii="Times New Roman" w:hAnsi="Times New Roman" w:cs="Times New Roman"/>
          <w:b/>
          <w:noProof/>
        </w:rPr>
      </w:pPr>
      <w:r>
        <w:rPr>
          <w:rFonts w:ascii="Times New Roman" w:hAnsi="Times New Roman"/>
          <w:b/>
          <w:noProof/>
        </w:rPr>
        <w:t>Komission tiedonanto ”Tekoäly Euroopassa”</w:t>
      </w:r>
    </w:p>
    <w:p>
      <w:pPr>
        <w:spacing w:after="240" w:line="240" w:lineRule="auto"/>
        <w:jc w:val="both"/>
        <w:rPr>
          <w:rFonts w:ascii="Times New Roman" w:hAnsi="Times New Roman" w:cs="Times New Roman"/>
          <w:noProof/>
        </w:rPr>
      </w:pPr>
      <w:hyperlink r:id="rId20">
        <w:r>
          <w:rPr>
            <w:rFonts w:ascii="Times New Roman" w:hAnsi="Times New Roman"/>
            <w:noProof/>
            <w:u w:val="single"/>
          </w:rPr>
          <w:t>https://ec.europa.eu/digital-single-market/en/news/communication-artificial-intelligence-europe</w:t>
        </w:r>
      </w:hyperlink>
      <w:r>
        <w:rPr>
          <w:rFonts w:ascii="Times New Roman" w:hAnsi="Times New Roman"/>
          <w:noProof/>
          <w:u w:val="single"/>
        </w:rPr>
        <w:t xml:space="preserve"> </w:t>
      </w:r>
    </w:p>
    <w:p>
      <w:pPr>
        <w:spacing w:after="240" w:line="240" w:lineRule="auto"/>
        <w:contextualSpacing/>
        <w:jc w:val="both"/>
        <w:rPr>
          <w:rFonts w:ascii="Times New Roman" w:hAnsi="Times New Roman" w:cs="Times New Roman"/>
          <w:b/>
          <w:noProof/>
        </w:rPr>
      </w:pPr>
      <w:r>
        <w:rPr>
          <w:rFonts w:ascii="Times New Roman" w:hAnsi="Times New Roman"/>
          <w:b/>
          <w:noProof/>
        </w:rPr>
        <w:t xml:space="preserve">Julkilausuma tekoälyä koskevasta yhteistyöstä </w:t>
      </w:r>
    </w:p>
    <w:p>
      <w:pPr>
        <w:spacing w:after="240" w:line="240" w:lineRule="auto"/>
        <w:jc w:val="both"/>
        <w:rPr>
          <w:rFonts w:ascii="Times New Roman" w:hAnsi="Times New Roman" w:cs="Times New Roman"/>
          <w:noProof/>
        </w:rPr>
      </w:pPr>
      <w:hyperlink r:id="rId21">
        <w:r>
          <w:rPr>
            <w:rFonts w:ascii="Times New Roman" w:hAnsi="Times New Roman"/>
            <w:noProof/>
            <w:u w:val="single"/>
          </w:rPr>
          <w:t>https://ec.europa.eu/digital-single-market/en/news/eu-member-states-sign-cooperate-artificial-intelligence</w:t>
        </w:r>
      </w:hyperlink>
      <w:r>
        <w:rPr>
          <w:rFonts w:ascii="Times New Roman" w:hAnsi="Times New Roman"/>
          <w:noProof/>
        </w:rPr>
        <w:t>)</w:t>
      </w:r>
    </w:p>
    <w:p>
      <w:pPr>
        <w:spacing w:after="240" w:line="240" w:lineRule="auto"/>
        <w:contextualSpacing/>
        <w:jc w:val="both"/>
        <w:rPr>
          <w:rFonts w:ascii="Times New Roman" w:hAnsi="Times New Roman" w:cs="Times New Roman"/>
          <w:noProof/>
        </w:rPr>
      </w:pPr>
      <w:r>
        <w:rPr>
          <w:rFonts w:ascii="Times New Roman" w:hAnsi="Times New Roman"/>
          <w:b/>
          <w:noProof/>
        </w:rPr>
        <w:t>Tekoälyallianssi</w:t>
      </w:r>
    </w:p>
    <w:p>
      <w:pPr>
        <w:spacing w:after="240" w:line="240" w:lineRule="auto"/>
        <w:jc w:val="both"/>
        <w:rPr>
          <w:rFonts w:ascii="Times New Roman" w:hAnsi="Times New Roman" w:cs="Times New Roman"/>
          <w:noProof/>
          <w:u w:val="single"/>
        </w:rPr>
      </w:pPr>
      <w:hyperlink r:id="rId22">
        <w:r>
          <w:rPr>
            <w:rFonts w:ascii="Times New Roman" w:hAnsi="Times New Roman"/>
            <w:noProof/>
            <w:u w:val="single"/>
          </w:rPr>
          <w:t>https://ec.europa.eu/digital-single-market/en/european-ai-alliance</w:t>
        </w:r>
      </w:hyperlink>
    </w:p>
    <w:p>
      <w:pPr>
        <w:jc w:val="both"/>
        <w:rPr>
          <w:noProof/>
        </w:rPr>
      </w:pPr>
    </w:p>
    <w:sectPr>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486464"/>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Teollisuustekniikoita käsittelevä korkean tason ryhmä on suositellut, että Euroopan teollisuuden kannalta elintärkeän, monien alojen kehitystä vauhdittavan potentiaalinsa vuoksi tekoäly olisi nimettävä yhdeksi keskeisistä mahdollistavista teknologioista.</w:t>
      </w:r>
    </w:p>
    <w:p>
      <w:pPr>
        <w:pStyle w:val="FootnoteText"/>
        <w:ind w:left="284"/>
        <w:jc w:val="both"/>
      </w:pPr>
      <w:hyperlink r:id="rId1">
        <w:r>
          <w:rPr>
            <w:rStyle w:val="Hyperlink"/>
            <w:rFonts w:ascii="Times New Roman" w:hAnsi="Times New Roman"/>
          </w:rPr>
          <w:t>https://publications.europa.eu/en/publication-detail/-/publication/28e1c485-476a-11e8-be1d-01aa75ed71a1/language-en</w:t>
        </w:r>
      </w:hyperlink>
    </w:p>
  </w:footnote>
  <w:footnote w:id="3">
    <w:p>
      <w:pPr>
        <w:pStyle w:val="FootnoteText"/>
        <w:ind w:left="284" w:hanging="284"/>
        <w:jc w:val="both"/>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tab/>
      </w:r>
      <w:r>
        <w:rPr>
          <w:rFonts w:ascii="Times New Roman" w:hAnsi="Times New Roman"/>
        </w:rPr>
        <w:t>COM(2018) 237.</w:t>
      </w:r>
    </w:p>
  </w:footnote>
  <w:footnote w:id="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Kuten edellä mainitussa 25. huhtikuuta 2018 annetussa tiedonannossa todetaan, tekoälyllä tarkoitetaan järjestelmiä, jotka osoittavat älykästä käyttäytymistä analysoimalla ympäristöään ja toimimalla osittain itsenäisesti tiettyjen tavoitteiden saavuttamiseksi. Tekoälyjärjestelmät voivat olla täysin ohjelmistopohjaisia ja toimia virtuaalimaailmassa (esimerkiksi äänikomennoilla ohjattavat digiapulaiset, kuva-analyysiohjelmistot, hakuohjelmistot, puheen- ja kasvojentunnistusohjelmistot) tai laitteistojen osia (esimerkiksi edistyneet robotit, autonomiset autot, miehittämättömät ilma-alukset (droonit) tai esineiden internetin sovellukset). Tekoäly avustaa meitä päivittäin esimerkiksi kielenkääntämisessä, tekstittämisessä ja roskapostin suodattamisessa. Monet tekoälyteknologiat tarvitsevat dataa suorituskykynsä parantamiseksi. Kun ne ovat saavuttaneet hyvän suorituskyvyn, ne voivat auttaa päätöksenteossa ja automatisoida sen samalla alalla. Tekoälyjärjestelmä voidaan esimerkiksi kouluttaa ja tämän jälkeen käyttää sitä havaitsemaan kyberhyökkäyksiä kyseessä olevasta verkosta tai järjestelmästä saatavan datan pohjalta.</w:t>
      </w:r>
    </w:p>
  </w:footnote>
  <w:footnote w:id="5">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hyperlink r:id="rId2">
        <w:r>
          <w:rPr>
            <w:rStyle w:val="Hyperlink"/>
            <w:rFonts w:ascii="Times New Roman" w:hAnsi="Times New Roman"/>
          </w:rPr>
          <w:t>https://www.consilium.europa.eu/en/press/press-releases/2018/06/29/20180628-euco-conclusions-final/</w:t>
        </w:r>
      </w:hyperlink>
    </w:p>
  </w:footnote>
  <w:footnote w:id="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Vuoden 2018 Digital Day -tapahtuma järjestettiin Brysselissä 10. huhtikuuta, ja siinä pyrittiin saavuttamaan jäsenvaltioiden yhteisiä sitoumuksia suhteessa Euroopan digitaaliseen tulevaisuuteen. Tekoälyä koskeva julistus allekirjoitettiin vapaaehtoisen ja osallistavan prosessin kautta.</w:t>
      </w:r>
    </w:p>
  </w:footnote>
  <w:footnote w:id="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Ks. puheenjohtajavaltion ilmoitus </w:t>
      </w:r>
      <w:hyperlink r:id="rId3">
        <w:r>
          <w:rPr>
            <w:rFonts w:ascii="Times New Roman" w:hAnsi="Times New Roman"/>
          </w:rPr>
          <w:t>11972</w:t>
        </w:r>
      </w:hyperlink>
      <w:r>
        <w:rPr>
          <w:rFonts w:ascii="Times New Roman" w:hAnsi="Times New Roman"/>
        </w:rPr>
        <w:t xml:space="preserve">/18, 14. syyskuuta 2018. </w:t>
      </w:r>
    </w:p>
  </w:footnote>
  <w:footnote w:id="8">
    <w:p>
      <w:pPr>
        <w:pStyle w:val="FootnoteText"/>
        <w:ind w:left="284" w:hanging="284"/>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Kaikki budjettiluvut, jotka liittyvät EU:n suunniteltuun osuuteen vuodesta 2020 eteenpäin, edellyttävät, että asianomaiset päätöksentekijät hyväksyvät oikeusperustan, työohjelmat ja vuotuiset talousarviot.</w:t>
      </w:r>
    </w:p>
  </w:footnote>
  <w:footnote w:id="9">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Kaikissa näissä toimissa on noudatettava EU:n kilpailu- ja valtiontukisääntöjä.</w:t>
      </w:r>
    </w:p>
  </w:footnote>
  <w:footnote w:id="10">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Verkkoon liitettyä ja automatisoitua liikkuvuutta koskevassa tiedonannossa tunnustetaan muun muassa tekoälyn kehittymisestä saatavat hyödyt, jotka avaavat uusia aloja liiketoiminnan kehittämiselle ja tasoittavat tietä uusille liikkuvuuspalveluille, jotka tekevät liikenteestä turvallisempaa, helpommin käytettävää ja kestävämpää.</w:t>
      </w:r>
    </w:p>
  </w:footnote>
  <w:footnote w:id="1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630.</w:t>
      </w:r>
    </w:p>
  </w:footnote>
  <w:footnote w:id="12">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Esim. EU:n omistama maailmanlaajuinen satelliittinavigointijärjestelmä Galileo.</w:t>
      </w:r>
    </w:p>
  </w:footnote>
  <w:footnote w:id="13">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https://europa.eu/european-union/about-eu/agencies/ecsel_en</w:t>
        </w:r>
      </w:hyperlink>
    </w:p>
  </w:footnote>
  <w:footnote w:id="14">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5">
        <w:r>
          <w:rPr>
            <w:rStyle w:val="Hyperlink"/>
            <w:rFonts w:ascii="Times New Roman" w:hAnsi="Times New Roman"/>
          </w:rPr>
          <w:t>https://ec.europa.eu/digital-single-market/en/blogposts/eurohpc-joint-undertaking-looking-ahead-2019-2020-and-beyond</w:t>
        </w:r>
      </w:hyperlink>
    </w:p>
  </w:footnote>
  <w:footnote w:id="15">
    <w:p>
      <w:pPr>
        <w:pStyle w:val="FootnoteText"/>
        <w:ind w:left="284" w:hanging="284"/>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w:t>
      </w:r>
      <w:r>
        <w:rPr>
          <w:lang w:val="en-GB"/>
        </w:rPr>
        <w:tab/>
      </w:r>
      <w:r>
        <w:rPr>
          <w:rFonts w:ascii="Times New Roman" w:hAnsi="Times New Roman"/>
          <w:lang w:val="en-GB"/>
        </w:rPr>
        <w:t xml:space="preserve">Duch-Brown et al (2017), The economics of ownership, access and trade in digital data. Joint Research Centre Digital Economy Working Paper 2017-01. </w:t>
      </w:r>
      <w:hyperlink r:id="rId6">
        <w:r>
          <w:rPr>
            <w:rStyle w:val="Hyperlink"/>
            <w:rFonts w:ascii="Times New Roman" w:hAnsi="Times New Roman"/>
            <w:lang w:val="en-GB"/>
          </w:rPr>
          <w:t>https://ec.europa.eu/jrc/en/publication/eur-scientific-and-technical-research-reports/economics-ownership-access-and-trade-digital-data</w:t>
        </w:r>
      </w:hyperlink>
    </w:p>
  </w:footnote>
  <w:footnote w:id="16">
    <w:p>
      <w:pPr>
        <w:pStyle w:val="FootnoteText"/>
        <w:ind w:left="284" w:hanging="284"/>
        <w:rPr>
          <w:lang w:val="en-GB"/>
        </w:rPr>
      </w:pPr>
      <w:r>
        <w:rPr>
          <w:rStyle w:val="FootnoteReference"/>
        </w:rPr>
        <w:footnoteRef/>
      </w:r>
      <w:r>
        <w:rPr>
          <w:lang w:val="en-GB"/>
        </w:rPr>
        <w:t xml:space="preserve"> </w:t>
      </w:r>
      <w:r>
        <w:rPr>
          <w:lang w:val="en-GB"/>
        </w:rPr>
        <w:tab/>
      </w:r>
      <w:r>
        <w:rPr>
          <w:rStyle w:val="Hyperlink"/>
          <w:lang w:val="en-GB"/>
        </w:rPr>
        <w:t>https://ec.europa.eu/digital-single-market/en/news/appointment-members-high-level-expert-group-impact-digital-transformation-eu-labour-markets</w:t>
      </w:r>
    </w:p>
  </w:footnote>
  <w:footnote w:id="17">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435 ja COM(2018) 436.</w:t>
      </w:r>
    </w:p>
  </w:footnote>
  <w:footnote w:id="18">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434.</w:t>
      </w:r>
    </w:p>
  </w:footnote>
  <w:footnote w:id="19">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Viidellä alueella on tekoälyyn liittyviä painopisteitä älykkään erikoistumisen strategioissaan, ja tekoälyllä voi olla merkitystä kansallisten tai alueellisten älykkään erikostumisen strategioiden teollisuuden digitalisaatioon liittyvissä toimissa Euroopan aluekehitysrahaston vuoden 2020 jälkeisissä ohjelmissa. Nämä viisi aluetta ovat Niedersachsen [DE], Pohjois-Savo [FI], Łódzkie [PL], Luoteis-Romania [RO] ja Koillis-Romania [RO]. Ks: </w:t>
      </w:r>
      <w:hyperlink r:id="rId7">
        <w:r>
          <w:rPr>
            <w:rStyle w:val="Hyperlink"/>
            <w:rFonts w:ascii="Times New Roman" w:hAnsi="Times New Roman"/>
          </w:rPr>
          <w:t>http://s3platform.jrc.ec.europa.eu/map</w:t>
        </w:r>
      </w:hyperlink>
      <w:r>
        <w:rPr>
          <w:rFonts w:ascii="Times New Roman" w:hAnsi="Times New Roman"/>
        </w:rPr>
        <w:t>. Tekoälystrategioita on myös muilla Euroopan alueilla, esimerkiksi Belgiassa.</w:t>
      </w:r>
    </w:p>
  </w:footnote>
  <w:footnote w:id="20">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Yhteisen tutkimuskeskuksen kehittämä AI Watch -seurantaväline edistää tekoälyyn liittyvän kehityksen seurantaa ja tarjoaa joukon analyyseja, joita tarvitaan tukemaan eurooppalaisen tekoälyaloitteen toteuttamista. Se kehittää muun muassa tekoälyindeksejä, joissa käsitellään kaikkia poliittisen päätöksenteon kannalta merkityksellisiä tekijöitä. Nämä tiedot asetetaan saataville AI Watch -portaalissa: </w:t>
      </w:r>
      <w:hyperlink r:id="rId8">
        <w:r>
          <w:rPr>
            <w:rStyle w:val="Hyperlink"/>
            <w:rFonts w:ascii="Times New Roman" w:hAnsi="Times New Roman"/>
          </w:rPr>
          <w:t>https://ec.europa.eu/knowledge4policy/ai-watch_en</w:t>
        </w:r>
      </w:hyperlink>
    </w:p>
  </w:footnote>
  <w:footnote w:id="2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Mukaan lukien sosiaalisen osallisuuden ja työllisyyden, sähköisen hallinnon, sähköisen terveydenhuollon, keskeisten mahdollistavien teknologioiden, osaamisen, teollisuuden muutosprosessin ja älykkään erikoistumisen aloilla.</w:t>
      </w:r>
    </w:p>
  </w:footnote>
  <w:footnote w:id="2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Jäsenvaltioita kannustetaan analysoimaan digitaalisia ulottuvuuksia, mukaan lukien tekoäly, kun älykkään erikoistumisen strategioita tarkastellaan uudelleen Euroopan aluekehitysrahaston tulevia investointeja ajatellen. </w:t>
      </w:r>
    </w:p>
  </w:footnote>
  <w:footnote w:id="2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Euroopan teollisuuden digitalisointia ja tekoälyä käsittelevän jäsenvaltioiden ryhmän nimittämät edustajat.</w:t>
      </w:r>
    </w:p>
  </w:footnote>
  <w:footnote w:id="2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Olemassa olevien ryhmien pohjalta ja asiaan liittyvien eri EU:n välineiden erityistä hallintorakennetta noudattaen.</w:t>
      </w:r>
    </w:p>
  </w:footnote>
  <w:footnote w:id="25">
    <w:p>
      <w:pPr>
        <w:pStyle w:val="FootnoteText"/>
        <w:ind w:left="284" w:hanging="284"/>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EUCO 9/18 – 28. kesäkuuta 2018.</w:t>
      </w:r>
    </w:p>
  </w:footnote>
  <w:footnote w:id="2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Esimerkiksi Euroopan tutkimusneuvosto on rahoittanut yli 150:tä Euroopan johtavien tutkijoiden toteuttamaa huipputason tekoälyhanketta, joiden aiheina ovat olleet muun muassa syväoppiminen, neuroverkot, ennustaminen, konekääntäminen, luonnollisen kielen käsittely, konenäkö, robotiikka, keinotekoiset toimijat ja lääketieteellinen kuvantaminen sekä hallinnointi ja standardit.</w:t>
      </w:r>
    </w:p>
  </w:footnote>
  <w:footnote w:id="27">
    <w:p>
      <w:pPr>
        <w:pStyle w:val="FootnoteText"/>
        <w:ind w:left="284" w:hanging="284"/>
        <w:jc w:val="both"/>
      </w:pPr>
      <w:r>
        <w:rPr>
          <w:rStyle w:val="FootnoteReference"/>
          <w:rFonts w:ascii="Times New Roman" w:hAnsi="Times New Roman"/>
        </w:rPr>
        <w:footnoteRef/>
      </w:r>
      <w:r>
        <w:rPr>
          <w:rFonts w:ascii="Times New Roman" w:hAnsi="Times New Roman"/>
          <w:color w:val="000000"/>
          <w:shd w:val="clear" w:color="auto" w:fill="FFFFFF"/>
        </w:rPr>
        <w:t xml:space="preserve"> </w:t>
      </w:r>
      <w:r>
        <w:tab/>
      </w:r>
      <w:r>
        <w:rPr>
          <w:rFonts w:ascii="Times New Roman" w:hAnsi="Times New Roman"/>
          <w:color w:val="000000"/>
          <w:shd w:val="clear" w:color="auto" w:fill="FFFFFF"/>
        </w:rPr>
        <w:t xml:space="preserve">Tämä antaisi myös yrityksille </w:t>
      </w:r>
      <w:r>
        <w:rPr>
          <w:rFonts w:ascii="Times New Roman" w:hAnsi="Times New Roman"/>
        </w:rPr>
        <w:t xml:space="preserve">mahdollisuuden parantaa turvallisuusvalmiuksiaan. </w:t>
      </w:r>
      <w:r>
        <w:rPr>
          <w:rFonts w:ascii="Times New Roman" w:hAnsi="Times New Roman"/>
          <w:color w:val="000000"/>
          <w:shd w:val="clear" w:color="auto" w:fill="FFFFFF"/>
        </w:rPr>
        <w:t xml:space="preserve">Komissio keskustelee turvallisten yhteiskuntien ohjelmakomitea kanssa asiaa koskevien toimien sisällyttämisestä Horisontti 2020 </w:t>
      </w:r>
      <w:r>
        <w:rPr>
          <w:rFonts w:ascii="Times New Roman" w:hAnsi="Times New Roman"/>
          <w:color w:val="000000"/>
          <w:shd w:val="clear" w:color="auto" w:fill="FFFFFF"/>
        </w:rPr>
        <w:noBreakHyphen/>
        <w:t>ohjelman vuoden 2020 työohjelmaan.</w:t>
      </w:r>
    </w:p>
  </w:footnote>
  <w:footnote w:id="28">
    <w:p>
      <w:pPr>
        <w:spacing w:after="0" w:line="240" w:lineRule="auto"/>
        <w:ind w:left="284" w:hanging="284"/>
        <w:jc w:val="both"/>
      </w:pPr>
      <w:r>
        <w:rPr>
          <w:rStyle w:val="FootnoteReference"/>
        </w:rPr>
        <w:footnoteRef/>
      </w:r>
      <w:r>
        <w:t xml:space="preserve"> </w:t>
      </w:r>
      <w:r>
        <w:tab/>
      </w:r>
      <w:r>
        <w:rPr>
          <w:rFonts w:ascii="Times New Roman" w:hAnsi="Times New Roman"/>
          <w:color w:val="000000"/>
          <w:sz w:val="20"/>
          <w:shd w:val="clear" w:color="auto" w:fill="FFFFFF"/>
        </w:rPr>
        <w:t>Tekoälyn huippuosaamiskeskus on tutkimuskeskus, jolla on vahvaa asiantuntemusta tekoälyn alalta. Tällaisten keskusten päätarkoituksena on edistää kehitystä tieteen ja teknologian erityisaloilla.</w:t>
      </w:r>
    </w:p>
  </w:footnote>
  <w:footnote w:id="29">
    <w:p>
      <w:pPr>
        <w:spacing w:after="0" w:line="240" w:lineRule="auto"/>
        <w:ind w:left="284" w:hanging="284"/>
        <w:jc w:val="both"/>
        <w:rPr>
          <w:rFonts w:ascii="Times New Roman" w:hAnsi="Times New Roman"/>
          <w:color w:val="000000"/>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olor w:val="000000"/>
          <w:sz w:val="20"/>
        </w:rPr>
        <w:t>Testauksen ja kokeilun vertailurakenne on teknologiainfrastruktuuri, jolla on erityisosaamista ja kokemusta tietyn alan kypsän teknologian testauksesta todellisissa tai lähes todellisuutta vastaavissa olosuhteissa (älykäs sairaala, puhdastilat, älykäs kaupunki, koetila, verkkoon liitetyn ja automatisoidun autoilun käytävä jne.).</w:t>
      </w:r>
    </w:p>
    <w:p>
      <w:pPr>
        <w:pStyle w:val="FootnoteText"/>
      </w:pPr>
    </w:p>
  </w:footnote>
  <w:footnote w:id="30">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9">
        <w:r>
          <w:rPr>
            <w:rStyle w:val="Hyperlink"/>
            <w:rFonts w:ascii="Times New Roman" w:hAnsi="Times New Roman"/>
          </w:rPr>
          <w:t>https://ec.europa.eu/digital-single-market/en/news/new-5g-cross-border-corridors-connected-and-automated-mobility-baltics-will-allow-testing</w:t>
        </w:r>
      </w:hyperlink>
    </w:p>
  </w:footnote>
  <w:footnote w:id="3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ECSEL-yhteisyritys toimii kolmenvälisellä mallilla, jossa komissio, jäsenvaltiot ja teollisuus investoivat yhdessä tutkimuksen ja innovoinnin tukemiseen, mukaan lukien suuren mittakaavan demonstrointi- ja pilottihankkeet mikroelektroniikan, pienten järjestelmien integroinnin ja sisäänrakennettujen ohjelmistojen aloilla, keskittyen erityisesti integrointihankkeisiin. </w:t>
      </w:r>
    </w:p>
  </w:footnote>
  <w:footnote w:id="3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kern w:val="36"/>
        </w:rPr>
        <w:t>NUTS2-alueilla tarkoitetaan tilastollisten alueyksiköiden nimikkeistössä perusalueita aluepolitiikan soveltamista varten.</w:t>
      </w:r>
    </w:p>
  </w:footnote>
  <w:footnote w:id="33">
    <w:p>
      <w:pPr>
        <w:pStyle w:val="FootnoteText"/>
        <w:ind w:left="284" w:hanging="284"/>
        <w:jc w:val="both"/>
        <w:rPr>
          <w:rStyle w:val="Hyperlink"/>
          <w:rFonts w:ascii="Times New Roman" w:hAnsi="Times New Roman" w:cs="Times New Roman"/>
          <w:color w:val="000000"/>
          <w:lang w:eastAsia="en-GB"/>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Tietojenkäsittelyssä ja -hallinnassa on tällä hetkellä yli 80 000 ammattilaisen vaje (yksi 20:tä tutkijaa kohti) </w:t>
      </w:r>
      <w:hyperlink r:id="rId10">
        <w:r>
          <w:rPr>
            <w:rStyle w:val="Hyperlink"/>
            <w:rFonts w:ascii="Times New Roman" w:hAnsi="Times New Roman"/>
          </w:rPr>
          <w:t>http://www.pocbigdata.eu/monitorICTonlinevacancies/general_info/</w:t>
        </w:r>
      </w:hyperlink>
    </w:p>
  </w:footnote>
  <w:footnote w:id="34">
    <w:p>
      <w:pPr>
        <w:pStyle w:val="FootnoteText"/>
        <w:ind w:left="284" w:hanging="284"/>
        <w:jc w:val="both"/>
        <w:rPr>
          <w:rStyle w:val="Hyperlink"/>
          <w:rFonts w:ascii="Times New Roman" w:hAnsi="Times New Roman" w:cs="Times New Roman"/>
          <w:color w:val="000000"/>
          <w:u w:val="none"/>
          <w:lang w:val="en-US" w:eastAsia="en-GB"/>
        </w:rPr>
      </w:pPr>
      <w:r>
        <w:rPr>
          <w:rStyle w:val="Hyperlink"/>
          <w:rFonts w:ascii="Times New Roman" w:hAnsi="Times New Roman"/>
          <w:color w:val="000000"/>
          <w:u w:val="none"/>
          <w:vertAlign w:val="superscript"/>
        </w:rPr>
        <w:footnoteRef/>
      </w:r>
      <w:r>
        <w:rPr>
          <w:rStyle w:val="Hyperlink"/>
          <w:rFonts w:ascii="Times New Roman" w:hAnsi="Times New Roman"/>
          <w:color w:val="000000"/>
          <w:u w:val="none"/>
        </w:rPr>
        <w:t xml:space="preserve"> </w:t>
      </w:r>
      <w:r>
        <w:tab/>
      </w:r>
      <w:r>
        <w:rPr>
          <w:rStyle w:val="Hyperlink"/>
          <w:rFonts w:ascii="Times New Roman" w:hAnsi="Times New Roman"/>
          <w:color w:val="000000"/>
          <w:u w:val="none"/>
        </w:rPr>
        <w:t xml:space="preserve">”Vuonna 2018 noin kahdessa kolmasosassa EU:n jäsenvaltioista on alle 10 maisteriohjelmaa, joissa keskitytään vahvasti tekoälyyn. Vaikka tekoälyä koskevat opintomoduulit yleistyvät suhteellisesti ottaen eri koulutusaloilla, silti vain kolmasosassa EU:n jäsenvaltioista on yli 20 maisteriohjelmaa, joihin sisältyy vähintään yksi tekoälymoduuli.” </w:t>
      </w:r>
      <w:r>
        <w:rPr>
          <w:rStyle w:val="Hyperlink"/>
          <w:rFonts w:ascii="Times New Roman" w:hAnsi="Times New Roman"/>
          <w:color w:val="000000"/>
          <w:u w:val="none"/>
          <w:lang w:val="en-GB"/>
        </w:rPr>
        <w:t>López-Cobo et al. (2018), Academic offer and demand for advanced profiles in the EU. Artificial Intelligence, High Performance Computing and Cybersecurity. Joint Research Centre Scientific Report.</w:t>
      </w:r>
    </w:p>
  </w:footnote>
  <w:footnote w:id="35">
    <w:p>
      <w:pPr>
        <w:pStyle w:val="FootnoteText"/>
        <w:ind w:left="284" w:hanging="284"/>
        <w:jc w:val="both"/>
        <w:rPr>
          <w:rStyle w:val="Hyperlink"/>
          <w:rFonts w:ascii="Times New Roman" w:hAnsi="Times New Roman" w:cs="Times New Roman"/>
          <w:color w:val="000000"/>
          <w:u w:val="none"/>
          <w:lang w:val="en-US" w:eastAsia="en-GB"/>
        </w:rPr>
      </w:pPr>
      <w:r>
        <w:rPr>
          <w:rStyle w:val="Hyperlink"/>
          <w:rFonts w:ascii="Times New Roman" w:hAnsi="Times New Roman"/>
          <w:color w:val="000000"/>
          <w:u w:val="none"/>
          <w:vertAlign w:val="superscript"/>
        </w:rPr>
        <w:footnoteRef/>
      </w:r>
      <w:r>
        <w:rPr>
          <w:rStyle w:val="Hyperlink"/>
          <w:rFonts w:ascii="Times New Roman" w:hAnsi="Times New Roman"/>
          <w:color w:val="000000"/>
          <w:u w:val="none"/>
          <w:vertAlign w:val="superscript"/>
          <w:lang w:val="en-US"/>
        </w:rPr>
        <w:t xml:space="preserve"> </w:t>
      </w:r>
      <w:r>
        <w:rPr>
          <w:lang w:val="en-US"/>
        </w:rPr>
        <w:tab/>
      </w:r>
      <w:hyperlink r:id="rId11">
        <w:r>
          <w:rPr>
            <w:rStyle w:val="Hyperlink"/>
            <w:rFonts w:ascii="Times New Roman" w:hAnsi="Times New Roman"/>
            <w:lang w:val="en-US"/>
          </w:rPr>
          <w:t>https://jointventure.org/images/stories/pdf/index2018.pdf</w:t>
        </w:r>
      </w:hyperlink>
    </w:p>
  </w:footnote>
  <w:footnote w:id="36">
    <w:p>
      <w:pPr>
        <w:pStyle w:val="FootnoteText"/>
        <w:ind w:left="284" w:hanging="284"/>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22.</w:t>
      </w:r>
    </w:p>
  </w:footnote>
  <w:footnote w:id="37">
    <w:p>
      <w:pPr>
        <w:pStyle w:val="FootnoteText"/>
        <w:ind w:left="284" w:hanging="284"/>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hyperlink r:id="rId12">
        <w:r>
          <w:rPr>
            <w:rStyle w:val="Hyperlink"/>
            <w:rFonts w:ascii="Times New Roman" w:hAnsi="Times New Roman"/>
            <w:lang w:val="pt-PT"/>
          </w:rPr>
          <w:t>https://ec.europa.eu/digital-single-market/en/digital-opportunity-traineeships-boosting-digital-skills-job</w:t>
        </w:r>
      </w:hyperlink>
    </w:p>
  </w:footnote>
  <w:footnote w:id="38">
    <w:p>
      <w:pPr>
        <w:pStyle w:val="FootnoteText"/>
        <w:ind w:left="284" w:hanging="284"/>
        <w:jc w:val="both"/>
        <w:rPr>
          <w:rStyle w:val="Hyperlink"/>
          <w:rFonts w:ascii="Times New Roman" w:hAnsi="Times New Roman" w:cs="Times New Roman"/>
          <w:color w:val="000000"/>
          <w:u w:val="none"/>
          <w:lang w:val="pt-PT" w:eastAsia="en-GB"/>
        </w:rPr>
      </w:pPr>
      <w:r>
        <w:rPr>
          <w:rStyle w:val="FootnoteReference"/>
        </w:rPr>
        <w:footnoteRef/>
      </w:r>
      <w:r>
        <w:rPr>
          <w:rStyle w:val="FootnoteReference"/>
          <w:lang w:val="pt-PT"/>
        </w:rPr>
        <w:t xml:space="preserve"> </w:t>
      </w:r>
      <w:r>
        <w:rPr>
          <w:lang w:val="pt-PT"/>
        </w:rPr>
        <w:tab/>
      </w:r>
      <w:hyperlink r:id="rId13">
        <w:r>
          <w:rPr>
            <w:rStyle w:val="Hyperlink"/>
            <w:rFonts w:ascii="Times New Roman" w:hAnsi="Times New Roman"/>
            <w:lang w:val="pt-PT"/>
          </w:rPr>
          <w:t>http://ec.europa.eu/social/BlobServlet?docId=16962&amp;langId=en</w:t>
        </w:r>
      </w:hyperlink>
    </w:p>
  </w:footnote>
  <w:footnote w:id="39">
    <w:p>
      <w:pPr>
        <w:pStyle w:val="FootnoteText"/>
        <w:ind w:left="284" w:hanging="284"/>
        <w:jc w:val="both"/>
        <w:rPr>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270.</w:t>
      </w:r>
    </w:p>
  </w:footnote>
  <w:footnote w:id="40">
    <w:p>
      <w:pPr>
        <w:pStyle w:val="FootnoteText"/>
        <w:ind w:left="284" w:hanging="284"/>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hyperlink r:id="rId14">
        <w:r>
          <w:rPr>
            <w:rStyle w:val="Hyperlink"/>
            <w:rFonts w:ascii="Times New Roman" w:hAnsi="Times New Roman"/>
            <w:lang w:val="pt-PT"/>
          </w:rPr>
          <w:t>https://ec.europa.eu/research/mariecurieactions/</w:t>
        </w:r>
      </w:hyperlink>
    </w:p>
  </w:footnote>
  <w:footnote w:id="41">
    <w:p>
      <w:pPr>
        <w:pStyle w:val="FootnoteText"/>
        <w:ind w:left="284" w:hanging="284"/>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Direktiivi 2007/2/EY.</w:t>
      </w:r>
    </w:p>
  </w:footnote>
  <w:footnote w:id="42">
    <w:p>
      <w:pPr>
        <w:pStyle w:val="FootnoteText"/>
        <w:ind w:left="284" w:hanging="284"/>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 xml:space="preserve">Cetl V., Tomas R., Kotsev A., de Lima V.N., Smith R.S., Jobst M. (2019) Establishing Common Ground Through INSPIRE: The Legally-Driven European Spatial Data Infrastructure. </w:t>
      </w:r>
      <w:r>
        <w:rPr>
          <w:rFonts w:ascii="Times New Roman" w:hAnsi="Times New Roman"/>
          <w:lang w:val="en-GB"/>
        </w:rPr>
        <w:t>Döllner J., Jobst M., Schmitz P. (eds) Service-Oriented Mapping. Lecture Notes in Geoinformation and Cartography. Springer, Cham.</w:t>
      </w:r>
    </w:p>
  </w:footnote>
  <w:footnote w:id="43">
    <w:p>
      <w:pPr>
        <w:pStyle w:val="FootnoteText"/>
        <w:ind w:left="284" w:hanging="284"/>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w:t>
      </w:r>
      <w:r>
        <w:rPr>
          <w:lang w:val="en-GB"/>
        </w:rPr>
        <w:tab/>
      </w:r>
      <w:hyperlink r:id="rId15">
        <w:r>
          <w:rPr>
            <w:rStyle w:val="Hyperlink"/>
            <w:rFonts w:ascii="Times New Roman" w:hAnsi="Times New Roman"/>
            <w:lang w:val="en-GB"/>
          </w:rPr>
          <w:t>https://ec.europa.eu/digital-single-market/en/business-business-trading-practices</w:t>
        </w:r>
      </w:hyperlink>
      <w:r>
        <w:rPr>
          <w:rFonts w:ascii="Times New Roman" w:hAnsi="Times New Roman"/>
          <w:lang w:val="en-GB"/>
        </w:rPr>
        <w:t xml:space="preserve"> </w:t>
      </w:r>
    </w:p>
  </w:footnote>
  <w:footnote w:id="44">
    <w:p>
      <w:pPr>
        <w:pStyle w:val="FootnoteText"/>
        <w:ind w:left="284" w:hanging="284"/>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w:t>
      </w:r>
      <w:r>
        <w:rPr>
          <w:lang w:val="en-GB"/>
        </w:rPr>
        <w:tab/>
      </w:r>
      <w:hyperlink r:id="rId16">
        <w:r>
          <w:rPr>
            <w:rStyle w:val="Hyperlink"/>
            <w:rFonts w:ascii="Times New Roman" w:hAnsi="Times New Roman"/>
            <w:lang w:val="en-GB"/>
          </w:rPr>
          <w:t>https://eur-lex.europa.eu/legal-content/EN/ALL/?uri=COM:2018:0232:FIN</w:t>
        </w:r>
      </w:hyperlink>
    </w:p>
  </w:footnote>
  <w:footnote w:id="4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Ks. eurooppalaisten avoimen tieteen pilvipalvelujen käytänteet. Tavoitteena on edistää datan löydettävyyttä ja saatavuutta koskevia parhaita käytäntöjä (FAIR-data), </w:t>
      </w:r>
      <w:hyperlink r:id="rId17">
        <w:r>
          <w:rPr>
            <w:rStyle w:val="Hyperlink"/>
            <w:rFonts w:ascii="Times New Roman" w:hAnsi="Times New Roman"/>
          </w:rPr>
          <w:t>https://ec.europa.eu/research/openscience/index.cfm?pg=open-science-cloud</w:t>
        </w:r>
      </w:hyperlink>
    </w:p>
  </w:footnote>
  <w:footnote w:id="46">
    <w:p>
      <w:pPr>
        <w:pStyle w:val="FootnoteText"/>
        <w:ind w:left="284" w:hanging="284"/>
        <w:rPr>
          <w:rStyle w:val="Hyperlink"/>
        </w:rPr>
      </w:pPr>
      <w:r>
        <w:rPr>
          <w:rStyle w:val="FootnoteReference"/>
          <w:rFonts w:ascii="Times New Roman" w:hAnsi="Times New Roman"/>
        </w:rPr>
        <w:footnoteRef/>
      </w:r>
      <w:r>
        <w:rPr>
          <w:rFonts w:ascii="Times New Roman" w:hAnsi="Times New Roman"/>
        </w:rPr>
        <w:t xml:space="preserve"> </w:t>
      </w:r>
      <w:r>
        <w:tab/>
      </w:r>
      <w:r>
        <w:rPr>
          <w:rStyle w:val="Hyperlink"/>
        </w:rPr>
        <w:t>https://ec.europa.eu/digital-single-market/en/european-legislation-reuse-public-sector-information</w:t>
      </w:r>
    </w:p>
  </w:footnote>
  <w:footnote w:id="4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r>
        <w:rPr>
          <w:rStyle w:val="Hyperlink"/>
          <w:rFonts w:ascii="Times New Roman" w:hAnsi="Times New Roman"/>
          <w:color w:val="auto"/>
          <w:u w:val="none"/>
        </w:rPr>
        <w:t>Sovellusrajapinta helpottaa julkishallinnon datan jakamista ja käyttöä jäsenvaltioiden välillä. Tätä varten kehitetään yhteisiä lähestymistapoja, joita olisi edistettävä kokeiluilla ja sovellusrajapintoja koskevalla soveltavalla tutkimuksella. Yhteinen tutkimuskeskus aloitti vuonna 2018 tähän liittyvän tutkimuksen (APIs4DGov). Sen on tarkoitus olla osallistava</w:t>
      </w:r>
      <w:r>
        <w:rPr>
          <w:rFonts w:ascii="Times New Roman" w:hAnsi="Times New Roman"/>
        </w:rPr>
        <w:t xml:space="preserve"> ja hyödyntää eurooppalaisten julkishallintojen työtä kaikilla tasoilla, ja se edistää Verkkojen Eurooppa -välineen televiestintäohjelmassa hyväksyttyjen eurooppalaisten yhteentoimivuusperiaatteiden ja moduulilähestymistavan toteuttamista. </w:t>
      </w:r>
      <w:hyperlink r:id="rId18">
        <w:r>
          <w:rPr>
            <w:rStyle w:val="Hyperlink"/>
            <w:rFonts w:ascii="Times New Roman" w:hAnsi="Times New Roman"/>
          </w:rPr>
          <w:t>https://ec.europa.eu/digital-single-market/en/news/new-study-digital-government-apis-apis4dgov-project</w:t>
        </w:r>
      </w:hyperlink>
      <w:r>
        <w:rPr>
          <w:rFonts w:ascii="Times New Roman" w:hAnsi="Times New Roman"/>
        </w:rPr>
        <w:t xml:space="preserve"> </w:t>
      </w:r>
    </w:p>
  </w:footnote>
  <w:footnote w:id="48">
    <w:p>
      <w:pPr>
        <w:pStyle w:val="FootnoteText"/>
        <w:ind w:left="284" w:hanging="284"/>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Terveydenhuollon alalla datan jakaminen on elintärkeää esimerkiksi tekoälyä ja ihmisen ja koneen rajapintaa käsittelevän aihekohtaisen älykkään erikoistumisen foorumin puitteissa. Siihen osallistuvat Emilia-Romagna (IT), Trenton autonominen maakunta (IT), Baden-Württemberg (DE), Navarra (ES), Noord-Brabant (NL) ja Örebro Län (SE). </w:t>
      </w:r>
      <w:r>
        <w:rPr>
          <w:rFonts w:ascii="Times New Roman" w:hAnsi="Times New Roman"/>
          <w:lang w:val="pl-PL"/>
        </w:rPr>
        <w:t xml:space="preserve">Ks: </w:t>
      </w:r>
      <w:hyperlink r:id="rId19">
        <w:r>
          <w:rPr>
            <w:rStyle w:val="Hyperlink"/>
            <w:rFonts w:ascii="Times New Roman" w:hAnsi="Times New Roman"/>
            <w:lang w:val="pl-PL"/>
          </w:rPr>
          <w:t>http://s3platform.jrc.ec.europa.eu/artificial-intelligence</w:t>
        </w:r>
      </w:hyperlink>
      <w:r>
        <w:rPr>
          <w:rFonts w:ascii="Times New Roman" w:hAnsi="Times New Roman"/>
          <w:lang w:val="pl-PL"/>
        </w:rPr>
        <w:t xml:space="preserve"> </w:t>
      </w:r>
    </w:p>
  </w:footnote>
  <w:footnote w:id="49">
    <w:p>
      <w:pPr>
        <w:pStyle w:val="FootnoteText"/>
        <w:ind w:left="284" w:hanging="284"/>
        <w:rPr>
          <w:lang w:val="pl-PL"/>
        </w:rPr>
      </w:pPr>
      <w:r>
        <w:rPr>
          <w:rStyle w:val="FootnoteReference"/>
          <w:rFonts w:ascii="Times New Roman" w:hAnsi="Times New Roman"/>
        </w:rPr>
        <w:footnoteRef/>
      </w:r>
      <w:r>
        <w:rPr>
          <w:rFonts w:ascii="Times New Roman" w:hAnsi="Times New Roman"/>
          <w:lang w:val="pl-PL"/>
        </w:rPr>
        <w:t xml:space="preserve"> </w:t>
      </w:r>
      <w:r>
        <w:rPr>
          <w:lang w:val="pl-PL"/>
        </w:rPr>
        <w:tab/>
      </w:r>
      <w:hyperlink r:id="rId20">
        <w:r>
          <w:rPr>
            <w:rStyle w:val="Hyperlink"/>
            <w:rFonts w:ascii="Times New Roman" w:hAnsi="Times New Roman"/>
            <w:lang w:val="pl-PL"/>
          </w:rPr>
          <w:t>https://www.europeandataportal.eu/en/homepage</w:t>
        </w:r>
      </w:hyperlink>
    </w:p>
  </w:footnote>
  <w:footnote w:id="50">
    <w:p>
      <w:pPr>
        <w:pStyle w:val="FootnoteText"/>
        <w:ind w:left="284" w:hanging="284"/>
        <w:rPr>
          <w:rFonts w:ascii="Times New Roman" w:hAnsi="Times New Roman" w:cs="Times New Roman"/>
          <w:lang w:val="pl-PL"/>
        </w:rPr>
      </w:pPr>
      <w:r>
        <w:rPr>
          <w:rStyle w:val="FootnoteReference"/>
          <w:rFonts w:ascii="Times New Roman" w:hAnsi="Times New Roman"/>
        </w:rPr>
        <w:footnoteRef/>
      </w:r>
      <w:r>
        <w:rPr>
          <w:rFonts w:ascii="Times New Roman" w:hAnsi="Times New Roman"/>
          <w:lang w:val="pl-PL"/>
        </w:rPr>
        <w:t xml:space="preserve"> </w:t>
      </w:r>
      <w:r>
        <w:rPr>
          <w:lang w:val="pl-PL"/>
        </w:rPr>
        <w:tab/>
      </w:r>
      <w:hyperlink r:id="rId21">
        <w:r>
          <w:rPr>
            <w:rStyle w:val="Hyperlink"/>
            <w:rFonts w:ascii="Times New Roman" w:hAnsi="Times New Roman"/>
            <w:lang w:val="pl-PL"/>
          </w:rPr>
          <w:t>https://ec.europa.eu/digital-single-market/en/news/eu-countries-will-cooperate-linking-genomic-databases-across-borders</w:t>
        </w:r>
      </w:hyperlink>
    </w:p>
  </w:footnote>
  <w:footnote w:id="5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Komissio on jo tehnyt jäsenvaltioiden kanssa puitekumppanuussopimuksen, jonka tarkoituksena on osarahoittaa Copernicuksen ja Galileon avaruuspohjaisen datan käyttöä ja valtavirtaistamista yhdessä jäsenvaltioilta ja muista lähteistä saatavan datan kanssa.</w:t>
      </w:r>
    </w:p>
  </w:footnote>
  <w:footnote w:id="5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ICT-13-2018-2019 </w:t>
      </w:r>
      <w:hyperlink r:id="rId22">
        <w:r>
          <w:rPr>
            <w:rStyle w:val="Hyperlink"/>
            <w:rFonts w:ascii="Times New Roman" w:hAnsi="Times New Roman"/>
          </w:rPr>
          <w:t>H2020 -työohjelma 2018-2020 Tieto- ja viestintäteknologia</w:t>
        </w:r>
      </w:hyperlink>
      <w:r>
        <w:rPr>
          <w:rFonts w:ascii="Times New Roman" w:hAnsi="Times New Roman"/>
        </w:rPr>
        <w:t xml:space="preserve"> </w:t>
      </w:r>
    </w:p>
  </w:footnote>
  <w:footnote w:id="5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3">
        <w:r>
          <w:rPr>
            <w:rStyle w:val="Hyperlink"/>
            <w:rFonts w:ascii="Times New Roman" w:hAnsi="Times New Roman"/>
          </w:rPr>
          <w:t>https://eur-lex.europa.eu/legal-content/EN/ALL/?uri=COM:2018:0232:FIN</w:t>
        </w:r>
      </w:hyperlink>
    </w:p>
  </w:footnote>
  <w:footnote w:id="5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4">
        <w:r>
          <w:rPr>
            <w:rStyle w:val="Hyperlink"/>
            <w:rFonts w:ascii="Times New Roman" w:hAnsi="Times New Roman"/>
          </w:rPr>
          <w:t>https://eur-lex.europa.eu/legal-content/EN/TXT/?qid=1539766272141&amp;uri=CELEX%3A52018SC0125</w:t>
        </w:r>
      </w:hyperlink>
      <w:r>
        <w:rPr>
          <w:rFonts w:ascii="Times New Roman" w:hAnsi="Times New Roman"/>
        </w:rPr>
        <w:t xml:space="preserve"> </w:t>
      </w:r>
    </w:p>
    <w:p>
      <w:pPr>
        <w:pStyle w:val="FootnoteText"/>
        <w:jc w:val="both"/>
      </w:pPr>
    </w:p>
  </w:footnote>
  <w:footnote w:id="5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5">
        <w:r>
          <w:rPr>
            <w:rStyle w:val="Hyperlink"/>
            <w:rFonts w:ascii="Times New Roman" w:hAnsi="Times New Roman"/>
          </w:rPr>
          <w:t>https://ec.europa.eu/digital-single-market/en/high-level-expert-group-artificial-intelligence</w:t>
        </w:r>
      </w:hyperlink>
      <w:r>
        <w:rPr>
          <w:rFonts w:ascii="Times New Roman" w:hAnsi="Times New Roman"/>
        </w:rPr>
        <w:t xml:space="preserve">. Tämä pohjautuu luonnontieteiden ja uusien teknologioiden etiikkaa käsittelevän eurooppalaisen työryhmän työhön. </w:t>
      </w:r>
      <w:hyperlink r:id="rId26">
        <w:r>
          <w:rPr>
            <w:rStyle w:val="Hyperlink"/>
            <w:rFonts w:ascii="Times New Roman" w:hAnsi="Times New Roman"/>
          </w:rPr>
          <w:t>http://ec.europa.eu/research/ege/pdf/ege_ai_statement_2018.pdf</w:t>
        </w:r>
      </w:hyperlink>
    </w:p>
  </w:footnote>
  <w:footnote w:id="5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7">
        <w:r>
          <w:rPr>
            <w:rStyle w:val="Hyperlink"/>
            <w:rFonts w:ascii="Times New Roman" w:hAnsi="Times New Roman"/>
          </w:rPr>
          <w:t>https://ec.europa.eu/digital-single-market/en/european-ai-alliance</w:t>
        </w:r>
      </w:hyperlink>
    </w:p>
  </w:footnote>
  <w:footnote w:id="57">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hyperlink r:id="rId28">
        <w:r>
          <w:rPr>
            <w:rStyle w:val="Hyperlink"/>
            <w:rFonts w:ascii="Times New Roman" w:hAnsi="Times New Roman"/>
          </w:rPr>
          <w:t>https://ec.europa.eu/digital-single-market/en/eu-cybersecurity-certification-framework</w:t>
        </w:r>
      </w:hyperlink>
    </w:p>
  </w:footnote>
  <w:footnote w:id="58">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9">
        <w:r>
          <w:rPr>
            <w:rStyle w:val="Hyperlink"/>
            <w:rFonts w:ascii="Times New Roman" w:hAnsi="Times New Roman"/>
          </w:rPr>
          <w:t>https://ec.europa.eu/info/research-and-innovation/law-and-regulations/identifying-barriers-innovation_en</w:t>
        </w:r>
      </w:hyperlink>
    </w:p>
  </w:footnote>
  <w:footnote w:id="59">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Nykyisen sääntelykehyksen, kuten toukokuussa 2018 voimaan tulleen yleisen tietosuoja-asetuksen, pohjalta.</w:t>
      </w:r>
    </w:p>
  </w:footnote>
  <w:footnote w:id="60">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Sääntelylliset lähestymistavat </w:t>
      </w:r>
      <w:hyperlink r:id="rId30">
        <w:r>
          <w:rPr>
            <w:rStyle w:val="Hyperlink"/>
            <w:rFonts w:ascii="Times New Roman" w:hAnsi="Times New Roman"/>
          </w:rPr>
          <w:t>yleisessä tietosuoja-asetuksessa</w:t>
        </w:r>
      </w:hyperlink>
      <w:r>
        <w:rPr>
          <w:rFonts w:ascii="Times New Roman" w:hAnsi="Times New Roman"/>
        </w:rPr>
        <w:t xml:space="preserve">, </w:t>
      </w:r>
      <w:hyperlink r:id="rId31">
        <w:r>
          <w:rPr>
            <w:rStyle w:val="Hyperlink"/>
            <w:rFonts w:ascii="Times New Roman" w:hAnsi="Times New Roman"/>
          </w:rPr>
          <w:t>rahoitusvälineiden markkinoita koskevassa direktiivissä</w:t>
        </w:r>
      </w:hyperlink>
      <w:r>
        <w:rPr>
          <w:rFonts w:ascii="Times New Roman" w:hAnsi="Times New Roman"/>
        </w:rPr>
        <w:t xml:space="preserve">, </w:t>
      </w:r>
      <w:hyperlink r:id="rId32">
        <w:r>
          <w:rPr>
            <w:rStyle w:val="Hyperlink"/>
            <w:rFonts w:ascii="Times New Roman" w:hAnsi="Times New Roman"/>
          </w:rPr>
          <w:t>asetusehdotuksessa oikeudenmukaisuuden ja avoimuuden edistämisestä verkossa toimivien välityspalvelujen yrityskäyttäjiä varten</w:t>
        </w:r>
      </w:hyperlink>
      <w:r>
        <w:t xml:space="preserve"> </w:t>
      </w:r>
      <w:r>
        <w:rPr>
          <w:rFonts w:ascii="Times New Roman" w:hAnsi="Times New Roman"/>
        </w:rPr>
        <w:t xml:space="preserve">ja ehdotetussa </w:t>
      </w:r>
      <w:hyperlink r:id="rId33">
        <w:r>
          <w:rPr>
            <w:rStyle w:val="Hyperlink"/>
            <w:rFonts w:ascii="Times New Roman" w:hAnsi="Times New Roman"/>
          </w:rPr>
          <w:t>komission suosituksessa toimenpiteistä laittoman verkkosisällön torjumiseksi</w:t>
        </w:r>
      </w:hyperlink>
      <w:r>
        <w:rPr>
          <w:rFonts w:ascii="Times New Roman" w:hAnsi="Times New Roman"/>
        </w:rPr>
        <w:t xml:space="preserve"> muodostavat mallin mielekkäälle läpinäkyvyyden ja riskinarvioinnille ja riskinhallinnalle. Komissio tutkii edelleen (Euroopan parlamentin AlgoAware-pilottihankkeen tuella) sellaisten huolta aiheuttavien kysymysten ja mahdollisuuksien tutkimista, jotka liittyvät algoritmeihin perustuvaan päätöksentekoon verkkoalustojen ympäristössä, jossa erilaiset lähestymistavat läpinäkyvyyteen, oikeudenmukaisuuteen ja vastuuvelvollisuuteen voivat lisätä luottamusta. Analyysissä tarkastellaan huolellisesti voimassa olevan sääntelykehyksen tasapainoa, uusien sääntöjen noudattamisen valvontaa, teknisiä, yhteiskunnallisia ja markkinoiden kehityssuuntauksia sekä politiikan ja sääntelyn välineitä. </w:t>
      </w:r>
    </w:p>
  </w:footnote>
  <w:footnote w:id="61">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Yhteisen tutkimuskeskuksen HUMAINT-hankkeen tavoitteena on ymmärtää tekoälyn vaikutusta ihmisten käyttäytymiseen. Siinä keskitytään ennen kaikkea kognitiivisiin ja päätöksentekoon liittyviin valmiuksiin (</w:t>
      </w:r>
      <w:hyperlink r:id="rId34">
        <w:r>
          <w:rPr>
            <w:rStyle w:val="Hyperlink"/>
            <w:rFonts w:ascii="Times New Roman" w:hAnsi="Times New Roman"/>
          </w:rPr>
          <w:t>https://ec.europa.eu/jrc/communities/community/humaint</w:t>
        </w:r>
      </w:hyperlink>
      <w:r>
        <w:rPr>
          <w:rFonts w:ascii="Times New Roman" w:hAnsi="Times New Roman"/>
        </w:rPr>
        <w:t>).</w:t>
      </w:r>
    </w:p>
  </w:footnote>
  <w:footnote w:id="62">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Vaikka sääntelyn virtuaalinen testaaminen on tehokas ja joskus välttämätön väline, muissa olosuhteissa innovointia voidaan tukea pehmeämmillä lähestymistavoilla, kuten innovointikeskuksilla ja politiikkalaboratorioilla, jotka antavat neuvoja ja osallistuvat enemmän tai vähemmän käytännöllisesti.</w:t>
      </w:r>
    </w:p>
  </w:footnote>
  <w:footnote w:id="6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Valituilla aloilla, joilla laki antaa sääntelyviranomaiselle riittävästi liikkumavaraa.</w:t>
      </w:r>
    </w:p>
  </w:footnote>
  <w:footnote w:id="64">
    <w:p>
      <w:pPr>
        <w:pStyle w:val="FootnoteText"/>
        <w:ind w:left="284" w:hanging="284"/>
        <w:rPr>
          <w:rFonts w:ascii="Times New Roman" w:hAnsi="Times New Roman" w:cs="Times New Roman"/>
        </w:rPr>
      </w:pPr>
      <w:r>
        <w:rPr>
          <w:rStyle w:val="FootnoteReference"/>
        </w:rPr>
        <w:footnoteRef/>
      </w:r>
      <w:r>
        <w:t xml:space="preserve"> </w:t>
      </w:r>
      <w:r>
        <w:tab/>
      </w:r>
      <w:hyperlink r:id="rId35">
        <w:r>
          <w:rPr>
            <w:rStyle w:val="Hyperlink"/>
            <w:rFonts w:ascii="Times New Roman" w:hAnsi="Times New Roman"/>
          </w:rPr>
          <w:t>https://www.sitra.fi/en/news/artificial-intelligence-based-systems-help-achieve-better-services-cost-savings-social-health-sector/</w:t>
        </w:r>
      </w:hyperlink>
      <w:r>
        <w:rPr>
          <w:rFonts w:ascii="Times New Roman" w:hAnsi="Times New Roman"/>
        </w:rPr>
        <w:t xml:space="preserve"> </w:t>
      </w:r>
    </w:p>
  </w:footnote>
  <w:footnote w:id="6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Euroopan komissio toteuttaa lupauksiaan käytännössä tukemalla Tekoäly Euroopassa -ohjelmassa tekoälyratkaisujen käyttöönottoa Euroopan laajuisissa järjestelmissä EU:n keskeisten politiikan alojen tukemiseksi yhdessä jäsenvaltioiden kanssa.</w:t>
      </w:r>
    </w:p>
  </w:footnote>
  <w:footnote w:id="66">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Toinen esimerkki on AI Watch -palvelun puitteissa suunniteltu metodologian kehittäminen niiden riskien ja mahdollisuuksien sekä edistävien tekijöiden ja esteiden tunnistamiseksi, joita liittyy tekoälyn käyttöön julkisissa palveluissa. AI Watch tarjoaa näköalan julkisia palveluja tukevien tekoälyvälineiden käyttöön esittelemällä tarkoituksenmukaisimpia esimerkkejä ensisijaisista julkisista palveluista. Analyysin tulosten perusteella tehtävänä on laatia suosituksia siitä, miten hallinnon alan tekoälyjärjestelmiä ja -ratkaisuja voitaisiin kehittää edelleen. Esimerkkinä voidaan mainita myös Euroopan komission ja jäsenvaltioiden yhteisinnovaatioaloitteet, jotka koskevat tekoälypohjaisten ratkaisujen käyttöönottoa älykkäiden julkisten palvelujen edistämiseksi.</w:t>
      </w:r>
    </w:p>
  </w:footnote>
  <w:footnote w:id="67">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Esim. ennakoivaan oikeudenkäyttöön perustuvat ratkaisut ja oikeusteknologiset LegalTech -sovellukset.</w:t>
      </w:r>
    </w:p>
  </w:footnote>
  <w:footnote w:id="68">
    <w:p>
      <w:pPr>
        <w:pStyle w:val="FootnoteText"/>
        <w:ind w:left="284" w:hanging="284"/>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ISO/IEC JTC1/SC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87A"/>
    <w:multiLevelType w:val="hybridMultilevel"/>
    <w:tmpl w:val="D62AB8D0"/>
    <w:lvl w:ilvl="0" w:tplc="2A9AE2B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450BC4"/>
    <w:multiLevelType w:val="hybridMultilevel"/>
    <w:tmpl w:val="19C4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031A3"/>
    <w:multiLevelType w:val="hybridMultilevel"/>
    <w:tmpl w:val="E430895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7630271"/>
    <w:multiLevelType w:val="hybridMultilevel"/>
    <w:tmpl w:val="B97E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C93DD9"/>
    <w:multiLevelType w:val="hybridMultilevel"/>
    <w:tmpl w:val="D87CB3D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C7470B0"/>
    <w:multiLevelType w:val="hybridMultilevel"/>
    <w:tmpl w:val="23EA46B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nsid w:val="0E20055A"/>
    <w:multiLevelType w:val="hybridMultilevel"/>
    <w:tmpl w:val="E528F44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0EE818ED"/>
    <w:multiLevelType w:val="hybridMultilevel"/>
    <w:tmpl w:val="BDF8686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E419A9"/>
    <w:multiLevelType w:val="hybridMultilevel"/>
    <w:tmpl w:val="46386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4220DA7"/>
    <w:multiLevelType w:val="hybridMultilevel"/>
    <w:tmpl w:val="E39A1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AF32592"/>
    <w:multiLevelType w:val="hybridMultilevel"/>
    <w:tmpl w:val="07A6A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CCA242B"/>
    <w:multiLevelType w:val="hybridMultilevel"/>
    <w:tmpl w:val="8C74C2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D6413A"/>
    <w:multiLevelType w:val="hybridMultilevel"/>
    <w:tmpl w:val="10C4A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F8021D8"/>
    <w:multiLevelType w:val="hybridMultilevel"/>
    <w:tmpl w:val="306884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D9062F"/>
    <w:multiLevelType w:val="hybridMultilevel"/>
    <w:tmpl w:val="DB280B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25392985"/>
    <w:multiLevelType w:val="hybridMultilevel"/>
    <w:tmpl w:val="F3BC2902"/>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717" w:hanging="360"/>
      </w:pPr>
      <w:rPr>
        <w:rFonts w:ascii="Wingdings" w:hAnsi="Wingdings" w:hint="default"/>
      </w:rPr>
    </w:lvl>
    <w:lvl w:ilvl="2" w:tplc="08090005">
      <w:start w:val="1"/>
      <w:numFmt w:val="bullet"/>
      <w:lvlText w:val=""/>
      <w:lvlJc w:val="left"/>
      <w:pPr>
        <w:ind w:left="1437" w:hanging="360"/>
      </w:pPr>
      <w:rPr>
        <w:rFonts w:ascii="Wingdings" w:hAnsi="Wingdings" w:hint="default"/>
      </w:rPr>
    </w:lvl>
    <w:lvl w:ilvl="3" w:tplc="0809000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16">
    <w:nsid w:val="25597DF6"/>
    <w:multiLevelType w:val="hybridMultilevel"/>
    <w:tmpl w:val="1D406D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2922377E"/>
    <w:multiLevelType w:val="hybridMultilevel"/>
    <w:tmpl w:val="1292D6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27311B"/>
    <w:multiLevelType w:val="hybridMultilevel"/>
    <w:tmpl w:val="D0A61192"/>
    <w:lvl w:ilvl="0" w:tplc="0809000F">
      <w:start w:val="1"/>
      <w:numFmt w:val="decimal"/>
      <w:lvlText w:val="%1."/>
      <w:lvlJc w:val="left"/>
      <w:pPr>
        <w:ind w:left="1080" w:hanging="360"/>
      </w:pPr>
      <w:rPr>
        <w:rFonts w:hint="default"/>
      </w:rPr>
    </w:lvl>
    <w:lvl w:ilvl="1" w:tplc="08090015">
      <w:start w:val="1"/>
      <w:numFmt w:val="upperLetter"/>
      <w:lvlText w:val="%2."/>
      <w:lvlJc w:val="left"/>
      <w:pPr>
        <w:ind w:left="501"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4445B07"/>
    <w:multiLevelType w:val="hybridMultilevel"/>
    <w:tmpl w:val="DE2E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740EA0"/>
    <w:multiLevelType w:val="hybridMultilevel"/>
    <w:tmpl w:val="F3BE73E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0250164"/>
    <w:multiLevelType w:val="hybridMultilevel"/>
    <w:tmpl w:val="23EA46B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3">
    <w:nsid w:val="49656E92"/>
    <w:multiLevelType w:val="hybridMultilevel"/>
    <w:tmpl w:val="3398C6CE"/>
    <w:lvl w:ilvl="0" w:tplc="303A9DE8">
      <w:numFmt w:val="bullet"/>
      <w:lvlText w:val="-"/>
      <w:lvlJc w:val="left"/>
      <w:pPr>
        <w:ind w:left="420" w:hanging="360"/>
      </w:pPr>
      <w:rPr>
        <w:rFonts w:ascii="Times New Roman" w:eastAsiaTheme="minorHAnsi" w:hAnsi="Times New Roman"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4">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9A2B13"/>
    <w:multiLevelType w:val="hybridMultilevel"/>
    <w:tmpl w:val="C2D01618"/>
    <w:lvl w:ilvl="0" w:tplc="F80C88A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54003ED2"/>
    <w:multiLevelType w:val="hybridMultilevel"/>
    <w:tmpl w:val="A1D0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220A67"/>
    <w:multiLevelType w:val="hybridMultilevel"/>
    <w:tmpl w:val="AA5874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A77682"/>
    <w:multiLevelType w:val="hybridMultilevel"/>
    <w:tmpl w:val="7B004AF8"/>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E2C00C3"/>
    <w:multiLevelType w:val="hybridMultilevel"/>
    <w:tmpl w:val="6B3AEB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nsid w:val="6B3403DD"/>
    <w:multiLevelType w:val="hybridMultilevel"/>
    <w:tmpl w:val="AA98239C"/>
    <w:lvl w:ilvl="0" w:tplc="0809000D">
      <w:start w:val="1"/>
      <w:numFmt w:val="bullet"/>
      <w:lvlText w:val=""/>
      <w:lvlJc w:val="left"/>
      <w:pPr>
        <w:ind w:left="1437" w:hanging="360"/>
      </w:pPr>
      <w:rPr>
        <w:rFonts w:ascii="Wingdings" w:hAnsi="Wingdings"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1">
    <w:nsid w:val="6D4360B1"/>
    <w:multiLevelType w:val="hybridMultilevel"/>
    <w:tmpl w:val="23EA46B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2">
    <w:nsid w:val="6DE66134"/>
    <w:multiLevelType w:val="hybridMultilevel"/>
    <w:tmpl w:val="47E8DB4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BB1A46"/>
    <w:multiLevelType w:val="hybridMultilevel"/>
    <w:tmpl w:val="9A0891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nsid w:val="71E41B22"/>
    <w:multiLevelType w:val="hybridMultilevel"/>
    <w:tmpl w:val="45228A54"/>
    <w:lvl w:ilvl="0" w:tplc="4720F4F0">
      <w:start w:val="1"/>
      <w:numFmt w:val="lowerRoman"/>
      <w:lvlText w:val="(%1)"/>
      <w:lvlJc w:val="left"/>
      <w:pPr>
        <w:ind w:left="1440" w:hanging="720"/>
      </w:pPr>
      <w:rPr>
        <w:rFonts w:ascii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21E4462"/>
    <w:multiLevelType w:val="hybridMultilevel"/>
    <w:tmpl w:val="3594B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6C77766"/>
    <w:multiLevelType w:val="hybridMultilevel"/>
    <w:tmpl w:val="0DFAA1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7D94599C"/>
    <w:multiLevelType w:val="hybridMultilevel"/>
    <w:tmpl w:val="1DD6258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24"/>
  </w:num>
  <w:num w:numId="4">
    <w:abstractNumId w:val="19"/>
  </w:num>
  <w:num w:numId="5">
    <w:abstractNumId w:val="32"/>
  </w:num>
  <w:num w:numId="6">
    <w:abstractNumId w:val="37"/>
  </w:num>
  <w:num w:numId="7">
    <w:abstractNumId w:val="21"/>
  </w:num>
  <w:num w:numId="8">
    <w:abstractNumId w:val="1"/>
  </w:num>
  <w:num w:numId="9">
    <w:abstractNumId w:val="36"/>
  </w:num>
  <w:num w:numId="10">
    <w:abstractNumId w:val="17"/>
  </w:num>
  <w:num w:numId="11">
    <w:abstractNumId w:val="30"/>
  </w:num>
  <w:num w:numId="12">
    <w:abstractNumId w:val="7"/>
  </w:num>
  <w:num w:numId="13">
    <w:abstractNumId w:val="27"/>
  </w:num>
  <w:num w:numId="14">
    <w:abstractNumId w:val="13"/>
  </w:num>
  <w:num w:numId="15">
    <w:abstractNumId w:val="37"/>
  </w:num>
  <w:num w:numId="16">
    <w:abstractNumId w:val="3"/>
  </w:num>
  <w:num w:numId="17">
    <w:abstractNumId w:val="23"/>
  </w:num>
  <w:num w:numId="18">
    <w:abstractNumId w:val="11"/>
  </w:num>
  <w:num w:numId="19">
    <w:abstractNumId w:val="4"/>
  </w:num>
  <w:num w:numId="20">
    <w:abstractNumId w:val="2"/>
  </w:num>
  <w:num w:numId="21">
    <w:abstractNumId w:val="34"/>
  </w:num>
  <w:num w:numId="22">
    <w:abstractNumId w:val="8"/>
  </w:num>
  <w:num w:numId="23">
    <w:abstractNumId w:val="26"/>
  </w:num>
  <w:num w:numId="24">
    <w:abstractNumId w:val="28"/>
  </w:num>
  <w:num w:numId="25">
    <w:abstractNumId w:val="25"/>
  </w:num>
  <w:num w:numId="26">
    <w:abstractNumId w:val="35"/>
  </w:num>
  <w:num w:numId="27">
    <w:abstractNumId w:val="10"/>
  </w:num>
  <w:num w:numId="28">
    <w:abstractNumId w:val="9"/>
  </w:num>
  <w:num w:numId="29">
    <w:abstractNumId w:val="14"/>
  </w:num>
  <w:num w:numId="30">
    <w:abstractNumId w:val="29"/>
  </w:num>
  <w:num w:numId="31">
    <w:abstractNumId w:val="33"/>
  </w:num>
  <w:num w:numId="32">
    <w:abstractNumId w:val="1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6"/>
  </w:num>
  <w:num w:numId="37">
    <w:abstractNumId w:val="5"/>
  </w:num>
  <w:num w:numId="38">
    <w:abstractNumId w:val="31"/>
  </w:num>
  <w:num w:numId="39">
    <w:abstractNumId w:val="0"/>
  </w:num>
  <w:num w:numId="40">
    <w:abstractNumId w:val="21"/>
  </w:num>
  <w:num w:numId="41">
    <w:abstractNumId w:val="12"/>
  </w:num>
  <w:num w:numId="42">
    <w:abstractNumId w:val="20"/>
  </w:num>
  <w:num w:numId="43">
    <w:abstractNumId w:val="2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G.E1">
    <w15:presenceInfo w15:providerId="None" w15:userId="SG.E1"/>
  </w15:person>
  <w15:person w15:author="SARYUSZ-WOLSKI Wojciech (SG)">
    <w15:presenceInfo w15:providerId="None" w15:userId="SARYUSZ-WOLSKI Wojciech (SG)"/>
  </w15:person>
  <w15:person w15:author="ORSSICH Irina (CNECT)">
    <w15:presenceInfo w15:providerId="None" w15:userId="ORSSICH Irina (CNECT)"/>
  </w15:person>
  <w15:person w15:author="BUHR Carl-Christian (CAB-GABRIEL)">
    <w15:presenceInfo w15:providerId="None" w15:userId="BUHR Carl-Christian (CAB-GABR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revisionView w:markup="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ACCOMPAGNANT.CP" w:val="asiakirjaan"/>
    <w:docVar w:name="LW_ANNEX_NBR_FIRST" w:val="1"/>
    <w:docVar w:name="LW_ANNEX_NBR_LAST" w:val="1"/>
    <w:docVar w:name="LW_ANNEX_UNIQUE" w:val="1"/>
    <w:docVar w:name="LW_CORRIGENDUM" w:val="&lt;UNUSED&gt;"/>
    <w:docVar w:name="LW_COVERPAGE_EXISTS" w:val="True"/>
    <w:docVar w:name="LW_COVERPAGE_GUID" w:val="927AA665-109F-4B24-AFF0-9748B8608ECE"/>
    <w:docVar w:name="LW_COVERPAGE_TYPE" w:val="1"/>
    <w:docVar w:name="LW_CROSSREFERENCE" w:val="&lt;UNUSED&gt;"/>
    <w:docVar w:name="LW_DocType" w:val="NORMAL"/>
    <w:docVar w:name="LW_EMISSION" w:val="7.12.2018"/>
    <w:docVar w:name="LW_EMISSION_ISODATE" w:val="2018-12-07"/>
    <w:docVar w:name="LW_EMISSION_LOCATION" w:val="BRX"/>
    <w:docVar w:name="LW_EMISSION_PREFIX" w:val="Bryssel "/>
    <w:docVar w:name="LW_EMISSION_SUFFIX" w:val=" "/>
    <w:docVar w:name="LW_ID_DOCTYPE_NONLW" w:val="CP-039"/>
    <w:docVar w:name="LW_LANGUE" w:val="FI"/>
    <w:docVar w:name="LW_LEVEL_OF_SENSITIVITY" w:val="Standard treatment"/>
    <w:docVar w:name="LW_NOM.INST" w:val="EUROOPAN KOMISSIO"/>
    <w:docVar w:name="LW_NOM.INST_JOINTDOC" w:val="&lt;EMPTY&gt;"/>
    <w:docVar w:name="LW_OBJETACTEPRINCIPAL.CP" w:val="Koordinoitu tekoälysuunnitelma"/>
    <w:docVar w:name="LW_PART_NBR" w:val="1"/>
    <w:docVar w:name="LW_PART_NBR_TOTAL" w:val="1"/>
    <w:docVar w:name="LW_REF.INST.NEW" w:val="COM"/>
    <w:docVar w:name="LW_REF.INST.NEW_ADOPTED" w:val="final"/>
    <w:docVar w:name="LW_REF.INST.NEW_TEXT" w:val="(2018) 7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LIITE_x000b_"/>
    <w:docVar w:name="LW_TYPEACTEPRINCIPAL.CP" w:val="KOMISSION TIEDONANTO EUROOPAN PARLAMENTILLE, EUROOPPA-NEUVOSTOLLE, NEUVOSTOLLE, EUROOPAN TALOUS- JA SOSIAALIKOMITEALLE JA ALUEIDEN KOMITEALLE"/>
  </w:docVar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3"/>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qFormat/>
    <w:pPr>
      <w:widowControl w:val="0"/>
      <w:shd w:val="clear" w:color="auto" w:fill="FFFFFF"/>
      <w:spacing w:before="900" w:after="720" w:line="302" w:lineRule="exact"/>
      <w:ind w:hanging="720"/>
    </w:pPr>
    <w:rPr>
      <w:rFonts w:ascii="Times New Roman" w:eastAsia="Times New Roman" w:hAnsi="Times New Roman" w:cs="Times New Roman"/>
      <w:color w:val="000000"/>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PlainText">
    <w:name w:val="Plain Text"/>
    <w:basedOn w:val="Normal"/>
    <w:link w:val="PlainTextChar"/>
    <w:uiPriority w:val="99"/>
    <w:unhideWhenUs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paragraph" w:customStyle="1" w:styleId="LegalNumPar">
    <w:name w:val="LegalNumPar"/>
    <w:basedOn w:val="Normal"/>
    <w:pPr>
      <w:numPr>
        <w:numId w:val="4"/>
      </w:numPr>
      <w:spacing w:after="240" w:line="360" w:lineRule="auto"/>
    </w:pPr>
    <w:rPr>
      <w:rFonts w:ascii="Times New Roman" w:hAnsi="Times New Roman" w:cs="Times New Roman"/>
      <w:sz w:val="24"/>
    </w:rPr>
  </w:style>
  <w:style w:type="paragraph" w:customStyle="1" w:styleId="LegalNumPar2">
    <w:name w:val="LegalNumPar2"/>
    <w:basedOn w:val="Normal"/>
    <w:pPr>
      <w:numPr>
        <w:ilvl w:val="1"/>
        <w:numId w:val="4"/>
      </w:numPr>
      <w:spacing w:after="240" w:line="360" w:lineRule="auto"/>
    </w:pPr>
    <w:rPr>
      <w:rFonts w:ascii="Times New Roman" w:hAnsi="Times New Roman" w:cs="Times New Roman"/>
      <w:sz w:val="24"/>
    </w:rPr>
  </w:style>
  <w:style w:type="paragraph" w:customStyle="1" w:styleId="LegalNumPar3">
    <w:name w:val="LegalNumPar3"/>
    <w:basedOn w:val="Normal"/>
    <w:pPr>
      <w:numPr>
        <w:ilvl w:val="2"/>
        <w:numId w:val="4"/>
      </w:numPr>
      <w:spacing w:after="240" w:line="36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Emphasis">
    <w:name w:val="Emphasis"/>
    <w:basedOn w:val="DefaultParagraphFont"/>
    <w:uiPriority w:val="20"/>
    <w:qFormat/>
    <w:rPr>
      <w:b/>
      <w:bCs/>
      <w:i w:val="0"/>
      <w:iCs w:val="0"/>
    </w:r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3"/>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qFormat/>
    <w:pPr>
      <w:widowControl w:val="0"/>
      <w:shd w:val="clear" w:color="auto" w:fill="FFFFFF"/>
      <w:spacing w:before="900" w:after="720" w:line="302" w:lineRule="exact"/>
      <w:ind w:hanging="720"/>
    </w:pPr>
    <w:rPr>
      <w:rFonts w:ascii="Times New Roman" w:eastAsia="Times New Roman" w:hAnsi="Times New Roman" w:cs="Times New Roman"/>
      <w:color w:val="000000"/>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PlainText">
    <w:name w:val="Plain Text"/>
    <w:basedOn w:val="Normal"/>
    <w:link w:val="PlainTextChar"/>
    <w:uiPriority w:val="99"/>
    <w:unhideWhenUs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paragraph" w:customStyle="1" w:styleId="LegalNumPar">
    <w:name w:val="LegalNumPar"/>
    <w:basedOn w:val="Normal"/>
    <w:pPr>
      <w:numPr>
        <w:numId w:val="4"/>
      </w:numPr>
      <w:spacing w:after="240" w:line="360" w:lineRule="auto"/>
    </w:pPr>
    <w:rPr>
      <w:rFonts w:ascii="Times New Roman" w:hAnsi="Times New Roman" w:cs="Times New Roman"/>
      <w:sz w:val="24"/>
    </w:rPr>
  </w:style>
  <w:style w:type="paragraph" w:customStyle="1" w:styleId="LegalNumPar2">
    <w:name w:val="LegalNumPar2"/>
    <w:basedOn w:val="Normal"/>
    <w:pPr>
      <w:numPr>
        <w:ilvl w:val="1"/>
        <w:numId w:val="4"/>
      </w:numPr>
      <w:spacing w:after="240" w:line="360" w:lineRule="auto"/>
    </w:pPr>
    <w:rPr>
      <w:rFonts w:ascii="Times New Roman" w:hAnsi="Times New Roman" w:cs="Times New Roman"/>
      <w:sz w:val="24"/>
    </w:rPr>
  </w:style>
  <w:style w:type="paragraph" w:customStyle="1" w:styleId="LegalNumPar3">
    <w:name w:val="LegalNumPar3"/>
    <w:basedOn w:val="Normal"/>
    <w:pPr>
      <w:numPr>
        <w:ilvl w:val="2"/>
        <w:numId w:val="4"/>
      </w:numPr>
      <w:spacing w:after="240" w:line="36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Emphasis">
    <w:name w:val="Emphasis"/>
    <w:basedOn w:val="DefaultParagraphFont"/>
    <w:uiPriority w:val="20"/>
    <w:qFormat/>
    <w:rPr>
      <w:b/>
      <w:bCs/>
      <w:i w:val="0"/>
      <w:iCs w:val="0"/>
    </w:r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76">
      <w:bodyDiv w:val="1"/>
      <w:marLeft w:val="0"/>
      <w:marRight w:val="0"/>
      <w:marTop w:val="0"/>
      <w:marBottom w:val="0"/>
      <w:divBdr>
        <w:top w:val="none" w:sz="0" w:space="0" w:color="auto"/>
        <w:left w:val="none" w:sz="0" w:space="0" w:color="auto"/>
        <w:bottom w:val="none" w:sz="0" w:space="0" w:color="auto"/>
        <w:right w:val="none" w:sz="0" w:space="0" w:color="auto"/>
      </w:divBdr>
    </w:div>
    <w:div w:id="83647209">
      <w:bodyDiv w:val="1"/>
      <w:marLeft w:val="0"/>
      <w:marRight w:val="0"/>
      <w:marTop w:val="0"/>
      <w:marBottom w:val="0"/>
      <w:divBdr>
        <w:top w:val="none" w:sz="0" w:space="0" w:color="auto"/>
        <w:left w:val="none" w:sz="0" w:space="0" w:color="auto"/>
        <w:bottom w:val="none" w:sz="0" w:space="0" w:color="auto"/>
        <w:right w:val="none" w:sz="0" w:space="0" w:color="auto"/>
      </w:divBdr>
    </w:div>
    <w:div w:id="94596623">
      <w:bodyDiv w:val="1"/>
      <w:marLeft w:val="0"/>
      <w:marRight w:val="0"/>
      <w:marTop w:val="0"/>
      <w:marBottom w:val="0"/>
      <w:divBdr>
        <w:top w:val="none" w:sz="0" w:space="0" w:color="auto"/>
        <w:left w:val="none" w:sz="0" w:space="0" w:color="auto"/>
        <w:bottom w:val="none" w:sz="0" w:space="0" w:color="auto"/>
        <w:right w:val="none" w:sz="0" w:space="0" w:color="auto"/>
      </w:divBdr>
    </w:div>
    <w:div w:id="104466073">
      <w:bodyDiv w:val="1"/>
      <w:marLeft w:val="0"/>
      <w:marRight w:val="0"/>
      <w:marTop w:val="0"/>
      <w:marBottom w:val="0"/>
      <w:divBdr>
        <w:top w:val="none" w:sz="0" w:space="0" w:color="auto"/>
        <w:left w:val="none" w:sz="0" w:space="0" w:color="auto"/>
        <w:bottom w:val="none" w:sz="0" w:space="0" w:color="auto"/>
        <w:right w:val="none" w:sz="0" w:space="0" w:color="auto"/>
      </w:divBdr>
    </w:div>
    <w:div w:id="116948890">
      <w:bodyDiv w:val="1"/>
      <w:marLeft w:val="0"/>
      <w:marRight w:val="0"/>
      <w:marTop w:val="0"/>
      <w:marBottom w:val="0"/>
      <w:divBdr>
        <w:top w:val="none" w:sz="0" w:space="0" w:color="auto"/>
        <w:left w:val="none" w:sz="0" w:space="0" w:color="auto"/>
        <w:bottom w:val="none" w:sz="0" w:space="0" w:color="auto"/>
        <w:right w:val="none" w:sz="0" w:space="0" w:color="auto"/>
      </w:divBdr>
    </w:div>
    <w:div w:id="119808085">
      <w:bodyDiv w:val="1"/>
      <w:marLeft w:val="0"/>
      <w:marRight w:val="0"/>
      <w:marTop w:val="0"/>
      <w:marBottom w:val="0"/>
      <w:divBdr>
        <w:top w:val="none" w:sz="0" w:space="0" w:color="auto"/>
        <w:left w:val="none" w:sz="0" w:space="0" w:color="auto"/>
        <w:bottom w:val="none" w:sz="0" w:space="0" w:color="auto"/>
        <w:right w:val="none" w:sz="0" w:space="0" w:color="auto"/>
      </w:divBdr>
    </w:div>
    <w:div w:id="143663169">
      <w:bodyDiv w:val="1"/>
      <w:marLeft w:val="0"/>
      <w:marRight w:val="0"/>
      <w:marTop w:val="0"/>
      <w:marBottom w:val="0"/>
      <w:divBdr>
        <w:top w:val="none" w:sz="0" w:space="0" w:color="auto"/>
        <w:left w:val="none" w:sz="0" w:space="0" w:color="auto"/>
        <w:bottom w:val="none" w:sz="0" w:space="0" w:color="auto"/>
        <w:right w:val="none" w:sz="0" w:space="0" w:color="auto"/>
      </w:divBdr>
    </w:div>
    <w:div w:id="212156720">
      <w:bodyDiv w:val="1"/>
      <w:marLeft w:val="0"/>
      <w:marRight w:val="0"/>
      <w:marTop w:val="0"/>
      <w:marBottom w:val="0"/>
      <w:divBdr>
        <w:top w:val="none" w:sz="0" w:space="0" w:color="auto"/>
        <w:left w:val="none" w:sz="0" w:space="0" w:color="auto"/>
        <w:bottom w:val="none" w:sz="0" w:space="0" w:color="auto"/>
        <w:right w:val="none" w:sz="0" w:space="0" w:color="auto"/>
      </w:divBdr>
    </w:div>
    <w:div w:id="224538005">
      <w:bodyDiv w:val="1"/>
      <w:marLeft w:val="0"/>
      <w:marRight w:val="0"/>
      <w:marTop w:val="0"/>
      <w:marBottom w:val="0"/>
      <w:divBdr>
        <w:top w:val="none" w:sz="0" w:space="0" w:color="auto"/>
        <w:left w:val="none" w:sz="0" w:space="0" w:color="auto"/>
        <w:bottom w:val="none" w:sz="0" w:space="0" w:color="auto"/>
        <w:right w:val="none" w:sz="0" w:space="0" w:color="auto"/>
      </w:divBdr>
    </w:div>
    <w:div w:id="227038775">
      <w:bodyDiv w:val="1"/>
      <w:marLeft w:val="0"/>
      <w:marRight w:val="0"/>
      <w:marTop w:val="0"/>
      <w:marBottom w:val="0"/>
      <w:divBdr>
        <w:top w:val="none" w:sz="0" w:space="0" w:color="auto"/>
        <w:left w:val="none" w:sz="0" w:space="0" w:color="auto"/>
        <w:bottom w:val="none" w:sz="0" w:space="0" w:color="auto"/>
        <w:right w:val="none" w:sz="0" w:space="0" w:color="auto"/>
      </w:divBdr>
    </w:div>
    <w:div w:id="283585065">
      <w:bodyDiv w:val="1"/>
      <w:marLeft w:val="0"/>
      <w:marRight w:val="0"/>
      <w:marTop w:val="0"/>
      <w:marBottom w:val="0"/>
      <w:divBdr>
        <w:top w:val="none" w:sz="0" w:space="0" w:color="auto"/>
        <w:left w:val="none" w:sz="0" w:space="0" w:color="auto"/>
        <w:bottom w:val="none" w:sz="0" w:space="0" w:color="auto"/>
        <w:right w:val="none" w:sz="0" w:space="0" w:color="auto"/>
      </w:divBdr>
    </w:div>
    <w:div w:id="316300091">
      <w:bodyDiv w:val="1"/>
      <w:marLeft w:val="0"/>
      <w:marRight w:val="0"/>
      <w:marTop w:val="0"/>
      <w:marBottom w:val="0"/>
      <w:divBdr>
        <w:top w:val="none" w:sz="0" w:space="0" w:color="auto"/>
        <w:left w:val="none" w:sz="0" w:space="0" w:color="auto"/>
        <w:bottom w:val="none" w:sz="0" w:space="0" w:color="auto"/>
        <w:right w:val="none" w:sz="0" w:space="0" w:color="auto"/>
      </w:divBdr>
    </w:div>
    <w:div w:id="327830335">
      <w:bodyDiv w:val="1"/>
      <w:marLeft w:val="0"/>
      <w:marRight w:val="0"/>
      <w:marTop w:val="0"/>
      <w:marBottom w:val="0"/>
      <w:divBdr>
        <w:top w:val="none" w:sz="0" w:space="0" w:color="auto"/>
        <w:left w:val="none" w:sz="0" w:space="0" w:color="auto"/>
        <w:bottom w:val="none" w:sz="0" w:space="0" w:color="auto"/>
        <w:right w:val="none" w:sz="0" w:space="0" w:color="auto"/>
      </w:divBdr>
    </w:div>
    <w:div w:id="336420807">
      <w:bodyDiv w:val="1"/>
      <w:marLeft w:val="0"/>
      <w:marRight w:val="0"/>
      <w:marTop w:val="0"/>
      <w:marBottom w:val="0"/>
      <w:divBdr>
        <w:top w:val="none" w:sz="0" w:space="0" w:color="auto"/>
        <w:left w:val="none" w:sz="0" w:space="0" w:color="auto"/>
        <w:bottom w:val="none" w:sz="0" w:space="0" w:color="auto"/>
        <w:right w:val="none" w:sz="0" w:space="0" w:color="auto"/>
      </w:divBdr>
    </w:div>
    <w:div w:id="371199090">
      <w:bodyDiv w:val="1"/>
      <w:marLeft w:val="0"/>
      <w:marRight w:val="0"/>
      <w:marTop w:val="0"/>
      <w:marBottom w:val="0"/>
      <w:divBdr>
        <w:top w:val="none" w:sz="0" w:space="0" w:color="auto"/>
        <w:left w:val="none" w:sz="0" w:space="0" w:color="auto"/>
        <w:bottom w:val="none" w:sz="0" w:space="0" w:color="auto"/>
        <w:right w:val="none" w:sz="0" w:space="0" w:color="auto"/>
      </w:divBdr>
    </w:div>
    <w:div w:id="413016839">
      <w:bodyDiv w:val="1"/>
      <w:marLeft w:val="0"/>
      <w:marRight w:val="0"/>
      <w:marTop w:val="0"/>
      <w:marBottom w:val="0"/>
      <w:divBdr>
        <w:top w:val="none" w:sz="0" w:space="0" w:color="auto"/>
        <w:left w:val="none" w:sz="0" w:space="0" w:color="auto"/>
        <w:bottom w:val="none" w:sz="0" w:space="0" w:color="auto"/>
        <w:right w:val="none" w:sz="0" w:space="0" w:color="auto"/>
      </w:divBdr>
    </w:div>
    <w:div w:id="446196625">
      <w:bodyDiv w:val="1"/>
      <w:marLeft w:val="0"/>
      <w:marRight w:val="0"/>
      <w:marTop w:val="0"/>
      <w:marBottom w:val="0"/>
      <w:divBdr>
        <w:top w:val="none" w:sz="0" w:space="0" w:color="auto"/>
        <w:left w:val="none" w:sz="0" w:space="0" w:color="auto"/>
        <w:bottom w:val="none" w:sz="0" w:space="0" w:color="auto"/>
        <w:right w:val="none" w:sz="0" w:space="0" w:color="auto"/>
      </w:divBdr>
    </w:div>
    <w:div w:id="463699067">
      <w:bodyDiv w:val="1"/>
      <w:marLeft w:val="0"/>
      <w:marRight w:val="0"/>
      <w:marTop w:val="0"/>
      <w:marBottom w:val="0"/>
      <w:divBdr>
        <w:top w:val="none" w:sz="0" w:space="0" w:color="auto"/>
        <w:left w:val="none" w:sz="0" w:space="0" w:color="auto"/>
        <w:bottom w:val="none" w:sz="0" w:space="0" w:color="auto"/>
        <w:right w:val="none" w:sz="0" w:space="0" w:color="auto"/>
      </w:divBdr>
    </w:div>
    <w:div w:id="483201556">
      <w:bodyDiv w:val="1"/>
      <w:marLeft w:val="0"/>
      <w:marRight w:val="0"/>
      <w:marTop w:val="0"/>
      <w:marBottom w:val="0"/>
      <w:divBdr>
        <w:top w:val="none" w:sz="0" w:space="0" w:color="auto"/>
        <w:left w:val="none" w:sz="0" w:space="0" w:color="auto"/>
        <w:bottom w:val="none" w:sz="0" w:space="0" w:color="auto"/>
        <w:right w:val="none" w:sz="0" w:space="0" w:color="auto"/>
      </w:divBdr>
    </w:div>
    <w:div w:id="510024739">
      <w:bodyDiv w:val="1"/>
      <w:marLeft w:val="0"/>
      <w:marRight w:val="0"/>
      <w:marTop w:val="0"/>
      <w:marBottom w:val="0"/>
      <w:divBdr>
        <w:top w:val="none" w:sz="0" w:space="0" w:color="auto"/>
        <w:left w:val="none" w:sz="0" w:space="0" w:color="auto"/>
        <w:bottom w:val="none" w:sz="0" w:space="0" w:color="auto"/>
        <w:right w:val="none" w:sz="0" w:space="0" w:color="auto"/>
      </w:divBdr>
    </w:div>
    <w:div w:id="512841485">
      <w:bodyDiv w:val="1"/>
      <w:marLeft w:val="0"/>
      <w:marRight w:val="0"/>
      <w:marTop w:val="0"/>
      <w:marBottom w:val="0"/>
      <w:divBdr>
        <w:top w:val="none" w:sz="0" w:space="0" w:color="auto"/>
        <w:left w:val="none" w:sz="0" w:space="0" w:color="auto"/>
        <w:bottom w:val="none" w:sz="0" w:space="0" w:color="auto"/>
        <w:right w:val="none" w:sz="0" w:space="0" w:color="auto"/>
      </w:divBdr>
    </w:div>
    <w:div w:id="616915265">
      <w:bodyDiv w:val="1"/>
      <w:marLeft w:val="0"/>
      <w:marRight w:val="0"/>
      <w:marTop w:val="0"/>
      <w:marBottom w:val="0"/>
      <w:divBdr>
        <w:top w:val="none" w:sz="0" w:space="0" w:color="auto"/>
        <w:left w:val="none" w:sz="0" w:space="0" w:color="auto"/>
        <w:bottom w:val="none" w:sz="0" w:space="0" w:color="auto"/>
        <w:right w:val="none" w:sz="0" w:space="0" w:color="auto"/>
      </w:divBdr>
    </w:div>
    <w:div w:id="646394897">
      <w:bodyDiv w:val="1"/>
      <w:marLeft w:val="0"/>
      <w:marRight w:val="0"/>
      <w:marTop w:val="0"/>
      <w:marBottom w:val="0"/>
      <w:divBdr>
        <w:top w:val="none" w:sz="0" w:space="0" w:color="auto"/>
        <w:left w:val="none" w:sz="0" w:space="0" w:color="auto"/>
        <w:bottom w:val="none" w:sz="0" w:space="0" w:color="auto"/>
        <w:right w:val="none" w:sz="0" w:space="0" w:color="auto"/>
      </w:divBdr>
    </w:div>
    <w:div w:id="719355836">
      <w:bodyDiv w:val="1"/>
      <w:marLeft w:val="0"/>
      <w:marRight w:val="0"/>
      <w:marTop w:val="0"/>
      <w:marBottom w:val="0"/>
      <w:divBdr>
        <w:top w:val="none" w:sz="0" w:space="0" w:color="auto"/>
        <w:left w:val="none" w:sz="0" w:space="0" w:color="auto"/>
        <w:bottom w:val="none" w:sz="0" w:space="0" w:color="auto"/>
        <w:right w:val="none" w:sz="0" w:space="0" w:color="auto"/>
      </w:divBdr>
    </w:div>
    <w:div w:id="736323383">
      <w:bodyDiv w:val="1"/>
      <w:marLeft w:val="0"/>
      <w:marRight w:val="0"/>
      <w:marTop w:val="0"/>
      <w:marBottom w:val="0"/>
      <w:divBdr>
        <w:top w:val="none" w:sz="0" w:space="0" w:color="auto"/>
        <w:left w:val="none" w:sz="0" w:space="0" w:color="auto"/>
        <w:bottom w:val="none" w:sz="0" w:space="0" w:color="auto"/>
        <w:right w:val="none" w:sz="0" w:space="0" w:color="auto"/>
      </w:divBdr>
    </w:div>
    <w:div w:id="774447895">
      <w:bodyDiv w:val="1"/>
      <w:marLeft w:val="0"/>
      <w:marRight w:val="0"/>
      <w:marTop w:val="0"/>
      <w:marBottom w:val="0"/>
      <w:divBdr>
        <w:top w:val="none" w:sz="0" w:space="0" w:color="auto"/>
        <w:left w:val="none" w:sz="0" w:space="0" w:color="auto"/>
        <w:bottom w:val="none" w:sz="0" w:space="0" w:color="auto"/>
        <w:right w:val="none" w:sz="0" w:space="0" w:color="auto"/>
      </w:divBdr>
    </w:div>
    <w:div w:id="838276216">
      <w:bodyDiv w:val="1"/>
      <w:marLeft w:val="0"/>
      <w:marRight w:val="0"/>
      <w:marTop w:val="0"/>
      <w:marBottom w:val="0"/>
      <w:divBdr>
        <w:top w:val="none" w:sz="0" w:space="0" w:color="auto"/>
        <w:left w:val="none" w:sz="0" w:space="0" w:color="auto"/>
        <w:bottom w:val="none" w:sz="0" w:space="0" w:color="auto"/>
        <w:right w:val="none" w:sz="0" w:space="0" w:color="auto"/>
      </w:divBdr>
    </w:div>
    <w:div w:id="842748038">
      <w:bodyDiv w:val="1"/>
      <w:marLeft w:val="0"/>
      <w:marRight w:val="0"/>
      <w:marTop w:val="0"/>
      <w:marBottom w:val="0"/>
      <w:divBdr>
        <w:top w:val="none" w:sz="0" w:space="0" w:color="auto"/>
        <w:left w:val="none" w:sz="0" w:space="0" w:color="auto"/>
        <w:bottom w:val="none" w:sz="0" w:space="0" w:color="auto"/>
        <w:right w:val="none" w:sz="0" w:space="0" w:color="auto"/>
      </w:divBdr>
    </w:div>
    <w:div w:id="881135877">
      <w:bodyDiv w:val="1"/>
      <w:marLeft w:val="0"/>
      <w:marRight w:val="0"/>
      <w:marTop w:val="0"/>
      <w:marBottom w:val="0"/>
      <w:divBdr>
        <w:top w:val="none" w:sz="0" w:space="0" w:color="auto"/>
        <w:left w:val="none" w:sz="0" w:space="0" w:color="auto"/>
        <w:bottom w:val="none" w:sz="0" w:space="0" w:color="auto"/>
        <w:right w:val="none" w:sz="0" w:space="0" w:color="auto"/>
      </w:divBdr>
    </w:div>
    <w:div w:id="882712968">
      <w:bodyDiv w:val="1"/>
      <w:marLeft w:val="0"/>
      <w:marRight w:val="0"/>
      <w:marTop w:val="0"/>
      <w:marBottom w:val="0"/>
      <w:divBdr>
        <w:top w:val="none" w:sz="0" w:space="0" w:color="auto"/>
        <w:left w:val="none" w:sz="0" w:space="0" w:color="auto"/>
        <w:bottom w:val="none" w:sz="0" w:space="0" w:color="auto"/>
        <w:right w:val="none" w:sz="0" w:space="0" w:color="auto"/>
      </w:divBdr>
    </w:div>
    <w:div w:id="891035541">
      <w:bodyDiv w:val="1"/>
      <w:marLeft w:val="0"/>
      <w:marRight w:val="0"/>
      <w:marTop w:val="0"/>
      <w:marBottom w:val="0"/>
      <w:divBdr>
        <w:top w:val="none" w:sz="0" w:space="0" w:color="auto"/>
        <w:left w:val="none" w:sz="0" w:space="0" w:color="auto"/>
        <w:bottom w:val="none" w:sz="0" w:space="0" w:color="auto"/>
        <w:right w:val="none" w:sz="0" w:space="0" w:color="auto"/>
      </w:divBdr>
    </w:div>
    <w:div w:id="928270723">
      <w:bodyDiv w:val="1"/>
      <w:marLeft w:val="0"/>
      <w:marRight w:val="0"/>
      <w:marTop w:val="0"/>
      <w:marBottom w:val="0"/>
      <w:divBdr>
        <w:top w:val="none" w:sz="0" w:space="0" w:color="auto"/>
        <w:left w:val="none" w:sz="0" w:space="0" w:color="auto"/>
        <w:bottom w:val="none" w:sz="0" w:space="0" w:color="auto"/>
        <w:right w:val="none" w:sz="0" w:space="0" w:color="auto"/>
      </w:divBdr>
    </w:div>
    <w:div w:id="941035850">
      <w:bodyDiv w:val="1"/>
      <w:marLeft w:val="0"/>
      <w:marRight w:val="0"/>
      <w:marTop w:val="0"/>
      <w:marBottom w:val="0"/>
      <w:divBdr>
        <w:top w:val="none" w:sz="0" w:space="0" w:color="auto"/>
        <w:left w:val="none" w:sz="0" w:space="0" w:color="auto"/>
        <w:bottom w:val="none" w:sz="0" w:space="0" w:color="auto"/>
        <w:right w:val="none" w:sz="0" w:space="0" w:color="auto"/>
      </w:divBdr>
    </w:div>
    <w:div w:id="963538934">
      <w:bodyDiv w:val="1"/>
      <w:marLeft w:val="0"/>
      <w:marRight w:val="0"/>
      <w:marTop w:val="0"/>
      <w:marBottom w:val="0"/>
      <w:divBdr>
        <w:top w:val="none" w:sz="0" w:space="0" w:color="auto"/>
        <w:left w:val="none" w:sz="0" w:space="0" w:color="auto"/>
        <w:bottom w:val="none" w:sz="0" w:space="0" w:color="auto"/>
        <w:right w:val="none" w:sz="0" w:space="0" w:color="auto"/>
      </w:divBdr>
    </w:div>
    <w:div w:id="985622515">
      <w:bodyDiv w:val="1"/>
      <w:marLeft w:val="0"/>
      <w:marRight w:val="0"/>
      <w:marTop w:val="0"/>
      <w:marBottom w:val="0"/>
      <w:divBdr>
        <w:top w:val="none" w:sz="0" w:space="0" w:color="auto"/>
        <w:left w:val="none" w:sz="0" w:space="0" w:color="auto"/>
        <w:bottom w:val="none" w:sz="0" w:space="0" w:color="auto"/>
        <w:right w:val="none" w:sz="0" w:space="0" w:color="auto"/>
      </w:divBdr>
    </w:div>
    <w:div w:id="1001472535">
      <w:bodyDiv w:val="1"/>
      <w:marLeft w:val="0"/>
      <w:marRight w:val="0"/>
      <w:marTop w:val="0"/>
      <w:marBottom w:val="0"/>
      <w:divBdr>
        <w:top w:val="none" w:sz="0" w:space="0" w:color="auto"/>
        <w:left w:val="none" w:sz="0" w:space="0" w:color="auto"/>
        <w:bottom w:val="none" w:sz="0" w:space="0" w:color="auto"/>
        <w:right w:val="none" w:sz="0" w:space="0" w:color="auto"/>
      </w:divBdr>
    </w:div>
    <w:div w:id="1037588973">
      <w:bodyDiv w:val="1"/>
      <w:marLeft w:val="0"/>
      <w:marRight w:val="0"/>
      <w:marTop w:val="0"/>
      <w:marBottom w:val="0"/>
      <w:divBdr>
        <w:top w:val="none" w:sz="0" w:space="0" w:color="auto"/>
        <w:left w:val="none" w:sz="0" w:space="0" w:color="auto"/>
        <w:bottom w:val="none" w:sz="0" w:space="0" w:color="auto"/>
        <w:right w:val="none" w:sz="0" w:space="0" w:color="auto"/>
      </w:divBdr>
    </w:div>
    <w:div w:id="1044406705">
      <w:bodyDiv w:val="1"/>
      <w:marLeft w:val="0"/>
      <w:marRight w:val="0"/>
      <w:marTop w:val="0"/>
      <w:marBottom w:val="0"/>
      <w:divBdr>
        <w:top w:val="none" w:sz="0" w:space="0" w:color="auto"/>
        <w:left w:val="none" w:sz="0" w:space="0" w:color="auto"/>
        <w:bottom w:val="none" w:sz="0" w:space="0" w:color="auto"/>
        <w:right w:val="none" w:sz="0" w:space="0" w:color="auto"/>
      </w:divBdr>
    </w:div>
    <w:div w:id="1049307151">
      <w:bodyDiv w:val="1"/>
      <w:marLeft w:val="0"/>
      <w:marRight w:val="0"/>
      <w:marTop w:val="0"/>
      <w:marBottom w:val="0"/>
      <w:divBdr>
        <w:top w:val="none" w:sz="0" w:space="0" w:color="auto"/>
        <w:left w:val="none" w:sz="0" w:space="0" w:color="auto"/>
        <w:bottom w:val="none" w:sz="0" w:space="0" w:color="auto"/>
        <w:right w:val="none" w:sz="0" w:space="0" w:color="auto"/>
      </w:divBdr>
    </w:div>
    <w:div w:id="1122991810">
      <w:bodyDiv w:val="1"/>
      <w:marLeft w:val="0"/>
      <w:marRight w:val="0"/>
      <w:marTop w:val="0"/>
      <w:marBottom w:val="0"/>
      <w:divBdr>
        <w:top w:val="none" w:sz="0" w:space="0" w:color="auto"/>
        <w:left w:val="none" w:sz="0" w:space="0" w:color="auto"/>
        <w:bottom w:val="none" w:sz="0" w:space="0" w:color="auto"/>
        <w:right w:val="none" w:sz="0" w:space="0" w:color="auto"/>
      </w:divBdr>
    </w:div>
    <w:div w:id="1187065720">
      <w:bodyDiv w:val="1"/>
      <w:marLeft w:val="0"/>
      <w:marRight w:val="0"/>
      <w:marTop w:val="0"/>
      <w:marBottom w:val="0"/>
      <w:divBdr>
        <w:top w:val="none" w:sz="0" w:space="0" w:color="auto"/>
        <w:left w:val="none" w:sz="0" w:space="0" w:color="auto"/>
        <w:bottom w:val="none" w:sz="0" w:space="0" w:color="auto"/>
        <w:right w:val="none" w:sz="0" w:space="0" w:color="auto"/>
      </w:divBdr>
    </w:div>
    <w:div w:id="1215194429">
      <w:bodyDiv w:val="1"/>
      <w:marLeft w:val="0"/>
      <w:marRight w:val="0"/>
      <w:marTop w:val="0"/>
      <w:marBottom w:val="0"/>
      <w:divBdr>
        <w:top w:val="none" w:sz="0" w:space="0" w:color="auto"/>
        <w:left w:val="none" w:sz="0" w:space="0" w:color="auto"/>
        <w:bottom w:val="none" w:sz="0" w:space="0" w:color="auto"/>
        <w:right w:val="none" w:sz="0" w:space="0" w:color="auto"/>
      </w:divBdr>
      <w:divsChild>
        <w:div w:id="581139506">
          <w:marLeft w:val="547"/>
          <w:marRight w:val="0"/>
          <w:marTop w:val="77"/>
          <w:marBottom w:val="0"/>
          <w:divBdr>
            <w:top w:val="none" w:sz="0" w:space="0" w:color="auto"/>
            <w:left w:val="none" w:sz="0" w:space="0" w:color="auto"/>
            <w:bottom w:val="none" w:sz="0" w:space="0" w:color="auto"/>
            <w:right w:val="none" w:sz="0" w:space="0" w:color="auto"/>
          </w:divBdr>
        </w:div>
      </w:divsChild>
    </w:div>
    <w:div w:id="1249389255">
      <w:bodyDiv w:val="1"/>
      <w:marLeft w:val="0"/>
      <w:marRight w:val="0"/>
      <w:marTop w:val="0"/>
      <w:marBottom w:val="0"/>
      <w:divBdr>
        <w:top w:val="none" w:sz="0" w:space="0" w:color="auto"/>
        <w:left w:val="none" w:sz="0" w:space="0" w:color="auto"/>
        <w:bottom w:val="none" w:sz="0" w:space="0" w:color="auto"/>
        <w:right w:val="none" w:sz="0" w:space="0" w:color="auto"/>
      </w:divBdr>
    </w:div>
    <w:div w:id="1336038060">
      <w:bodyDiv w:val="1"/>
      <w:marLeft w:val="0"/>
      <w:marRight w:val="0"/>
      <w:marTop w:val="0"/>
      <w:marBottom w:val="0"/>
      <w:divBdr>
        <w:top w:val="none" w:sz="0" w:space="0" w:color="auto"/>
        <w:left w:val="none" w:sz="0" w:space="0" w:color="auto"/>
        <w:bottom w:val="none" w:sz="0" w:space="0" w:color="auto"/>
        <w:right w:val="none" w:sz="0" w:space="0" w:color="auto"/>
      </w:divBdr>
    </w:div>
    <w:div w:id="1344745159">
      <w:bodyDiv w:val="1"/>
      <w:marLeft w:val="0"/>
      <w:marRight w:val="0"/>
      <w:marTop w:val="0"/>
      <w:marBottom w:val="0"/>
      <w:divBdr>
        <w:top w:val="none" w:sz="0" w:space="0" w:color="auto"/>
        <w:left w:val="none" w:sz="0" w:space="0" w:color="auto"/>
        <w:bottom w:val="none" w:sz="0" w:space="0" w:color="auto"/>
        <w:right w:val="none" w:sz="0" w:space="0" w:color="auto"/>
      </w:divBdr>
    </w:div>
    <w:div w:id="1418479272">
      <w:bodyDiv w:val="1"/>
      <w:marLeft w:val="0"/>
      <w:marRight w:val="0"/>
      <w:marTop w:val="0"/>
      <w:marBottom w:val="0"/>
      <w:divBdr>
        <w:top w:val="none" w:sz="0" w:space="0" w:color="auto"/>
        <w:left w:val="none" w:sz="0" w:space="0" w:color="auto"/>
        <w:bottom w:val="none" w:sz="0" w:space="0" w:color="auto"/>
        <w:right w:val="none" w:sz="0" w:space="0" w:color="auto"/>
      </w:divBdr>
    </w:div>
    <w:div w:id="1420714262">
      <w:bodyDiv w:val="1"/>
      <w:marLeft w:val="0"/>
      <w:marRight w:val="0"/>
      <w:marTop w:val="0"/>
      <w:marBottom w:val="0"/>
      <w:divBdr>
        <w:top w:val="none" w:sz="0" w:space="0" w:color="auto"/>
        <w:left w:val="none" w:sz="0" w:space="0" w:color="auto"/>
        <w:bottom w:val="none" w:sz="0" w:space="0" w:color="auto"/>
        <w:right w:val="none" w:sz="0" w:space="0" w:color="auto"/>
      </w:divBdr>
    </w:div>
    <w:div w:id="1420760074">
      <w:bodyDiv w:val="1"/>
      <w:marLeft w:val="0"/>
      <w:marRight w:val="0"/>
      <w:marTop w:val="0"/>
      <w:marBottom w:val="0"/>
      <w:divBdr>
        <w:top w:val="none" w:sz="0" w:space="0" w:color="auto"/>
        <w:left w:val="none" w:sz="0" w:space="0" w:color="auto"/>
        <w:bottom w:val="none" w:sz="0" w:space="0" w:color="auto"/>
        <w:right w:val="none" w:sz="0" w:space="0" w:color="auto"/>
      </w:divBdr>
    </w:div>
    <w:div w:id="1429693266">
      <w:bodyDiv w:val="1"/>
      <w:marLeft w:val="0"/>
      <w:marRight w:val="0"/>
      <w:marTop w:val="0"/>
      <w:marBottom w:val="0"/>
      <w:divBdr>
        <w:top w:val="none" w:sz="0" w:space="0" w:color="auto"/>
        <w:left w:val="none" w:sz="0" w:space="0" w:color="auto"/>
        <w:bottom w:val="none" w:sz="0" w:space="0" w:color="auto"/>
        <w:right w:val="none" w:sz="0" w:space="0" w:color="auto"/>
      </w:divBdr>
    </w:div>
    <w:div w:id="1498882770">
      <w:bodyDiv w:val="1"/>
      <w:marLeft w:val="0"/>
      <w:marRight w:val="0"/>
      <w:marTop w:val="0"/>
      <w:marBottom w:val="0"/>
      <w:divBdr>
        <w:top w:val="none" w:sz="0" w:space="0" w:color="auto"/>
        <w:left w:val="none" w:sz="0" w:space="0" w:color="auto"/>
        <w:bottom w:val="none" w:sz="0" w:space="0" w:color="auto"/>
        <w:right w:val="none" w:sz="0" w:space="0" w:color="auto"/>
      </w:divBdr>
    </w:div>
    <w:div w:id="1499032850">
      <w:bodyDiv w:val="1"/>
      <w:marLeft w:val="0"/>
      <w:marRight w:val="0"/>
      <w:marTop w:val="0"/>
      <w:marBottom w:val="0"/>
      <w:divBdr>
        <w:top w:val="none" w:sz="0" w:space="0" w:color="auto"/>
        <w:left w:val="none" w:sz="0" w:space="0" w:color="auto"/>
        <w:bottom w:val="none" w:sz="0" w:space="0" w:color="auto"/>
        <w:right w:val="none" w:sz="0" w:space="0" w:color="auto"/>
      </w:divBdr>
    </w:div>
    <w:div w:id="1499804915">
      <w:bodyDiv w:val="1"/>
      <w:marLeft w:val="0"/>
      <w:marRight w:val="0"/>
      <w:marTop w:val="0"/>
      <w:marBottom w:val="0"/>
      <w:divBdr>
        <w:top w:val="none" w:sz="0" w:space="0" w:color="auto"/>
        <w:left w:val="none" w:sz="0" w:space="0" w:color="auto"/>
        <w:bottom w:val="none" w:sz="0" w:space="0" w:color="auto"/>
        <w:right w:val="none" w:sz="0" w:space="0" w:color="auto"/>
      </w:divBdr>
    </w:div>
    <w:div w:id="1530606244">
      <w:bodyDiv w:val="1"/>
      <w:marLeft w:val="0"/>
      <w:marRight w:val="0"/>
      <w:marTop w:val="0"/>
      <w:marBottom w:val="0"/>
      <w:divBdr>
        <w:top w:val="none" w:sz="0" w:space="0" w:color="auto"/>
        <w:left w:val="none" w:sz="0" w:space="0" w:color="auto"/>
        <w:bottom w:val="none" w:sz="0" w:space="0" w:color="auto"/>
        <w:right w:val="none" w:sz="0" w:space="0" w:color="auto"/>
      </w:divBdr>
      <w:divsChild>
        <w:div w:id="217517253">
          <w:marLeft w:val="0"/>
          <w:marRight w:val="0"/>
          <w:marTop w:val="0"/>
          <w:marBottom w:val="0"/>
          <w:divBdr>
            <w:top w:val="none" w:sz="0" w:space="0" w:color="auto"/>
            <w:left w:val="none" w:sz="0" w:space="0" w:color="auto"/>
            <w:bottom w:val="none" w:sz="0" w:space="0" w:color="auto"/>
            <w:right w:val="none" w:sz="0" w:space="0" w:color="auto"/>
          </w:divBdr>
          <w:divsChild>
            <w:div w:id="1277518975">
              <w:marLeft w:val="0"/>
              <w:marRight w:val="0"/>
              <w:marTop w:val="0"/>
              <w:marBottom w:val="0"/>
              <w:divBdr>
                <w:top w:val="none" w:sz="0" w:space="0" w:color="auto"/>
                <w:left w:val="none" w:sz="0" w:space="0" w:color="auto"/>
                <w:bottom w:val="none" w:sz="0" w:space="0" w:color="auto"/>
                <w:right w:val="none" w:sz="0" w:space="0" w:color="auto"/>
              </w:divBdr>
              <w:divsChild>
                <w:div w:id="1345470857">
                  <w:marLeft w:val="0"/>
                  <w:marRight w:val="0"/>
                  <w:marTop w:val="0"/>
                  <w:marBottom w:val="0"/>
                  <w:divBdr>
                    <w:top w:val="none" w:sz="0" w:space="0" w:color="auto"/>
                    <w:left w:val="none" w:sz="0" w:space="0" w:color="auto"/>
                    <w:bottom w:val="none" w:sz="0" w:space="0" w:color="auto"/>
                    <w:right w:val="none" w:sz="0" w:space="0" w:color="auto"/>
                  </w:divBdr>
                  <w:divsChild>
                    <w:div w:id="1085957506">
                      <w:marLeft w:val="0"/>
                      <w:marRight w:val="0"/>
                      <w:marTop w:val="0"/>
                      <w:marBottom w:val="0"/>
                      <w:divBdr>
                        <w:top w:val="none" w:sz="0" w:space="0" w:color="auto"/>
                        <w:left w:val="none" w:sz="0" w:space="0" w:color="auto"/>
                        <w:bottom w:val="none" w:sz="0" w:space="0" w:color="auto"/>
                        <w:right w:val="none" w:sz="0" w:space="0" w:color="auto"/>
                      </w:divBdr>
                      <w:divsChild>
                        <w:div w:id="884409913">
                          <w:marLeft w:val="0"/>
                          <w:marRight w:val="0"/>
                          <w:marTop w:val="0"/>
                          <w:marBottom w:val="0"/>
                          <w:divBdr>
                            <w:top w:val="none" w:sz="0" w:space="0" w:color="auto"/>
                            <w:left w:val="none" w:sz="0" w:space="0" w:color="auto"/>
                            <w:bottom w:val="none" w:sz="0" w:space="0" w:color="auto"/>
                            <w:right w:val="none" w:sz="0" w:space="0" w:color="auto"/>
                          </w:divBdr>
                          <w:divsChild>
                            <w:div w:id="1911839969">
                              <w:marLeft w:val="-225"/>
                              <w:marRight w:val="-225"/>
                              <w:marTop w:val="0"/>
                              <w:marBottom w:val="0"/>
                              <w:divBdr>
                                <w:top w:val="none" w:sz="0" w:space="0" w:color="auto"/>
                                <w:left w:val="none" w:sz="0" w:space="0" w:color="auto"/>
                                <w:bottom w:val="none" w:sz="0" w:space="0" w:color="auto"/>
                                <w:right w:val="none" w:sz="0" w:space="0" w:color="auto"/>
                              </w:divBdr>
                              <w:divsChild>
                                <w:div w:id="408583500">
                                  <w:marLeft w:val="0"/>
                                  <w:marRight w:val="0"/>
                                  <w:marTop w:val="0"/>
                                  <w:marBottom w:val="133"/>
                                  <w:divBdr>
                                    <w:top w:val="none" w:sz="0" w:space="0" w:color="auto"/>
                                    <w:left w:val="none" w:sz="0" w:space="0" w:color="auto"/>
                                    <w:bottom w:val="none" w:sz="0" w:space="0" w:color="auto"/>
                                    <w:right w:val="none" w:sz="0" w:space="0" w:color="auto"/>
                                  </w:divBdr>
                                  <w:divsChild>
                                    <w:div w:id="2079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119588">
      <w:bodyDiv w:val="1"/>
      <w:marLeft w:val="0"/>
      <w:marRight w:val="0"/>
      <w:marTop w:val="0"/>
      <w:marBottom w:val="0"/>
      <w:divBdr>
        <w:top w:val="none" w:sz="0" w:space="0" w:color="auto"/>
        <w:left w:val="none" w:sz="0" w:space="0" w:color="auto"/>
        <w:bottom w:val="none" w:sz="0" w:space="0" w:color="auto"/>
        <w:right w:val="none" w:sz="0" w:space="0" w:color="auto"/>
      </w:divBdr>
    </w:div>
    <w:div w:id="1581019564">
      <w:bodyDiv w:val="1"/>
      <w:marLeft w:val="0"/>
      <w:marRight w:val="0"/>
      <w:marTop w:val="0"/>
      <w:marBottom w:val="0"/>
      <w:divBdr>
        <w:top w:val="none" w:sz="0" w:space="0" w:color="auto"/>
        <w:left w:val="none" w:sz="0" w:space="0" w:color="auto"/>
        <w:bottom w:val="none" w:sz="0" w:space="0" w:color="auto"/>
        <w:right w:val="none" w:sz="0" w:space="0" w:color="auto"/>
      </w:divBdr>
    </w:div>
    <w:div w:id="1643928486">
      <w:bodyDiv w:val="1"/>
      <w:marLeft w:val="0"/>
      <w:marRight w:val="0"/>
      <w:marTop w:val="0"/>
      <w:marBottom w:val="0"/>
      <w:divBdr>
        <w:top w:val="none" w:sz="0" w:space="0" w:color="auto"/>
        <w:left w:val="none" w:sz="0" w:space="0" w:color="auto"/>
        <w:bottom w:val="none" w:sz="0" w:space="0" w:color="auto"/>
        <w:right w:val="none" w:sz="0" w:space="0" w:color="auto"/>
      </w:divBdr>
    </w:div>
    <w:div w:id="1650593516">
      <w:bodyDiv w:val="1"/>
      <w:marLeft w:val="0"/>
      <w:marRight w:val="0"/>
      <w:marTop w:val="0"/>
      <w:marBottom w:val="0"/>
      <w:divBdr>
        <w:top w:val="none" w:sz="0" w:space="0" w:color="auto"/>
        <w:left w:val="none" w:sz="0" w:space="0" w:color="auto"/>
        <w:bottom w:val="none" w:sz="0" w:space="0" w:color="auto"/>
        <w:right w:val="none" w:sz="0" w:space="0" w:color="auto"/>
      </w:divBdr>
    </w:div>
    <w:div w:id="1695155613">
      <w:bodyDiv w:val="1"/>
      <w:marLeft w:val="0"/>
      <w:marRight w:val="0"/>
      <w:marTop w:val="0"/>
      <w:marBottom w:val="0"/>
      <w:divBdr>
        <w:top w:val="none" w:sz="0" w:space="0" w:color="auto"/>
        <w:left w:val="none" w:sz="0" w:space="0" w:color="auto"/>
        <w:bottom w:val="none" w:sz="0" w:space="0" w:color="auto"/>
        <w:right w:val="none" w:sz="0" w:space="0" w:color="auto"/>
      </w:divBdr>
    </w:div>
    <w:div w:id="1703942823">
      <w:bodyDiv w:val="1"/>
      <w:marLeft w:val="0"/>
      <w:marRight w:val="0"/>
      <w:marTop w:val="0"/>
      <w:marBottom w:val="0"/>
      <w:divBdr>
        <w:top w:val="none" w:sz="0" w:space="0" w:color="auto"/>
        <w:left w:val="none" w:sz="0" w:space="0" w:color="auto"/>
        <w:bottom w:val="none" w:sz="0" w:space="0" w:color="auto"/>
        <w:right w:val="none" w:sz="0" w:space="0" w:color="auto"/>
      </w:divBdr>
    </w:div>
    <w:div w:id="1734353971">
      <w:bodyDiv w:val="1"/>
      <w:marLeft w:val="0"/>
      <w:marRight w:val="0"/>
      <w:marTop w:val="0"/>
      <w:marBottom w:val="0"/>
      <w:divBdr>
        <w:top w:val="none" w:sz="0" w:space="0" w:color="auto"/>
        <w:left w:val="none" w:sz="0" w:space="0" w:color="auto"/>
        <w:bottom w:val="none" w:sz="0" w:space="0" w:color="auto"/>
        <w:right w:val="none" w:sz="0" w:space="0" w:color="auto"/>
      </w:divBdr>
    </w:div>
    <w:div w:id="1739477034">
      <w:bodyDiv w:val="1"/>
      <w:marLeft w:val="0"/>
      <w:marRight w:val="0"/>
      <w:marTop w:val="0"/>
      <w:marBottom w:val="0"/>
      <w:divBdr>
        <w:top w:val="none" w:sz="0" w:space="0" w:color="auto"/>
        <w:left w:val="none" w:sz="0" w:space="0" w:color="auto"/>
        <w:bottom w:val="none" w:sz="0" w:space="0" w:color="auto"/>
        <w:right w:val="none" w:sz="0" w:space="0" w:color="auto"/>
      </w:divBdr>
    </w:div>
    <w:div w:id="1755542614">
      <w:bodyDiv w:val="1"/>
      <w:marLeft w:val="0"/>
      <w:marRight w:val="0"/>
      <w:marTop w:val="0"/>
      <w:marBottom w:val="0"/>
      <w:divBdr>
        <w:top w:val="none" w:sz="0" w:space="0" w:color="auto"/>
        <w:left w:val="none" w:sz="0" w:space="0" w:color="auto"/>
        <w:bottom w:val="none" w:sz="0" w:space="0" w:color="auto"/>
        <w:right w:val="none" w:sz="0" w:space="0" w:color="auto"/>
      </w:divBdr>
    </w:div>
    <w:div w:id="1757285708">
      <w:bodyDiv w:val="1"/>
      <w:marLeft w:val="0"/>
      <w:marRight w:val="0"/>
      <w:marTop w:val="0"/>
      <w:marBottom w:val="0"/>
      <w:divBdr>
        <w:top w:val="none" w:sz="0" w:space="0" w:color="auto"/>
        <w:left w:val="none" w:sz="0" w:space="0" w:color="auto"/>
        <w:bottom w:val="none" w:sz="0" w:space="0" w:color="auto"/>
        <w:right w:val="none" w:sz="0" w:space="0" w:color="auto"/>
      </w:divBdr>
    </w:div>
    <w:div w:id="1761020142">
      <w:bodyDiv w:val="1"/>
      <w:marLeft w:val="0"/>
      <w:marRight w:val="0"/>
      <w:marTop w:val="0"/>
      <w:marBottom w:val="0"/>
      <w:divBdr>
        <w:top w:val="none" w:sz="0" w:space="0" w:color="auto"/>
        <w:left w:val="none" w:sz="0" w:space="0" w:color="auto"/>
        <w:bottom w:val="none" w:sz="0" w:space="0" w:color="auto"/>
        <w:right w:val="none" w:sz="0" w:space="0" w:color="auto"/>
      </w:divBdr>
    </w:div>
    <w:div w:id="1791780522">
      <w:bodyDiv w:val="1"/>
      <w:marLeft w:val="0"/>
      <w:marRight w:val="0"/>
      <w:marTop w:val="0"/>
      <w:marBottom w:val="0"/>
      <w:divBdr>
        <w:top w:val="none" w:sz="0" w:space="0" w:color="auto"/>
        <w:left w:val="none" w:sz="0" w:space="0" w:color="auto"/>
        <w:bottom w:val="none" w:sz="0" w:space="0" w:color="auto"/>
        <w:right w:val="none" w:sz="0" w:space="0" w:color="auto"/>
      </w:divBdr>
    </w:div>
    <w:div w:id="1816795797">
      <w:bodyDiv w:val="1"/>
      <w:marLeft w:val="0"/>
      <w:marRight w:val="0"/>
      <w:marTop w:val="0"/>
      <w:marBottom w:val="0"/>
      <w:divBdr>
        <w:top w:val="none" w:sz="0" w:space="0" w:color="auto"/>
        <w:left w:val="none" w:sz="0" w:space="0" w:color="auto"/>
        <w:bottom w:val="none" w:sz="0" w:space="0" w:color="auto"/>
        <w:right w:val="none" w:sz="0" w:space="0" w:color="auto"/>
      </w:divBdr>
    </w:div>
    <w:div w:id="1834759458">
      <w:bodyDiv w:val="1"/>
      <w:marLeft w:val="0"/>
      <w:marRight w:val="0"/>
      <w:marTop w:val="0"/>
      <w:marBottom w:val="0"/>
      <w:divBdr>
        <w:top w:val="none" w:sz="0" w:space="0" w:color="auto"/>
        <w:left w:val="none" w:sz="0" w:space="0" w:color="auto"/>
        <w:bottom w:val="none" w:sz="0" w:space="0" w:color="auto"/>
        <w:right w:val="none" w:sz="0" w:space="0" w:color="auto"/>
      </w:divBdr>
    </w:div>
    <w:div w:id="1875388538">
      <w:bodyDiv w:val="1"/>
      <w:marLeft w:val="0"/>
      <w:marRight w:val="0"/>
      <w:marTop w:val="0"/>
      <w:marBottom w:val="0"/>
      <w:divBdr>
        <w:top w:val="none" w:sz="0" w:space="0" w:color="auto"/>
        <w:left w:val="none" w:sz="0" w:space="0" w:color="auto"/>
        <w:bottom w:val="none" w:sz="0" w:space="0" w:color="auto"/>
        <w:right w:val="none" w:sz="0" w:space="0" w:color="auto"/>
      </w:divBdr>
    </w:div>
    <w:div w:id="1875731232">
      <w:bodyDiv w:val="1"/>
      <w:marLeft w:val="0"/>
      <w:marRight w:val="0"/>
      <w:marTop w:val="0"/>
      <w:marBottom w:val="0"/>
      <w:divBdr>
        <w:top w:val="none" w:sz="0" w:space="0" w:color="auto"/>
        <w:left w:val="none" w:sz="0" w:space="0" w:color="auto"/>
        <w:bottom w:val="none" w:sz="0" w:space="0" w:color="auto"/>
        <w:right w:val="none" w:sz="0" w:space="0" w:color="auto"/>
      </w:divBdr>
    </w:div>
    <w:div w:id="1901669696">
      <w:bodyDiv w:val="1"/>
      <w:marLeft w:val="0"/>
      <w:marRight w:val="0"/>
      <w:marTop w:val="0"/>
      <w:marBottom w:val="0"/>
      <w:divBdr>
        <w:top w:val="none" w:sz="0" w:space="0" w:color="auto"/>
        <w:left w:val="none" w:sz="0" w:space="0" w:color="auto"/>
        <w:bottom w:val="none" w:sz="0" w:space="0" w:color="auto"/>
        <w:right w:val="none" w:sz="0" w:space="0" w:color="auto"/>
      </w:divBdr>
    </w:div>
    <w:div w:id="1920014862">
      <w:bodyDiv w:val="1"/>
      <w:marLeft w:val="0"/>
      <w:marRight w:val="0"/>
      <w:marTop w:val="0"/>
      <w:marBottom w:val="0"/>
      <w:divBdr>
        <w:top w:val="none" w:sz="0" w:space="0" w:color="auto"/>
        <w:left w:val="none" w:sz="0" w:space="0" w:color="auto"/>
        <w:bottom w:val="none" w:sz="0" w:space="0" w:color="auto"/>
        <w:right w:val="none" w:sz="0" w:space="0" w:color="auto"/>
      </w:divBdr>
    </w:div>
    <w:div w:id="1935359190">
      <w:bodyDiv w:val="1"/>
      <w:marLeft w:val="0"/>
      <w:marRight w:val="0"/>
      <w:marTop w:val="0"/>
      <w:marBottom w:val="0"/>
      <w:divBdr>
        <w:top w:val="none" w:sz="0" w:space="0" w:color="auto"/>
        <w:left w:val="none" w:sz="0" w:space="0" w:color="auto"/>
        <w:bottom w:val="none" w:sz="0" w:space="0" w:color="auto"/>
        <w:right w:val="none" w:sz="0" w:space="0" w:color="auto"/>
      </w:divBdr>
    </w:div>
    <w:div w:id="1963342282">
      <w:bodyDiv w:val="1"/>
      <w:marLeft w:val="0"/>
      <w:marRight w:val="0"/>
      <w:marTop w:val="0"/>
      <w:marBottom w:val="0"/>
      <w:divBdr>
        <w:top w:val="none" w:sz="0" w:space="0" w:color="auto"/>
        <w:left w:val="none" w:sz="0" w:space="0" w:color="auto"/>
        <w:bottom w:val="none" w:sz="0" w:space="0" w:color="auto"/>
        <w:right w:val="none" w:sz="0" w:space="0" w:color="auto"/>
      </w:divBdr>
    </w:div>
    <w:div w:id="1995722858">
      <w:bodyDiv w:val="1"/>
      <w:marLeft w:val="0"/>
      <w:marRight w:val="0"/>
      <w:marTop w:val="0"/>
      <w:marBottom w:val="0"/>
      <w:divBdr>
        <w:top w:val="none" w:sz="0" w:space="0" w:color="auto"/>
        <w:left w:val="none" w:sz="0" w:space="0" w:color="auto"/>
        <w:bottom w:val="none" w:sz="0" w:space="0" w:color="auto"/>
        <w:right w:val="none" w:sz="0" w:space="0" w:color="auto"/>
      </w:divBdr>
    </w:div>
    <w:div w:id="2065984296">
      <w:bodyDiv w:val="1"/>
      <w:marLeft w:val="0"/>
      <w:marRight w:val="0"/>
      <w:marTop w:val="0"/>
      <w:marBottom w:val="0"/>
      <w:divBdr>
        <w:top w:val="none" w:sz="0" w:space="0" w:color="auto"/>
        <w:left w:val="none" w:sz="0" w:space="0" w:color="auto"/>
        <w:bottom w:val="none" w:sz="0" w:space="0" w:color="auto"/>
        <w:right w:val="none" w:sz="0" w:space="0" w:color="auto"/>
      </w:divBdr>
    </w:div>
    <w:div w:id="21223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ec.europa.eu/digital-single-market/en/news/eu-member-states-sign-cooperate-artificial-intelligenc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digital-single-market/en/news/communication-artificial-intelligence-europ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ec.europa.eu/digital-single-market/en/european-ai-alliance" TargetMode="Externa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knowledge4policy/ai-watch_en" TargetMode="External"/><Relationship Id="rId13" Type="http://schemas.openxmlformats.org/officeDocument/2006/relationships/hyperlink" Target="http://ec.europa.eu/social/BlobServlet?docId=16962&amp;langId=en" TargetMode="External"/><Relationship Id="rId18" Type="http://schemas.openxmlformats.org/officeDocument/2006/relationships/hyperlink" Target="https://ec.europa.eu/digital-single-market/en/news/new-study-digital-government-apis-apis4dgov-project" TargetMode="External"/><Relationship Id="rId26" Type="http://schemas.openxmlformats.org/officeDocument/2006/relationships/hyperlink" Target="http://ec.europa.eu/research/ege/pdf/ege_ai_statement_2018.pdf" TargetMode="External"/><Relationship Id="rId3" Type="http://schemas.openxmlformats.org/officeDocument/2006/relationships/hyperlink" Target="tel:11972" TargetMode="External"/><Relationship Id="rId21" Type="http://schemas.openxmlformats.org/officeDocument/2006/relationships/hyperlink" Target="https://ec.europa.eu/digital-single-market/en/news/eu-countries-will-cooperate-linking-genomic-databases-across-borders" TargetMode="External"/><Relationship Id="rId34" Type="http://schemas.openxmlformats.org/officeDocument/2006/relationships/hyperlink" Target="https://ec.europa.eu/jrc/communities/community/humaint" TargetMode="External"/><Relationship Id="rId7" Type="http://schemas.openxmlformats.org/officeDocument/2006/relationships/hyperlink" Target="http://s3platform.jrc.ec.europa.eu/map" TargetMode="External"/><Relationship Id="rId12" Type="http://schemas.openxmlformats.org/officeDocument/2006/relationships/hyperlink" Target="https://ec.europa.eu/digital-single-market/en/digital-opportunity-traineeships-boosting-digital-skills-job" TargetMode="External"/><Relationship Id="rId17" Type="http://schemas.openxmlformats.org/officeDocument/2006/relationships/hyperlink" Target="https://ec.europa.eu/research/openscience/index.cfm?pg=open-science-cloud" TargetMode="External"/><Relationship Id="rId25" Type="http://schemas.openxmlformats.org/officeDocument/2006/relationships/hyperlink" Target="https://ec.europa.eu/digital-single-market/en/high-level-expert-group-artificial-intelligence" TargetMode="External"/><Relationship Id="rId33" Type="http://schemas.openxmlformats.org/officeDocument/2006/relationships/hyperlink" Target="https://ec.europa.eu/digital-single-market/en/news/commission-recommendation-measures-effectively-tackle-illegal-content-online" TargetMode="External"/><Relationship Id="rId2" Type="http://schemas.openxmlformats.org/officeDocument/2006/relationships/hyperlink" Target="https://www.consilium.europa.eu/en/press/press-releases/2018/06/29/20180628-euco-conclusions-final/" TargetMode="External"/><Relationship Id="rId16" Type="http://schemas.openxmlformats.org/officeDocument/2006/relationships/hyperlink" Target="https://eur-lex.europa.eu/legal-content/EN/ALL/?uri=COM:2018:0232:FIN" TargetMode="External"/><Relationship Id="rId20" Type="http://schemas.openxmlformats.org/officeDocument/2006/relationships/hyperlink" Target="https://www.europeandataportal.eu/en/homepage" TargetMode="External"/><Relationship Id="rId29" Type="http://schemas.openxmlformats.org/officeDocument/2006/relationships/hyperlink" Target="https://ec.europa.eu/info/research-and-innovation/law-and-regulations/identifying-barriers-innovation_en" TargetMode="External"/><Relationship Id="rId1" Type="http://schemas.openxmlformats.org/officeDocument/2006/relationships/hyperlink" Target="https://publications.europa.eu/en/publication-detail/-/publication/28e1c485-476a-11e8-be1d-01aa75ed71a1/language-en" TargetMode="External"/><Relationship Id="rId6" Type="http://schemas.openxmlformats.org/officeDocument/2006/relationships/hyperlink" Target="https://ec.europa.eu/jrc/en/publication/eur-scientific-and-technical-research-reports/economics-ownership-access-and-trade-digital-data" TargetMode="External"/><Relationship Id="rId11" Type="http://schemas.openxmlformats.org/officeDocument/2006/relationships/hyperlink" Target="https://jointventure.org/images/stories/pdf/index2018.pdf" TargetMode="External"/><Relationship Id="rId24" Type="http://schemas.openxmlformats.org/officeDocument/2006/relationships/hyperlink" Target="https://eur-lex.europa.eu/legal-content/EN/TXT/?qid=1539766272141&amp;uri=CELEX:52018SC0125" TargetMode="External"/><Relationship Id="rId32" Type="http://schemas.openxmlformats.org/officeDocument/2006/relationships/hyperlink" Target="https://ec.europa.eu/digital-single-market/en/news/regulation-promoting-fairness-and-transparency-business-users-online-intermediation-services" TargetMode="External"/><Relationship Id="rId5" Type="http://schemas.openxmlformats.org/officeDocument/2006/relationships/hyperlink" Target="https://ec.europa.eu/digital-single-market/en/blogposts/eurohpc-joint-undertaking-looking-ahead-2019-2020-and-beyond" TargetMode="External"/><Relationship Id="rId15" Type="http://schemas.openxmlformats.org/officeDocument/2006/relationships/hyperlink" Target="https://ec.europa.eu/digital-single-market/en/business-business-trading-practices" TargetMode="External"/><Relationship Id="rId23" Type="http://schemas.openxmlformats.org/officeDocument/2006/relationships/hyperlink" Target="https://eur-lex.europa.eu/legal-content/EN/ALL/?uri=COM:2018:0232:FIN" TargetMode="External"/><Relationship Id="rId28" Type="http://schemas.openxmlformats.org/officeDocument/2006/relationships/hyperlink" Target="https://ec.europa.eu/digital-single-market/en/eu-cybersecurity-certification-framework" TargetMode="External"/><Relationship Id="rId10" Type="http://schemas.openxmlformats.org/officeDocument/2006/relationships/hyperlink" Target="http://www.pocbigdata.eu/monitorICTonlinevacancies/general_info/" TargetMode="External"/><Relationship Id="rId19" Type="http://schemas.openxmlformats.org/officeDocument/2006/relationships/hyperlink" Target="http://s3platform.jrc.ec.europa.eu/artificial-intelligence" TargetMode="External"/><Relationship Id="rId31" Type="http://schemas.openxmlformats.org/officeDocument/2006/relationships/hyperlink" Target="https://eur-lex.europa.eu/legal-content/EN/TXT/?uri=CELEX:32014L0065" TargetMode="External"/><Relationship Id="rId4" Type="http://schemas.openxmlformats.org/officeDocument/2006/relationships/hyperlink" Target="https://europa.eu/european-union/about-eu/agencies/ecsel_en" TargetMode="External"/><Relationship Id="rId9" Type="http://schemas.openxmlformats.org/officeDocument/2006/relationships/hyperlink" Target="https://ec.europa.eu/digital-single-market/en/news/new-5g-cross-border-corridors-connected-and-automated-mobility-baltics-will-allow-testing" TargetMode="External"/><Relationship Id="rId14" Type="http://schemas.openxmlformats.org/officeDocument/2006/relationships/hyperlink" Target="https://ec.europa.eu/research/mariecurieactions/" TargetMode="External"/><Relationship Id="rId22" Type="http://schemas.openxmlformats.org/officeDocument/2006/relationships/hyperlink" Target="https://ec.europa.eu/research/participants/portal/desktop/en/opportunities/h2020/calls/h2020-ict-2018-2020.html" TargetMode="External"/><Relationship Id="rId27" Type="http://schemas.openxmlformats.org/officeDocument/2006/relationships/hyperlink" Target="https://ec.europa.eu/digital-single-market/en/european-ai-alliance" TargetMode="External"/><Relationship Id="rId30" Type="http://schemas.openxmlformats.org/officeDocument/2006/relationships/hyperlink" Target="https://eur-lex.europa.eu/legal-content/EN/TXT/?uri=CELEX:32016R0679" TargetMode="External"/><Relationship Id="rId35" Type="http://schemas.openxmlformats.org/officeDocument/2006/relationships/hyperlink" Target="https://www.sitra.fi/en/news/artificial-intelligence-based-systems-help-achieve-better-services-cost-savings-social-health-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66aabb8-7ec2-447a-a7ff-f911015037e7">UVNUSV5RWJH5-855293799-1225</_dlc_DocId>
    <_dlc_DocIdUrl xmlns="866aabb8-7ec2-447a-a7ff-f911015037e7">
      <Url>https://myintracomm-collab.ec.europa.eu/dg/CONNECT/_layouts/15/DocIdRedir.aspx?ID=UVNUSV5RWJH5-855293799-1225</Url>
      <Description>UVNUSV5RWJH5-855293799-1225</Description>
    </_dlc_DocIdUrl>
    <EC_Collab_Reference xmlns="d70ba862-ef36-4620-a650-3754802da26b" xsi:nil="true"/>
    <EC_Collab_DocumentLanguage xmlns="d70ba862-ef36-4620-a650-3754802da26b" xsi:nil="true"/>
    <Finalized xmlns="d70ba862-ef36-4620-a650-3754802da26b" xsi:nil="true"/>
    <Document_x0020_Owner xmlns="d70ba862-ef36-4620-a650-3754802da26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B3629005A782754CB4409FD9A1DD9F6F" ma:contentTypeVersion="11" ma:contentTypeDescription="Create a new document." ma:contentTypeScope="" ma:versionID="45e7f1f19d9373fb2945ee7f2ce6deda">
  <xsd:schema xmlns:xsd="http://www.w3.org/2001/XMLSchema" xmlns:xs="http://www.w3.org/2001/XMLSchema" xmlns:p="http://schemas.microsoft.com/office/2006/metadata/properties" xmlns:ns3="d70ba862-ef36-4620-a650-3754802da26b" xmlns:ns4="866aabb8-7ec2-447a-a7ff-f911015037e7" targetNamespace="http://schemas.microsoft.com/office/2006/metadata/properties" ma:root="true" ma:fieldsID="8d412c3a430c09c544f354ffa79fdd14" ns3:_="" ns4:_="">
    <xsd:import namespace="d70ba862-ef36-4620-a650-3754802da26b"/>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3:Document_x0020_Owner" minOccurs="0"/>
                <xsd:element ref="ns3:Finalize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ba862-ef36-4620-a650-3754802da26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Document_x0020_Owner" ma:index="14" nillable="true" ma:displayName="Document Owner" ma:internalName="Document_x0020_Owner">
      <xsd:simpleType>
        <xsd:restriction base="dms:Text">
          <xsd:maxLength value="255"/>
        </xsd:restriction>
      </xsd:simpleType>
    </xsd:element>
    <xsd:element name="Finalized" ma:index="15" nillable="true" ma:displayName="Finalized" ma:default="Yes" ma:format="Dropdown" ma:internalName="Finaliz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8EC0E01-4612-4803-84D1-094489FBFAD8}">
  <ds:schemaRefs>
    <ds:schemaRef ds:uri="http://schemas.microsoft.com/sharepoint/v3/contenttype/forms"/>
  </ds:schemaRefs>
</ds:datastoreItem>
</file>

<file path=customXml/itemProps2.xml><?xml version="1.0" encoding="utf-8"?>
<ds:datastoreItem xmlns:ds="http://schemas.openxmlformats.org/officeDocument/2006/customXml" ds:itemID="{E6C24691-96B2-43EC-BB37-F2AFFB7402AA}">
  <ds:schemaRefs>
    <ds:schemaRef ds:uri="http://schemas.microsoft.com/sharepoint/events"/>
  </ds:schemaRefs>
</ds:datastoreItem>
</file>

<file path=customXml/itemProps3.xml><?xml version="1.0" encoding="utf-8"?>
<ds:datastoreItem xmlns:ds="http://schemas.openxmlformats.org/officeDocument/2006/customXml" ds:itemID="{2357B389-7524-47B6-ABD2-CAEFFF92855C}">
  <ds:schemaRefs>
    <ds:schemaRef ds:uri="http://schemas.microsoft.com/office/2006/metadata/properties"/>
    <ds:schemaRef ds:uri="http://schemas.microsoft.com/office/infopath/2007/PartnerControls"/>
    <ds:schemaRef ds:uri="866aabb8-7ec2-447a-a7ff-f911015037e7"/>
    <ds:schemaRef ds:uri="d70ba862-ef36-4620-a650-3754802da26b"/>
  </ds:schemaRefs>
</ds:datastoreItem>
</file>

<file path=customXml/itemProps4.xml><?xml version="1.0" encoding="utf-8"?>
<ds:datastoreItem xmlns:ds="http://schemas.openxmlformats.org/officeDocument/2006/customXml" ds:itemID="{03C7C50E-A3A1-42B0-9576-8621F8AC2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ba862-ef36-4620-a650-3754802da26b"/>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DD671E-0395-474B-A79F-0410B6EC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25</Pages>
  <Words>6758</Words>
  <Characters>60964</Characters>
  <Application>Microsoft Office Word</Application>
  <DocSecurity>0</DocSecurity>
  <Lines>883</Lines>
  <Paragraphs>203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67519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ORSSICH Irina (CNECT)</dc:creator>
  <cp:lastModifiedBy>WES PDFC Administrator</cp:lastModifiedBy>
  <cp:revision>13</cp:revision>
  <cp:lastPrinted>2018-11-28T16:23:00Z</cp:lastPrinted>
  <dcterms:created xsi:type="dcterms:W3CDTF">2018-11-30T16:09:00Z</dcterms:created>
  <dcterms:modified xsi:type="dcterms:W3CDTF">2018-12-12T08:51:00Z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0x010100258AA79CEB83498886A3A0868112325000B3629005A782754CB4409FD9A1DD9F6F</vt:lpwstr>
  </property>
  <property fmtid="{D5CDD505-2E9C-101B-9397-08002B2CF9AE}" pid="3" name="_dlc_DocIdItemGuid">
    <vt:lpwstr>5c1a9e25-d22a-44da-aa2b-5d0061adbd07</vt:lpwstr>
  </property>
  <property fmtid="{D5CDD505-2E9C-101B-9397-08002B2CF9AE}" pid="4" name="ContentRemapped">
    <vt:lpwstr>true</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y fmtid="{D5CDD505-2E9C-101B-9397-08002B2CF9AE}" pid="11" name="First annex">
    <vt:lpwstr>1</vt:lpwstr>
  </property>
  <property fmtid="{D5CDD505-2E9C-101B-9397-08002B2CF9AE}" pid="12" name="Last annex">
    <vt:lpwstr>1</vt:lpwstr>
  </property>
  <property fmtid="{D5CDD505-2E9C-101B-9397-08002B2CF9AE}" pid="13" name="Unique annex">
    <vt:lpwstr>1</vt:lpwstr>
  </property>
</Properties>
</file>