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D5C974B-DC7D-4E22-8CF8-9E57D03BE725"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Τον Οκτώβριο του 2017</w:t>
      </w:r>
      <w:r>
        <w:rPr>
          <w:rStyle w:val="FootnoteReference"/>
          <w:noProof/>
        </w:rPr>
        <w:footnoteReference w:id="2"/>
      </w:r>
      <w:r>
        <w:rPr>
          <w:noProof/>
        </w:rPr>
        <w:t>, η Επιτροπή είχε ήδη δεσμευτεί να επικεντρωθεί στις διοικητικές δυνατότητες των φορολογικών αρχών ώστε να καταπολεμηθεί η απάτη στον τομέα του ΦΠΑ του ηλεκτρονικού εμπορίου μέσω της βελτίωσης της συνεργασίας με τρίτα μέρη. Στη δήλωση που συμπεριλήφθηκε στα πρακτικά για τη θέσπιση της οδηγίας (ΕΕ) 2017/2455 του Συμβουλίου (η οδηγία για τον ΦΠΑ στον τομέα του ηλεκτρονικού εμπορίου)</w:t>
      </w:r>
      <w:r>
        <w:rPr>
          <w:rStyle w:val="FootnoteReference"/>
          <w:noProof/>
        </w:rPr>
        <w:footnoteReference w:id="3"/>
      </w:r>
      <w:r>
        <w:rPr>
          <w:noProof/>
        </w:rPr>
        <w:t xml:space="preserve"> τον Δεκέμβριο του 2017, το Συμβούλιο υπογράμμιζε την ανάγκη να βελτιωθούν τα μέσα καταπολέμησης της απάτης</w:t>
      </w:r>
      <w:r>
        <w:rPr>
          <w:rStyle w:val="FootnoteReference"/>
          <w:noProof/>
        </w:rPr>
        <w:footnoteReference w:id="4"/>
      </w:r>
      <w:r>
        <w:rPr>
          <w:noProof/>
        </w:rPr>
        <w:t>. Η τρέχουσα πρωτοβουλία για την καταπολέμηση της απάτης στον τομέα του ΦΠΑ του ηλεκτρονικού εμπορίου λειτουργεί συμπληρωματικά και προετοιμάζει το έδαφος για την ομαλή εφαρμογή των νέων μέτρων, τα οποία θεσπίστηκαν με την οδηγία για τον ΦΠΑ στον τομέα του ηλεκτρονικού εμπορίου στο πλαίσιο της στρατηγικής της Επιτροπής για την ψηφιακή ενιαία αγορά</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Ειδικότερα, με την οδηγία για τον ΦΠΑ στον τομέα του ηλεκτρονικού εμπορίου καθιερώθηκαν νέες υποχρεώσεις για τις ηλεκτρονικές αγορές στον τομέα του ΦΠΑ</w:t>
      </w:r>
      <w:r>
        <w:rPr>
          <w:rStyle w:val="FootnoteReference"/>
          <w:noProof/>
        </w:rPr>
        <w:footnoteReference w:id="6"/>
      </w:r>
      <w:r>
        <w:rPr>
          <w:noProof/>
        </w:rPr>
        <w:t xml:space="preserve"> και νέα μέτρα απλούστευσης, τα οποία βοηθούν τις επιχειρήσεις να συμμορφωθούν με τις υποχρεώσεις που απορρέουν από τον ΦΠΑ στις παροχές υπηρεσιών, στις πωλήσεις αγαθών εξ αποστάσεως και στις εισαγωγές, όπως, μεταξύ άλλων, η ηλεκτρονική εγγραφή στα μητρώα ΦΠΑ και η καταβολή του ΦΠΑ μέσω της υπηρεσίας μίας στάσης (εγγραφή σε ένα και μόνο κράτος μέλος και όχι σε όλα τα κράτη μέλη κατανάλωσης). Τα μέτρα αυτά θα ενισχύσουν τη συμμόρφωση με τη νομοθεσία περί ΦΠΑ απλουστεύοντας το σύστημα ΦΠΑ, αλλά οι φορολογικές αρχές πρέπει, σε κάθε περίπτωση, να μπορούν να εντοπίζουν και να ελέγχουν τις επιχειρήσεις που διαπράττουν απάτη. Ο στόχος αυτός δυσκολεύει προς το παρόν τις φορολογικές αρχές. Το Ευρωπαϊκό Ελεγκτικό Συνέδριο</w:t>
      </w:r>
      <w:r>
        <w:rPr>
          <w:rStyle w:val="FootnoteReference"/>
          <w:noProof/>
        </w:rPr>
        <w:footnoteReference w:id="7"/>
      </w:r>
      <w:r>
        <w:rPr>
          <w:noProof/>
        </w:rPr>
        <w:t xml:space="preserve"> έχει επισημάνει ότι η νομοθεσία </w:t>
      </w:r>
      <w:r>
        <w:rPr>
          <w:noProof/>
        </w:rPr>
        <w:lastRenderedPageBreak/>
        <w:t>περί ΦΠΑ στο ηλεκτρονικό εμπόριο εξαρτάται ουσιαστικά από την προθυμία των επιχειρήσεων να εγγραφούν οικειοθελώς στα μητρώα ΦΠΑ και να καταβάλουν τον οφειλόμενο ΦΠΑ. Ωστόσο, υπάρχουν περιορισμοί ως προς τον τρόπο με τον οποίο τα κράτη μέλη μπορούν να χρησιμοποιούν το ισχύον νομικό πλαίσιο διοικητικής συνεργασίας. Αν οι προαναφερθείσες ρυθμίσεις για την απλούστευση της συμμόρφωσης δεν συνοδευτούν από μέτρα για την καταπολέμηση της απάτης, οι επιχειρήσεις που διαπράττουν απάτη δεν θα έχουν σοβαρό κίνητρο να αλλάξουν συμπεριφορά και να αρχίσουν να συμμορφώνονται με τις υποχρεώσεις που απορρέουν από τον ΦΠΑ. Ως εκ τούτου, η επιτυχία των μέτρων συμμόρφωσης στο ηλεκτρονικό εμπόριο εξαρτάται επίσης και από την αποτελεσματικότητα των μέτρων για την καταπολέμηση της απάτης, τα οποία πρέπει να εκπονηθούν παράλληλα.</w:t>
      </w:r>
    </w:p>
    <w:p>
      <w:pPr>
        <w:pBdr>
          <w:top w:val="nil"/>
          <w:left w:val="nil"/>
          <w:bottom w:val="nil"/>
          <w:right w:val="nil"/>
          <w:between w:val="nil"/>
          <w:bar w:val="nil"/>
        </w:pBdr>
        <w:spacing w:before="0" w:after="240"/>
        <w:rPr>
          <w:rFonts w:eastAsia="Arial Unicode MS"/>
          <w:noProof/>
        </w:rPr>
      </w:pPr>
      <w:r>
        <w:rPr>
          <w:noProof/>
        </w:rPr>
        <w:t>Το ηλεκτρονικό εμπόριο αναπτύσσεται ραγδαία τα τελευταία χρόνια και βοηθά τους καταναλωτές να αγοράζουν αγαθά και υπηρεσίες από το διαδίκτυο. Οι καταναλωτές έχουν τη δυνατότητα να επιλέγουν μεταξύ διαφορετικών προμηθευτών, προϊόντων και εμπορικών επωνυμιών. Έχουν επίσης τη δυνατότητα να πληρώνουν για τις αγορές τους μέσω του διαδικτύου με ασφάλεια, χωρίς να απομακρυνθούν από τον υπολογιστή τους ή από το έξυπνο κινητό τους τηλέφωνο. Οι προμηθευτές έχουν αλλάξει τα επιχειρηματικά τους μοντέλα προκειμένου να επωφεληθούν από το ηλεκτρονικό εμπόριο και να πωλούν τα προϊόντα τους στους καταναλωτές όλου του κόσμου χωρίς να είναι αναγκαία η φυσική τους παρουσία στη λιανική αγορά. Ωστόσο, την ευκαιρία αυτή εκμεταλλεύονται και ανέντιμες επιχειρήσεις, οι οποίες προσπαθούν να αποκομίσουν αθέμιτο ανταγωνιστικό πλεονέκτημα μέσω της αθέτησης των υποχρεώσεών τους που απορρέουν από τον ΦΠΑ.</w:t>
      </w:r>
    </w:p>
    <w:p>
      <w:pPr>
        <w:pBdr>
          <w:top w:val="nil"/>
          <w:left w:val="nil"/>
          <w:bottom w:val="nil"/>
          <w:right w:val="nil"/>
          <w:between w:val="nil"/>
          <w:bar w:val="nil"/>
        </w:pBdr>
        <w:spacing w:before="0" w:after="240"/>
        <w:rPr>
          <w:rFonts w:eastAsia="Arial Unicode MS"/>
          <w:noProof/>
        </w:rPr>
      </w:pPr>
      <w:r>
        <w:rPr>
          <w:noProof/>
        </w:rPr>
        <w:t>Στην εκτίμηση επιπτώσεων που επισυνάπτεται στην παρούσα πρόταση εντοπίστηκαν τρεις βασικές περιπτώσεις απάτης στον τομέα του ΦΠΑ στο διασυνοριακό ηλεκτρονικό εμπόριο: i) ενδοενωσιακές παραδόσεις αγαθών και παροχές υπηρεσιών, ii) εισαγωγές αγαθών σε καταναλωτές των κρατών μελών από επιχειρήσεις που είναι εγκατεστημένες σε τρίτη χώρα ή τρίτο έδαφος (δηλαδή σε χώρα ή έδαφος εκτός της ΕΕ), και iii) παροχές υπηρεσιών σε καταναλωτές των κρατών μελών από επιχειρήσεις που είναι εγκατεστημένες σε τρίτη χώρα</w:t>
      </w:r>
      <w:r>
        <w:rPr>
          <w:rStyle w:val="FootnoteReference"/>
          <w:rFonts w:eastAsia="Times New Roman"/>
          <w:noProof/>
          <w:szCs w:val="24"/>
          <w:lang w:eastAsia="en-GB"/>
        </w:rPr>
        <w:footnoteReference w:id="8"/>
      </w:r>
      <w:r>
        <w:rPr>
          <w:noProof/>
        </w:rPr>
        <w:t xml:space="preserve">. </w:t>
      </w:r>
    </w:p>
    <w:p>
      <w:pPr>
        <w:rPr>
          <w:rFonts w:eastAsia="Arial Unicode MS"/>
          <w:noProof/>
        </w:rPr>
      </w:pPr>
      <w:r>
        <w:rPr>
          <w:noProof/>
        </w:rPr>
        <w:t>Οι συνολικές απώλειες εσόδων στα κράτη μέλη λόγω της μη είσπραξης του ΦΠΑ από τις διασυνοριακές παραδόσεις αγαθών εκτιμώνται σε 5 δισ. EUR ετησίως</w:t>
      </w:r>
      <w:r>
        <w:rPr>
          <w:rStyle w:val="FootnoteReference"/>
          <w:noProof/>
        </w:rPr>
        <w:footnoteReference w:id="9"/>
      </w:r>
      <w:r>
        <w:rPr>
          <w:noProof/>
        </w:rPr>
        <w:t>. Απάτη στον τομέα του ΦΠΑ έχει επίσης αναφερθεί στις διασυνοριακές παροχές υπηρεσιών, και κυρίως στη διαδικτυακή τηλεόραση και στα ψηφιακά παιχνίδια</w:t>
      </w:r>
      <w:r>
        <w:rPr>
          <w:rStyle w:val="FootnoteReference"/>
          <w:noProof/>
        </w:rPr>
        <w:footnoteReference w:id="10"/>
      </w:r>
      <w:r>
        <w:rPr>
          <w:noProof/>
        </w:rPr>
        <w:t>. Η απάτη αυτή καταγράφηκε από την Ευρωπόλ και το Γραφείο Διανοητικής Ιδιοκτησίας της Ευρωπαϊκής Ένωσης στην τελευταία έκθεση της Ευρωπόλ για την παράνομη διανομή τηλεοπτικών εκπομπών (και τις παράνομες πωλήσεις πρόσβασης σε αυτές)</w:t>
      </w:r>
      <w:r>
        <w:rPr>
          <w:rStyle w:val="FootnoteReference"/>
          <w:noProof/>
        </w:rPr>
        <w:footnoteReference w:id="11"/>
      </w:r>
      <w:r>
        <w:rPr>
          <w:noProof/>
        </w:rPr>
        <w:t xml:space="preserve">. Η απάτη αυτή έχει επίσης καταγραφεί από τον οργανισμό </w:t>
      </w:r>
      <w:r>
        <w:rPr>
          <w:noProof/>
        </w:rPr>
        <w:lastRenderedPageBreak/>
        <w:t>τηλεοπτικής βιομηχανίας για την προστασία περιεχομένου των Σκανδιναβικών Χωρών (Nordic Content Protection - NCP)</w:t>
      </w:r>
      <w:r>
        <w:rPr>
          <w:rStyle w:val="FootnoteReference"/>
          <w:noProof/>
        </w:rPr>
        <w:footnoteReference w:id="12"/>
      </w:r>
      <w:r>
        <w:rPr>
          <w:noProof/>
        </w:rPr>
        <w:t>. Μόνο οι διανομείς διαδικτυακού τηλεοπτικού περιεχομένου στη Δανία, τη Φινλανδία και τη Σουηδία (οι χώρες αυτές αντιπροσωπεύουν αθροιστικά λιγότερο από το 10 % του συνόλου της αγοράς της διαδικτυακής τηλεόρασης της ΕΕ από πλευράς εσόδων)</w:t>
      </w:r>
      <w:r>
        <w:rPr>
          <w:rStyle w:val="FootnoteReference"/>
          <w:noProof/>
        </w:rPr>
        <w:footnoteReference w:id="13"/>
      </w:r>
      <w:r>
        <w:rPr>
          <w:noProof/>
        </w:rPr>
        <w:t xml:space="preserve"> υπολογίζουν την ετήσια απώλεια πωλήσεων από την παράνομη διανομή σε 436 εκατ. EUR. Το ποσό αυτό αντιστοιχεί σε δυνητικές απώλειες εσόδων ΦΠΑ ύψους περίπου 103 εκατ. EUR</w:t>
      </w:r>
      <w:r>
        <w:rPr>
          <w:rStyle w:val="FootnoteReference"/>
          <w:noProof/>
          <w:szCs w:val="24"/>
        </w:rPr>
        <w:footnoteReference w:id="14"/>
      </w:r>
      <w:r>
        <w:rPr>
          <w:noProof/>
        </w:rPr>
        <w:t>. Τα εν λόγω ποσά (τα οποία θα αυξάνονται όσο αναπτύσσεται το ηλεκτρονικό εμπόριο) αποδεικνύουν ότι καθίσταται επιτακτική ανάγκη να ληφθούν μέτρα για την καταπολέμηση της απάτης στον τομέα του ΦΠΑ του ηλεκτρονικού εμπορίου. Ωστόσο, οι περισσότερες φορολογικές αρχές δεν διαθέτουν τα μέσα και τις πηγές πληροφοριών για να προσδιορίσουν ποσοτικά τα επίπεδα της απάτης στον τομέα του ΦΠΑ του ηλεκτρονικού εμπορίου</w:t>
      </w:r>
      <w:r>
        <w:rPr>
          <w:rStyle w:val="FootnoteReference"/>
          <w:noProof/>
        </w:rPr>
        <w:footnoteReference w:id="15"/>
      </w:r>
      <w:r>
        <w:rPr>
          <w:noProof/>
        </w:rPr>
        <w:t>. Το διαδίκτυο δίνει τη δυνατότητα στις επιχειρήσεις που διαπράττουν απάτη στον τομέα του ΦΠΑ του ηλεκτρονικού εμπορίου να κρύβουν την ταυτότητά τους πίσω από ένα όνομα χώρου (domain name). Ακόμα και αν η φορολογική αρχή γνωρίζει την ύπαρξη συγκεκριμένου διαδικτυακού καταστήματος, η ταυτότητα της επιχείρησης που κρύβεται πίσω από αυτό, η πραγματική της τοποθεσία ή ο κύκλος εργασιών της στο εκάστοτε κράτος μέλος παραμένουν συχνά άγνωστοι. Το φαινόμενο αυτό αποτελεί πρόβλημα για τις φορολογικές αρχές, οι οποίες χρειάζεται συχνά να κινούν έρευνες ή να προσφεύγουν στη διοικητική συνεργασία σε ενωσιακό ή διεθνές επίπεδο. Τα κράτη μέλη κατανάλωσης, στα οποία πρέπει να καταβληθεί ο ΦΠΑ, δεν διαθέτουν τις περισσότερες φορές αρχεία ή πληροφορίες για την έναρξη της έρευνας. Αυτό συμβαίνει επειδή οι τελικοί καταναλωτές δεν έχουν την υποχρέωση να τηρούν αρχείο για τις διαδικτυακές τους αγορές. Ακόμα όμως και αν υπήρχε η υποχρέωση αυτή, θα ήταν δυσανάλογο να ζητούνται σε συστηματική βάση πληροφορίες από τους τελικούς καταναλωτές για να διερευνώνται απάτες που διαπράττονται στον τομέα του ΦΠΑ από τους πωλητές.</w:t>
      </w:r>
    </w:p>
    <w:p>
      <w:pPr>
        <w:rPr>
          <w:rFonts w:eastAsia="Arial Unicode MS"/>
          <w:noProof/>
        </w:rPr>
      </w:pPr>
      <w:r>
        <w:rPr>
          <w:noProof/>
        </w:rPr>
        <w:t>Επιπλέον, όταν δεν είναι γνωστές ούτε οι επιχειρήσεις που διαπράττουν απάτη, αλλά ούτε και η τοποθεσία των επιχειρήσεων αυτών, δεν είναι πολύ εύκολο να προσδιοριστεί το κράτος μέλος στο οποίο θα πρέπει να απευθυνθεί η αίτηση για διοικητική συνεργασία.</w:t>
      </w:r>
    </w:p>
    <w:p>
      <w:pPr>
        <w:pBdr>
          <w:top w:val="nil"/>
          <w:left w:val="nil"/>
          <w:bottom w:val="nil"/>
          <w:right w:val="nil"/>
          <w:between w:val="nil"/>
          <w:bar w:val="nil"/>
        </w:pBdr>
        <w:spacing w:before="0" w:after="240"/>
        <w:rPr>
          <w:rFonts w:eastAsia="Times New Roman"/>
          <w:noProof/>
          <w:szCs w:val="24"/>
        </w:rPr>
      </w:pPr>
      <w:r>
        <w:rPr>
          <w:noProof/>
        </w:rPr>
        <w:t>Η δυσκολία αυτή θα ήταν δυνατό να οδηγήσει σε αποστολή μαζικών αιτήσεων ταυτοποίησης. Τα αιτήματα αυτά θα πρέπει να αποστέλλονται είτε σε τρίτο (δηλ. στη διαδικτυακή αγορά ή στους παρόχους υπηρεσιών πληρωμών) που θα μπορούσε ενδεχομένως να κατέχει τις πληροφορίες, είτε στις φορολογικές αρχές της χώρας στην οποία είναι εγκατεστημένος ο τρίτος. Ωστόσο, η διαδικασία αυτή θα μπορούσε να θεωρηθεί δυσανάλογη με βάση το άρθρο 54 παράγραφος 1 του κανονισμού (ΕΕ) αριθ. 904/2010. Επιπλέον, δυνάμει του άρθρου 54 παράγραφος 2 του ίδιου κανονισμού, τα κράτη μέλη δεν είναι υποχρεωμένα να παρέχουν πληροφορίες αν η εθνική τους νομοθεσία δεν τους επιτρέπει να συλλέγουν αυτές τις πληροφορίες. Η διάταξη αυτή περιορίζει τις δυνατότητες των κρατών μελών να ζητούν δεδομένα για τρίτους από άλλα κράτη μέλη.</w:t>
      </w:r>
    </w:p>
    <w:p>
      <w:pPr>
        <w:rPr>
          <w:noProof/>
          <w:szCs w:val="24"/>
        </w:rPr>
      </w:pPr>
      <w:r>
        <w:rPr>
          <w:noProof/>
        </w:rPr>
        <w:lastRenderedPageBreak/>
        <w:t>Η παρούσα πρόταση αποσκοπεί στην επίλυση του προβλήματος της απάτης στον τομέα του ΦΠΑ του ηλεκτρονικού εμπορίου μέσω της ενίσχυσης της συνεργασίας μεταξύ των φορολογικών αρχών και των παρόχων υπηρεσιών πληρωμών. Τα τελευταία χρόνια, πάνω από το 90 % των διαδικτυακών αγορών των Ευρωπαίων πελατών διεκπεραιώνονται με μεταφορές πιστώσεων, με άμεσες χρεώσεις και με πληρωμές με κάρτα, δηλαδή μέσω ενός μεσάζοντα που συμμετέχει στη συναλλαγή</w:t>
      </w:r>
      <w:r>
        <w:rPr>
          <w:rStyle w:val="FootnoteReference"/>
          <w:noProof/>
        </w:rPr>
        <w:footnoteReference w:id="16"/>
      </w:r>
      <w:r>
        <w:rPr>
          <w:noProof/>
        </w:rPr>
        <w:t xml:space="preserve"> (ο πάροχος υπηρεσιών πληρωμών), και η τάση αυτή θα συνεχιστεί και στο μέλλον</w:t>
      </w:r>
      <w:r>
        <w:rPr>
          <w:rStyle w:val="FootnoteReference"/>
          <w:noProof/>
        </w:rPr>
        <w:footnoteReference w:id="17"/>
      </w:r>
      <w:r>
        <w:rPr>
          <w:noProof/>
        </w:rPr>
        <w:t>. Ως εκ τούτου, οι τρίτοι που κατέχουν πληροφορίες για τις πληρωμές μπορούν να κατατοπίζουν πλήρως τις φορολογικές αρχές σχετικά με τις διαδικτυακές αγορές και να τις βοηθούν να επιτελούν σωστά το καθήκον που τους έχει ανατεθεί σε σχέση με την παρακολούθηση της τήρησης των υποχρεώσεων που απορρέουν από τον ΦΠΑ στις παραδόσεις αγαθών και στις παροχές υπηρεσιών του ηλεκτρονικού εμπορίου. Η εμπειρία των κρατών μελών που συνεργάζονται ήδη με παρόχους υπηρεσιών πληρωμών σε εθνικό επίπεδο έχει αποδείξει ότι η συνεργασία με παρόχους υπηρεσιών πληρωμών αποδίδει απτά αποτελέσματα για την καταπολέμηση της απάτης στον τομέα του ΦΠΑ του ηλεκτρονικού εμπορίου</w:t>
      </w:r>
      <w:r>
        <w:rPr>
          <w:rStyle w:val="FootnoteReference"/>
          <w:noProof/>
        </w:rPr>
        <w:footnoteReference w:id="18"/>
      </w:r>
      <w:r>
        <w:rPr>
          <w:noProof/>
        </w:rPr>
        <w:t>. Ορισμένες τρίτες χώρες χρησιμοποιούν επίσης τις πληροφορίες για τις πληρωμές ως μέσο εντοπισμού μη συμμορφούμενων εμπόρων σε συνδυασμό με απλουστευμένα καθεστώτα είσπραξης για τις διασυνοριακές παραδόσεις αγαθών από επιχειρήσεις σε πελάτες (B2C), τα οποία προσομοιάζουν στο σύστημα της ΕΕ</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rPr>
          <w:noProof/>
          <w:szCs w:val="24"/>
        </w:rPr>
      </w:pPr>
      <w:r>
        <w:rPr>
          <w:noProof/>
        </w:rPr>
        <w:t>Η παρούσα πρόταση συμπληρώνει το ισχύον κανονιστικό πλαίσιο για τον ΦΠΑ, όπως τροποποιήθηκε πρόσφατα με την οδηγία για τον ΦΠΑ στον τομέα του ηλεκτρονικού εμπορίου στο πλαίσιο της στρατηγικής της Επιτροπής για την ψηφιακή ενιαία αγορά. Επιπλέον, η παρούσα πρωτοβουλία ενισχύει το πλαίσιο της διοικητικής συνεργασίας με σκοπό την καλύτερη αντιμετώπιση της απάτης που διαπράττεται στον τομέα του ΦΠΑ του ηλεκτρονικού εμπορίου και την αποκατάσταση του δίκαιου ανταγωνισμού. Η καταπολέμηση της φοροδιαφυγής και της φοροαποφυγής με σκοπό την πρόληψη των στρεβλώσεων του ανταγωνισμού και τη στήριξη των εσόδων σε εθνικό και ενωσιακό επίπεδο αποτελεί προτεραιότητα της Επιτροπής. Στις πολιτικές κατευθυντήριες γραμμές</w:t>
      </w:r>
      <w:r>
        <w:rPr>
          <w:rStyle w:val="FootnoteReference"/>
          <w:noProof/>
        </w:rPr>
        <w:footnoteReference w:id="20"/>
      </w:r>
      <w:r>
        <w:rPr>
          <w:noProof/>
        </w:rPr>
        <w:t xml:space="preserve"> της εν ενεργεία Επιτροπής ζητήθηκε να καταβληθούν περισσότερες προσπάθειες για την καταπολέμηση της φοροδιαφυγής και της φοροαποφυγής, ενώ στην κατάσταση της Ένωσης του 2018</w:t>
      </w:r>
      <w:r>
        <w:rPr>
          <w:rStyle w:val="FootnoteReference"/>
          <w:noProof/>
          <w:szCs w:val="24"/>
        </w:rPr>
        <w:footnoteReference w:id="21"/>
      </w:r>
      <w:r>
        <w:rPr>
          <w:noProof/>
        </w:rPr>
        <w:t xml:space="preserve"> επαναλαμβάνεται ότι η Επιτροπή ακολουθεί ολοκληρωμένη στρατηγική για να διασφαλίσει ότι όλες οι εταιρείες, μικρές και μεγάλες, καταβάλλουν το μερίδιο φόρου που τους αναλογεί.</w:t>
      </w:r>
    </w:p>
    <w:p>
      <w:pPr>
        <w:rPr>
          <w:rFonts w:eastAsia="Times New Roman"/>
          <w:noProof/>
          <w:szCs w:val="24"/>
        </w:rPr>
      </w:pPr>
      <w:r>
        <w:rPr>
          <w:noProof/>
        </w:rPr>
        <w:lastRenderedPageBreak/>
        <w:t>Ο κανονισμός (ΕΕ) 2018/1541</w:t>
      </w:r>
      <w:r>
        <w:rPr>
          <w:rStyle w:val="FootnoteReference"/>
          <w:noProof/>
        </w:rPr>
        <w:footnoteReference w:id="22"/>
      </w:r>
      <w:r>
        <w:rPr>
          <w:noProof/>
        </w:rPr>
        <w:t xml:space="preserve"> για την τροποποίηση του κανονισμού (ΕΕ) αριθ. 904/2010 σχετικά με τη διοικητική συνεργασία και την καταπολέμηση της απάτης στον τομέα του φόρου προστιθέμενης αξίας</w:t>
      </w:r>
      <w:r>
        <w:rPr>
          <w:rStyle w:val="FootnoteReference"/>
          <w:noProof/>
        </w:rPr>
        <w:footnoteReference w:id="23"/>
      </w:r>
      <w:r>
        <w:rPr>
          <w:noProof/>
        </w:rPr>
        <w:t xml:space="preserve"> δημιουργεί νέα μέσα διοικητικής συνεργασίας μεταξύ των φορολογικών αρχών των κρατών μελών. Τα μέσα αυτά θα χρησιμοποιούνται κυρίως για την καταπολέμηση i) της γνωστής και ως «αλυσιδωτής απάτης» (που διαπράττεται στις συναλλαγές μεταξύ επιχειρήσεων (B2B)), ii) της απάτης που διαπράττεται με το καθεστώς του περιθωρίου κέρδους το οποίο ισχύει για τα μεταχειρισμένα αυτοκίνητα, iii) της απάτης με την εκμετάλλευση συγκεκριμένων τελωνειακών καθεστώτων που ισχύουν για τις εισαγωγές οι οποίες πραγματοποιούνται από υποκείμενους στον φόρο (και σε συναλλαγές μεταξύ επιχειρήσεων (B2B)), και iv) θα επιτρέπουν κοινές δράσεις των φορολογικών αρχών (δηλ. κοινές διοικητικές έρευνες). Εμπειρογνώμονες των φορολογικών αρχών και των επιχειρήσεων στο φόρουμ της ΕΕ για τον ΦΠΑ</w:t>
      </w:r>
      <w:r>
        <w:rPr>
          <w:rStyle w:val="FootnoteReference"/>
          <w:noProof/>
        </w:rPr>
        <w:footnoteReference w:id="24"/>
      </w:r>
      <w:r>
        <w:rPr>
          <w:noProof/>
        </w:rPr>
        <w:t xml:space="preserve"> υπογραμμίζουν ότι η παραδοσιακή μορφή συνεργασίας για την καταπολέμηση της απάτης στον τομέα του ΦΠΑ βασίζεται σε λογιστικά αρχεία των επιχειρήσεων που συμμετέχουν άμεσα στην αλυσίδα συναλλαγών. Δεδομένου ότι στις διασυνοριακές παραδόσεις αγαθών ή παροχές υπηρεσιών από επιχειρήσεις σε πελάτες (B2C) οι πληροφορίες αυτές ενδέχεται να μην είναι άμεσα διαθέσιμες, η «παραδοσιακή» συνεργασία μεταξύ των φορολογικών αρχών είναι ανεπαρκής</w:t>
      </w:r>
      <w:r>
        <w:rPr>
          <w:rStyle w:val="FootnoteReference"/>
          <w:noProof/>
        </w:rPr>
        <w:footnoteReference w:id="25"/>
      </w:r>
      <w:r>
        <w:rPr>
          <w:noProof/>
        </w:rPr>
        <w:t>. Για τον λόγο αυτό, η παρούσα πρωτοβουλία συμπληρώνει επίσης τις τροποποιήσεις που επήλθαν πρόσφατα στο ενωσιακό πλαίσιο διοικητικής συνεργασίας στον τομέα του ΦΠΑ, καθώς προσφέρει στις φορολογικές αρχές ένα νέο μέσο για να εντοπίζουν τις απάτες που στον τομέα του ΦΠΑ στις διασυνοριακές παραδόσεις αγαθών ή παροχές υπηρεσιών από επιχειρήσεις σε πελάτες (B2C).</w:t>
      </w:r>
    </w:p>
    <w:p>
      <w:pPr>
        <w:rPr>
          <w:noProof/>
          <w:szCs w:val="24"/>
        </w:rPr>
      </w:pPr>
      <w:r>
        <w:rPr>
          <w:noProof/>
        </w:rPr>
        <w:t>Τέλος, η πρωτοβουλία αυτή θα πρέπει επίσης να ενταχθεί σε ένα διεθνές πλαίσιο. Όταν διαπράττεται απάτη από προμηθευτές εγκατεστημένους σε τρίτη χώρα ή τρίτο έδαφος, η διεθνής συνεργασία έχει καίρια σημασία για αναγκαστική εκτέλεση των ανείσπρακτων οφειλών ΦΠΑ. Η Ένωση έχει συνάψει πρόσφατα συμφωνία για τη συνεργασία με τη Νορβηγία στον τομέα του ΦΠΑ</w:t>
      </w:r>
      <w:r>
        <w:rPr>
          <w:rStyle w:val="FootnoteReference"/>
          <w:noProof/>
        </w:rPr>
        <w:footnoteReference w:id="26"/>
      </w:r>
      <w:r>
        <w:rPr>
          <w:noProof/>
        </w:rPr>
        <w:t xml:space="preserve"> και δραστηριοποιείται στον ΟΟΣΑ για να ενισχύσει τη χρήση των μέσων διοικητικής συνεργασίας σε διεθνές επίπεδο. Η παρούσα πρωτοβουλία θα προσφέρει στα κράτη μέλη τα αποδεικτικά στοιχεία για τον εντοπισμό των επιχειρήσεων που διαπράττουν απάτη σε τρίτες χώρες. Τα στοιχεία αυτά θα χρησιμοποιηθούν ως πρώτο βήμα για την ενεργοποίηση της διεθνούς συνεργασίας ή για τη στήριξη του διεθνούς διαλόγου σχετικά με τη βελτίωση της διοικητικής συνεργασίας με άλλες δικαιοδοσίες.</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Νομική βάση της παρούσας πρωτοβουλίας είναι το άρθρο 113 της Συνθήκης για τη λειτουργία της Ευρωπαϊκής Ένωσης (ΣΛΕΕ). Το άρθρο αυτό ορίζει ότι το Συμβούλιο, αποφασίζοντας ομόφωνα σύμφωνα με ειδική νομοθετική διαδικασία, εκδίδει διατάξεις για την εναρμόνιση των κανόνων των κρατών μελών στον τομέα των έμμεσων φόρων, στον βαθμό που η εναρμόνιση αυτή είναι αναγκαία για να εξασφαλισθεί η εγκαθίδρυση και η λειτουργία της ενιαίας αγοράς και να αποφευχθούν οι στρεβλώσεις του ανταγωνισμού.</w:t>
      </w:r>
    </w:p>
    <w:p>
      <w:pPr>
        <w:pStyle w:val="ManualHeading2"/>
        <w:rPr>
          <w:noProof/>
          <w:u w:color="000000"/>
          <w:bdr w:val="nil"/>
        </w:rPr>
      </w:pPr>
      <w:r>
        <w:rPr>
          <w:noProof/>
          <w:u w:color="000000"/>
          <w:bdr w:val="nil"/>
        </w:rPr>
        <w:t>•</w:t>
      </w:r>
      <w:r>
        <w:rPr>
          <w:noProof/>
          <w:u w:color="000000"/>
          <w:bdr w:val="nil"/>
        </w:rPr>
        <w:tab/>
        <w:t xml:space="preserve">Επικουρικότητα </w:t>
      </w:r>
    </w:p>
    <w:p>
      <w:pPr>
        <w:pBdr>
          <w:top w:val="nil"/>
          <w:left w:val="nil"/>
          <w:bottom w:val="nil"/>
          <w:right w:val="nil"/>
          <w:between w:val="nil"/>
          <w:bar w:val="nil"/>
        </w:pBdr>
        <w:spacing w:before="0" w:after="240"/>
        <w:rPr>
          <w:rFonts w:eastAsia="Arial Unicode MS"/>
          <w:noProof/>
        </w:rPr>
      </w:pPr>
      <w:r>
        <w:rPr>
          <w:noProof/>
        </w:rPr>
        <w:t>Η παρούσα πρωτοβουλία συνάδει με την αρχή της επικουρικότητας, καθώς το βασικό πρόβλημα που εξετάζεται, η απάτη στον τομέα του ΦΠΑ του ηλεκτρονικού εμπορίου, είναι κοινό για όλα τα κράτη μέλη και επιδεινώνεται λόγω των ανεπαρκών μέσων που έχουν στη διάθεσή τους οι φορολογικές αρχές. Τα κράτη μέλη από μόνα τους δεν έχουν τη δυνατότητα να λαμβάνουν από τρίτους, όπως π.χ. από παρόχους υπηρεσιών πληρωμών, τις πληροφορίες που χρειάζονται ώστε να ελέγχουν τον ΦΠΑ στις διασυνοριακές παραδόσεις αγαθών και παροχές υπηρεσιών, να διασφαλίζουν ότι οι κανόνες για τον ΦΠΑ στο ηλεκτρονικό εμπόριο (όπως τροποποιήθηκαν πρόσφατα με την οδηγία για τον ΦΠΑ στο ηλεκτρονικό εμπόριο) εφαρμόζονται με ορθό τρόπο και να αντιμετωπίζουν την απάτη που διαπράττεται στον τομέα του ΦΠΑ του ηλεκτρονικού εμπορίου. Ως εκ τούτου, η συνεργασία μεταξύ των κρατών μελών έχει καίρια σημασία. Το νομικό πλαίσιο της διοικητικής συνεργασίας μεταξύ των κρατών μελών στον τομέα του ΦΠΑ προβλέπεται στον κανονισμό (ΕΕ) αριθ. 904/2010. Ως εκ τούτου, οποιαδήποτε πρωτοβουλία για τη θέσπιση νέων μέσων συνεργασίας που θα στοχεύουν σε αυτό ακριβώς το πρόβλημα, προϋποθέτει την υποβολή πρότασης από την Επιτροπή για την τροποποίηση του ισχύοντος νομικού πλαισίου της ΕΕ. Προκειμένου να μπορούν οι φορολογικές αρχές να συλλέγουν δεδομένα για πληρωμές σχετικές με τον ΦΠΑ, πρέπει να θεσπιστούν νέες υποχρεώσεις τήρησης αρχείων για τους παρόχους υπηρεσιών πληρωμών. Για τον σκοπό αυτό, πρέπει να υποβληθεί πρόταση με σκοπό την τροποποίηση της οδηγίας σχετικά με τον ΦΠΑ.</w:t>
      </w:r>
    </w:p>
    <w:p>
      <w:pPr>
        <w:pStyle w:val="ManualHeading2"/>
        <w:rPr>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szCs w:val="24"/>
        </w:rPr>
      </w:pPr>
      <w:r>
        <w:rPr>
          <w:noProof/>
        </w:rPr>
        <w:t xml:space="preserve">Η παρούσα πρόταση δεν υπερβαίνει τα αναγκαία όρια για την επίτευξη του στόχου της αντιμετώπισης της απάτης που διαπράττεται σε σχέση με τον ΦΠΑ του ηλεκτρονικού εμπορίου. Για την ακρίβεια, το νέο σύστημα αναμένεται να παρέχει στις φορολογικές αρχές τις αναγκαίες πληροφορίες και τους αναγκαίους πόρους για να εντοπίζουν περιπτώσεις απάτης στον τομέα του ΦΠΑ του ηλεκτρονικού εμπορίου και να εισπράττουν επιπλέον ΦΠΑ. Η διοικητική επιβάρυνση των επιχειρήσεων και των φορολογικών αρχών αναμένεται γενικά να περιοριστεί σε σύγκριση με την παρούσα κατάσταση, ενώ οι έντιμες επιχειρήσεις θα επωφεληθούν από τους δικαιότερους όρους ανταγωνισμού. </w:t>
      </w:r>
    </w:p>
    <w:p>
      <w:pPr>
        <w:pBdr>
          <w:top w:val="nil"/>
          <w:left w:val="nil"/>
          <w:bottom w:val="nil"/>
          <w:right w:val="nil"/>
          <w:between w:val="nil"/>
          <w:bar w:val="nil"/>
        </w:pBdr>
        <w:spacing w:before="0" w:after="240"/>
        <w:rPr>
          <w:noProof/>
          <w:szCs w:val="24"/>
        </w:rPr>
      </w:pPr>
      <w:r>
        <w:rPr>
          <w:noProof/>
        </w:rPr>
        <w:t>Η υποχρεωτική τήρηση σειράς αρχείων και η αποστολή των αρχείων αυτών στις φορολογικές αρχές από τους παρόχους υπηρεσιών πληρωμών συνάδει, άλλωστε, με την αρχή της αναλογικότητας. Οι πάροχοι υπηρεσιών πληρωμών θα πρέπει να τηρούν αρχεία των δεδομένων που έχουν ήδη στη διάθεσή τους για να εκτελούν τις πράξεις πληρωμής. Επιπλέον, η εναρμόνιση σε επίπεδο ΕΕ της υποχρέωσης τήρησης αρχείων και διαβίβασης δεδομένων στις φορολογικές αρχές θα περιορίσει τη διοικητική επιβάρυνση των παρόχων υπηρεσιών πληρωμών (σε σύγκριση με την υφιστάμενη κατάσταση, όπου οι πάροχοι υπηρεσιών πληρωμών έχουν την υποχρέωση να συμμορφώνονται με διαφορετικές εθνικές πρακτικές).</w:t>
      </w:r>
    </w:p>
    <w:p>
      <w:pPr>
        <w:pBdr>
          <w:top w:val="nil"/>
          <w:left w:val="nil"/>
          <w:bottom w:val="nil"/>
          <w:right w:val="nil"/>
          <w:between w:val="nil"/>
          <w:bar w:val="nil"/>
        </w:pBdr>
        <w:spacing w:before="0" w:after="240"/>
        <w:rPr>
          <w:noProof/>
          <w:szCs w:val="24"/>
        </w:rPr>
      </w:pPr>
      <w:r>
        <w:rPr>
          <w:noProof/>
        </w:rPr>
        <w:lastRenderedPageBreak/>
        <w:t>Η καταπολέμηση της απάτης στον τομέα του ΦΠΑ αποτελεί σημαντικό στόχο που θα αποβεί προς όφελος του δημόσιου συμφέροντος της Ένωσης και των κρατών μελών. Μόνο τα δεδομένα που είναι αναγκαία για την επίτευξη του εν λόγω στόχου (καταπολέμηση της απάτης στον τομέα του ΦΠΑ του ηλεκτρονικού εμπορίου) θα υπόκεινται σε επεξεργασία από τους εμπειρογνώμονες των φορολογικών αρχών που ειδικεύονται στην καταπολέμηση της απάτης σύμφωνα με τον γενικό κανονισμό για την προστασία των δεδομένων</w:t>
      </w:r>
      <w:r>
        <w:rPr>
          <w:rStyle w:val="FootnoteReference"/>
          <w:noProof/>
          <w:szCs w:val="24"/>
        </w:rPr>
        <w:footnoteReference w:id="27"/>
      </w:r>
      <w:r>
        <w:rPr>
          <w:noProof/>
        </w:rPr>
        <w:t>, τον κανονισμό (ΕΕ) 2018/1725</w:t>
      </w:r>
      <w:r>
        <w:rPr>
          <w:rStyle w:val="FootnoteReference"/>
          <w:noProof/>
          <w:szCs w:val="24"/>
        </w:rPr>
        <w:footnoteReference w:id="28"/>
      </w:r>
      <w:r>
        <w:rPr>
          <w:noProof/>
        </w:rPr>
        <w:t xml:space="preserve"> και τον Χάρτη Θεμελιωδών Δικαιωμάτων</w:t>
      </w:r>
      <w:r>
        <w:rPr>
          <w:rStyle w:val="FootnoteReference"/>
          <w:noProof/>
          <w:szCs w:val="24"/>
        </w:rPr>
        <w:footnoteReference w:id="29"/>
      </w:r>
      <w:r>
        <w:rPr>
          <w:noProof/>
        </w:rPr>
        <w:t xml:space="preserve">. Πιο συγκεκριμένα, τα μοναδικά δεδομένα που θα υπόκεινται σε επεξεργασία είναι τα δεδομένα που επιτρέπουν στις φορολογικές αρχές i) να προσδιορίζουν την ταυτότητα των προμηθευτών, ii) να εξακριβώνουν τον αριθμό των συναλλαγών και τη νομισματική τους αξία και iii) να εξακριβώνουν την προέλευση των πληρωμών. Τα δεδομένα για τους καταναλωτές δεν συμπεριλαμβάνονται στην παρούσα πρωτοβουλία, πέραν των δεδομένων για τα κράτη μέλη προέλευσης των πληρωμών (δηλαδή το κράτος μέλος στο οποίο βρίσκονται οι καταναλωτές). Η αναλογικότητα διασφαλίζεται επίσης με την επιβολή ορίου, κάτω από το οποίο οι πάροχοι υπηρεσιών πληρωμών δεν είναι υποχρεωμένοι να αποστέλλουν δεδομένα για πληρωμές στις φορολογικές αρχές. Με το συγκεκριμένο όριο θα εξαιρεθούν από την παρούσα πρωτοβουλία και από την επεξεργασία των δεδομένων προσωπικού χαρακτήρα οι πληρωμές εκείνες που είναι πολύ πιθανό να μην αφορούν οικονομικές δραστηριότητες. </w:t>
      </w:r>
    </w:p>
    <w:p>
      <w:pPr>
        <w:pStyle w:val="ManualHeading2"/>
        <w:rPr>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Προτείνεται η έκδοση οδηγίας για τροποποίηση της οδηγίας για τον ΦΠΑ με σκοπό την καθιέρωση νέων υποχρεώσεων τήρησης λογιστικών αρχείων για τους παρόχους υπηρεσιών πληρωμών.</w:t>
      </w:r>
    </w:p>
    <w:p>
      <w:pPr>
        <w:pBdr>
          <w:top w:val="nil"/>
          <w:left w:val="nil"/>
          <w:bottom w:val="nil"/>
          <w:right w:val="nil"/>
          <w:between w:val="nil"/>
          <w:bar w:val="nil"/>
        </w:pBdr>
        <w:spacing w:before="0" w:after="240"/>
        <w:rPr>
          <w:rFonts w:eastAsia="Arial Unicode MS"/>
          <w:noProof/>
        </w:rPr>
      </w:pPr>
      <w:r>
        <w:rPr>
          <w:noProof/>
        </w:rPr>
        <w:t xml:space="preserve">Προτείνεται η έκδοση κανονισμού για τροποποίηση του κανονισμού (ΕΕ) αριθ. 904/2010 για τη διοικητική συνεργασία και την καταπολέμηση της απάτης στον τομέα του φόρου προστιθέμενης αξίας, με σκοπό την καθιέρωση νέας βάσης δεδομένων για πληρωμές σχετικές με τον ΦΠΑ, η οποία θα είναι προσβάσιμη από τα κράτη μέλη αποκλειστικά και μόνο για την καταπολέμηση της απάτης στον τομέα του ΦΠΑ στο ηλεκτρονικό εμπόριο.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noProof/>
          <w:u w:color="000000"/>
          <w:bdr w:val="nil"/>
        </w:rPr>
      </w:pPr>
      <w:r>
        <w:rPr>
          <w:noProof/>
          <w:u w:color="000000"/>
          <w:bdr w:val="nil"/>
        </w:rPr>
        <w:t>•</w:t>
      </w:r>
      <w:r>
        <w:rPr>
          <w:noProof/>
          <w:u w:color="000000"/>
          <w:bdr w:val="nil"/>
        </w:rPr>
        <w:tab/>
        <w:t>Εκ των υστέρων αξιολογήσεις</w:t>
      </w:r>
    </w:p>
    <w:p>
      <w:pPr>
        <w:pBdr>
          <w:top w:val="nil"/>
          <w:left w:val="nil"/>
          <w:bottom w:val="nil"/>
          <w:right w:val="nil"/>
          <w:between w:val="nil"/>
          <w:bar w:val="nil"/>
        </w:pBdr>
        <w:spacing w:before="0" w:after="240"/>
        <w:rPr>
          <w:rFonts w:eastAsia="Arial Unicode MS"/>
          <w:noProof/>
        </w:rPr>
      </w:pPr>
      <w:r>
        <w:rPr>
          <w:noProof/>
        </w:rPr>
        <w:t>Η τρέχουσα πρόταση βασίζεται σε αξιολόγηση του κανονισμού (ΕΕ) αριθ. 904/2010, και ιδίως τις ενότητές της που επικεντρώνονται στη χρησιμότητα του κανονισμού όσον αφορά την απάτη στον τομέα του ΦΠΑ του ηλεκτρονικού εμπορίου.</w:t>
      </w:r>
    </w:p>
    <w:p>
      <w:pPr>
        <w:pBdr>
          <w:top w:val="nil"/>
          <w:left w:val="nil"/>
          <w:bottom w:val="nil"/>
          <w:right w:val="nil"/>
          <w:between w:val="nil"/>
          <w:bar w:val="nil"/>
        </w:pBdr>
        <w:spacing w:before="0" w:after="240"/>
        <w:rPr>
          <w:rFonts w:eastAsia="Arial Unicode MS"/>
          <w:noProof/>
        </w:rPr>
      </w:pPr>
      <w:r>
        <w:rPr>
          <w:noProof/>
        </w:rPr>
        <w:lastRenderedPageBreak/>
        <w:t>Σε γενικές γραμμές, οι φορολογικές αρχές χαρακτήρισαν τον ισχύοντα κανονισμό (ΕΕ) αριθ. 904/2010 αποτελεσματικό μέσο για την καταπολέμηση της απάτης στον τομέα του ΦΠΑ του ηλεκτρονικού εμπορίου. Ωστόσο, οι φορολογικές αρχές ανέφεραν ότι τα μέσα διοικητικής συνεργασίας που έχουν επί του παρόντος στη διάθεσή τους δεν επιτρέπουν τον εύκολο εντοπισμό και έλεγχο των διαδικτυακών επιχειρήσεων όταν το όνομα χώρου και τα λογιστικά αρχεία των εν λόγω διαδικτυακών επιχειρήσεων βρίσκονται σε άλλη χώρα (ανεξάρτητα από το αν η εν λόγω άλλη χώρα είναι κράτος μέλος της ΕΕ ή όχι). Οι φορολογικές αρχές υπογράμμισαν επίσης την ανάγκη να αυξηθεί η δέσμευση των κρατών μελών για επενδύσεις περισσότερων πόρων στη διοικητική συνεργασία, καθώς ο παράγοντας αυτός έχει καίρια σημασία για την αύξηση της αποτελεσματικότητας του κανονισμού (ΕΕ) αριθ. 904/2010 όσον αφορά την καταπολέμηση της απάτης στον τομέα του ΦΠΑ του ηλεκτρονικού εμπορίου. Τέλος, ορισμένα κράτη μέλη ανέφεραν επίσης ότι η αποτελεσματικότητα του κανονισμού θα μπορούσε να αυξηθεί με νέα μέσα, όπως π.χ. με την πρόσβαση σε πληροφορίες σχετικές με πληρωμές και την ανταλλαγή των εν λόγω πληροφοριών.</w:t>
      </w:r>
    </w:p>
    <w:p>
      <w:pPr>
        <w:pBdr>
          <w:top w:val="nil"/>
          <w:left w:val="nil"/>
          <w:bottom w:val="nil"/>
          <w:right w:val="nil"/>
          <w:between w:val="nil"/>
          <w:bar w:val="nil"/>
        </w:pBdr>
        <w:spacing w:before="0" w:after="240"/>
        <w:rPr>
          <w:rFonts w:eastAsia="Arial Unicode MS"/>
          <w:noProof/>
        </w:rPr>
      </w:pPr>
      <w:r>
        <w:rPr>
          <w:noProof/>
        </w:rPr>
        <w:t>Μολονότι οι φορολογικές αρχές υποστήριξαν ότι τα μέσα που προβλέπονται στον κανονισμό (ΕΕ) αριθ. 904/2010 είναι χρήσιμα για την καταπολέμηση της απάτης στον τομέα του ΦΠΑ, υπογράμμισαν επίσης ότι υπάρχουν περιθώρια βελτίωσης. Κατά την άποψη των φορολογικών αρχών, η πρόσφατη ανάπτυξη του ηλεκτρονικού εμπορίου και ο μεγάλος όγκος των συναλλαγών ηλεκτρονικού εμπορίου απαιτούν νέα, αποτελεσματικότερα και αποδοτικότερα μέσα διοικητικής συνεργασίας. Επιπλέον, οι φορολογικές αρχές θεωρούν ότι τα υφιστάμενα μέσα για την καταπολέμηση της απάτης στον τομέα του ΦΠΑ δεν θα είναι το ίδιο χρήσιμα στο μέλλον λόγω των αλλαγών που παρατηρούνται στα επιχειρηματικά μοντέλα και στις μορφές της απάτης στον τομέα του ΦΠΑ.</w:t>
      </w:r>
    </w:p>
    <w:p>
      <w:pPr>
        <w:pBdr>
          <w:top w:val="nil"/>
          <w:left w:val="nil"/>
          <w:bottom w:val="nil"/>
          <w:right w:val="nil"/>
          <w:between w:val="nil"/>
          <w:bar w:val="nil"/>
        </w:pBdr>
        <w:spacing w:before="0" w:after="240"/>
        <w:rPr>
          <w:rFonts w:eastAsia="Arial Unicode MS"/>
          <w:noProof/>
        </w:rPr>
      </w:pPr>
      <w:r>
        <w:rPr>
          <w:noProof/>
        </w:rPr>
        <w:t>Ακόμα και αν οι φορολογικές αρχές δεν διαθέτουν τις περισσότερες φορές ποσοτικά αποδεικτικά στοιχεία για τα οφέλη και το κόστος της διοικητικής συνεργασίας, θεωρούν ότι τα οφέλη της διοικητικής συνεργασίας είναι ανάλογα –αν όχι και σημαντικότερα– του κόστους που καταβάλλουν οι φορολογικές αρχές για την ανταλλαγή πληροφοριών.</w:t>
      </w:r>
    </w:p>
    <w:p>
      <w:pPr>
        <w:pBdr>
          <w:top w:val="nil"/>
          <w:left w:val="nil"/>
          <w:bottom w:val="nil"/>
          <w:right w:val="nil"/>
          <w:between w:val="nil"/>
          <w:bar w:val="nil"/>
        </w:pBdr>
        <w:spacing w:before="0" w:after="240"/>
        <w:rPr>
          <w:rFonts w:eastAsia="Arial Unicode MS"/>
          <w:noProof/>
        </w:rPr>
      </w:pPr>
      <w:r>
        <w:rPr>
          <w:noProof/>
        </w:rPr>
        <w:t>Ο κανονισμός (ΕΕ) αριθ. 904/2010 και η τρέχουσα πρόταση συμβάλλουν στην εύρυθμη λειτουργία της ενιαίας αγοράς. Συνάδουν επίσης με τους κανόνες της οδηγίας για τον ΦΠΑ στο ηλεκτρονικό εμπόριο. Ωστόσο, οι φορολογικές αρχές των κρατών μελών αναγνώρισαν ότι η ανάπτυξη του ηλεκτρονικού εμπορίου επιφέρει νέες προκλήσεις που πρέπει να αντιμετωπιστούν, όπως π.χ. η εξεύρεση μεθόδων επεξεργασίας δεδομένων για τον εντοπισμό –και την καταπολέμηση– της απάτης στον τομέα του ΦΠΑ του ηλεκτρονικού εμπορίου.</w:t>
      </w:r>
    </w:p>
    <w:p>
      <w:pPr>
        <w:pBdr>
          <w:top w:val="nil"/>
          <w:left w:val="nil"/>
          <w:bottom w:val="nil"/>
          <w:right w:val="nil"/>
          <w:between w:val="nil"/>
          <w:bar w:val="nil"/>
        </w:pBdr>
        <w:spacing w:before="0" w:after="240"/>
        <w:rPr>
          <w:rFonts w:eastAsia="Arial Unicode MS"/>
          <w:noProof/>
        </w:rPr>
      </w:pPr>
      <w:r>
        <w:rPr>
          <w:noProof/>
        </w:rPr>
        <w:t>Τέλος, τόσο οι φορολογικές αρχές όσο και άλλοι ενδιαφερόμενοι αναγνώρισαν την προστιθέμενη αξία του πλαισίου διοικητικής συνεργασίας που προβλέπεται στον κανονισμό (ΕΕ) αριθ. 904/2010, καθώς η απάτη στον τομέα του ΦΠΑ του ηλεκτρονικού εμπορίου πλήττει όλα τα κράτη μέλη.</w:t>
      </w:r>
    </w:p>
    <w:p>
      <w:pPr>
        <w:pBdr>
          <w:top w:val="nil"/>
          <w:left w:val="nil"/>
          <w:bottom w:val="nil"/>
          <w:right w:val="nil"/>
          <w:between w:val="nil"/>
          <w:bar w:val="nil"/>
        </w:pBdr>
        <w:spacing w:before="0" w:after="240"/>
        <w:rPr>
          <w:rFonts w:eastAsia="Arial Unicode MS"/>
          <w:noProof/>
        </w:rPr>
      </w:pPr>
      <w:r>
        <w:rPr>
          <w:noProof/>
        </w:rPr>
        <w:t>Κατά συνέπεια, η αξιολόγηση αποκάλυψε ότι τα εθνικά μέτρα για την καταπολέμηση της απάτης δεν επαρκούν για την καταπολέμηση της απάτης στον τομέα του ΦΠΑ του ηλεκτρονικού εμπορίου και ότι η διοικητική συνεργασία μεταξύ των κρατών μελών είναι αναγκαία. Αποκάλυψε επίσης ότι οι αλλαγές στη μορφή του ηλεκτρονικού εμπορίου απαιτούν νέα και κατάλληλα μέσα ανταλλαγής πληροφοριών.</w:t>
      </w:r>
    </w:p>
    <w:p>
      <w:pPr>
        <w:pStyle w:val="ManualHeading2"/>
        <w:rPr>
          <w:noProof/>
          <w:u w:color="000000"/>
          <w:bdr w:val="nil"/>
        </w:rPr>
      </w:pPr>
      <w:r>
        <w:rPr>
          <w:noProof/>
          <w:u w:color="000000"/>
          <w:bdr w:val="nil"/>
        </w:rPr>
        <w:t>•</w:t>
      </w:r>
      <w:r>
        <w:rPr>
          <w:noProof/>
          <w:u w:color="000000"/>
          <w:bdr w:val="nil"/>
        </w:rPr>
        <w:tab/>
        <w:t>Διαβουλεύσεις με τα ενδιαφερόμενα μέρη</w:t>
      </w:r>
    </w:p>
    <w:p>
      <w:pPr>
        <w:rPr>
          <w:noProof/>
        </w:rPr>
      </w:pPr>
      <w:r>
        <w:rPr>
          <w:noProof/>
        </w:rPr>
        <w:t xml:space="preserve">Το 2017 η Επιτροπή ζήτησε την άποψη μιας σειράς ενδιαφερομένων, δρομολογώντας στοχευμένη διαβούλευση με τις φορολογικές αρχές και τις επιχειρήσεις, μεταξύ των οποίων </w:t>
      </w:r>
      <w:r>
        <w:rPr>
          <w:noProof/>
        </w:rPr>
        <w:lastRenderedPageBreak/>
        <w:t>περιλαμβάνονταν ιδίως πάροχοι υπηρεσιών πληρωμών. Το 2017 δρομολογήθηκε επίσης δημόσια διαβούλευση</w:t>
      </w:r>
      <w:r>
        <w:rPr>
          <w:rStyle w:val="FootnoteReference"/>
          <w:noProof/>
          <w:szCs w:val="24"/>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Τα αποτελέσματα των διαβουλεύσεων επιβεβαίωσαν ότι όλοι οι ενδιαφερόμενοι αναγνωρίζουν πως η απάτη στον τομέα του ΦΠΑ του ηλεκτρονικού εμπορίου αποτελεί σημαντικό πρόβλημα. Οι επιχειρήσεις τόνισαν ότι η απάτη στον τομέα του ΦΠΑ του ηλεκτρονικού εμπορίου ζημιώνει τις έντιμες επιχειρήσεις μέσω της στρέβλωσης του ανταγωνισμού. Τόσο οι φορολογικές αρχές όσο και οι επιχειρήσεις γενικότερα επιβεβαίωσαν ότι, για την καταπολέμηση της απάτης στον τομέα του ΦΠΑ του ηλεκτρονικού εμπορίου, οι φορολογικές αρχές πρέπει να διαθέτουν πληροφορίες για τις πληρωμές. Η προστασία των δεδομένων δεν θεωρείται εμπόδιο για τη συλλογή και την ανταλλαγή πληροφοριών για τις πληρωμές, εφόσον τα δεδομένα προσωπικού χαρακτήρα των πληρωτών υπόκεινται σε επεξεργασία με βάση τους όρους που προβλέπονται στον γενικό κανονισμό για την προστασία των δεδομένων.</w:t>
      </w:r>
    </w:p>
    <w:p>
      <w:pPr>
        <w:pBdr>
          <w:top w:val="nil"/>
          <w:left w:val="nil"/>
          <w:bottom w:val="nil"/>
          <w:right w:val="nil"/>
          <w:between w:val="nil"/>
          <w:bar w:val="nil"/>
        </w:pBdr>
        <w:spacing w:before="0" w:after="240"/>
        <w:rPr>
          <w:rFonts w:eastAsia="Arial Unicode MS"/>
          <w:noProof/>
        </w:rPr>
      </w:pPr>
      <w:r>
        <w:rPr>
          <w:noProof/>
        </w:rPr>
        <w:t>Οι περισσότεροι από τους ερωτώμενους εξέφρασαν θετική άποψη για την τροποποίηση του κανονιστικού πλαισίου της ΕΕ ώστε να παρέχονται αποτελεσματικότερα μέσα στις φορολογικές αρχές για την καταπολέμηση της απάτης. Σύμφωνα με τους ερωτώμενους, το αποδοτικότερο από πλευράς κόστους μέσο θα ήταν ένα κεντρικό σε επίπεδο ΕΕ σύστημα συλλογής και ανταλλαγής πληροφοριών για πληρωμές σχετικές με τον ΦΠΑ.</w:t>
      </w:r>
    </w:p>
    <w:p>
      <w:pPr>
        <w:rPr>
          <w:noProof/>
          <w:szCs w:val="24"/>
        </w:rPr>
      </w:pPr>
      <w:r>
        <w:rPr>
          <w:noProof/>
        </w:rPr>
        <w:t>Τόσο οι φορολογικές αρχές όσο και οι πάροχοι υπηρεσιών πληρωμών επιβεβαίωσαν την προστιθέμενη αξία μιας τυποποιημένης και εναρμονισμένης προσέγγισης για τη συλλογή και ανταλλαγή πληροφοριών σχετικά με τις πληρωμές.</w:t>
      </w:r>
    </w:p>
    <w:p>
      <w:pPr>
        <w:rPr>
          <w:rFonts w:eastAsia="Arial Unicode MS"/>
          <w:noProof/>
        </w:rPr>
      </w:pPr>
      <w:r>
        <w:rPr>
          <w:noProof/>
        </w:rPr>
        <w:t>Η παρούσα πρόταση εκπονήθηκε μετά από διαβούλευση με τις φορολογικές αρχές των κρατών μελών και εκπροσώπους επιχειρήσεων –στους οποίους περιλαμβάνονταν και πάροχοι υπηρεσιών πληρωμών– στο πλαίσιο της υποομάδας για το ηλεκτρονικό εμπόριο του φόρουμ για τον ΦΠΑ.</w:t>
      </w:r>
    </w:p>
    <w:p>
      <w:pPr>
        <w:pStyle w:val="ManualHeading2"/>
        <w:rPr>
          <w:noProof/>
          <w:u w:color="000000"/>
          <w:bdr w:val="nil"/>
        </w:rPr>
      </w:pPr>
      <w:r>
        <w:rPr>
          <w:noProof/>
          <w:u w:color="000000"/>
          <w:bdr w:val="nil"/>
        </w:rPr>
        <w:t>•</w:t>
      </w:r>
      <w:r>
        <w:rPr>
          <w:noProof/>
          <w:u w:color="000000"/>
          <w:bdr w:val="nil"/>
        </w:rPr>
        <w:tab/>
        <w:t>Συλλογή και χρήση εμπειρογνωσίας</w:t>
      </w:r>
    </w:p>
    <w:p>
      <w:pPr>
        <w:rPr>
          <w:noProof/>
          <w:u w:color="000000"/>
          <w:bdr w:val="nil"/>
        </w:rPr>
      </w:pPr>
      <w:r>
        <w:rPr>
          <w:noProof/>
          <w:u w:color="000000"/>
          <w:bdr w:val="nil"/>
        </w:rPr>
        <w:t>Πέραν της διαβούλευσης με όλα τα ενδιαφερόμενα μέρη, δεν χρειάστηκε η συνδρομή εξωτερικών εμπειρογνωμόνων για την εκπόνηση της τρέχουσας πρότασης.</w:t>
      </w:r>
    </w:p>
    <w:p>
      <w:pPr>
        <w:pStyle w:val="ManualHeading2"/>
        <w:rPr>
          <w:noProof/>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0" w:after="240"/>
        <w:rPr>
          <w:rFonts w:eastAsia="Arial Unicode MS"/>
          <w:noProof/>
        </w:rPr>
      </w:pPr>
      <w:r>
        <w:rPr>
          <w:noProof/>
        </w:rPr>
        <w:t>Πέραν του σεναρίου βάσης, στην εκτίμηση επιπτώσεων εξετάστηκαν δύο επιλογές:</w:t>
      </w:r>
    </w:p>
    <w:p>
      <w:pPr>
        <w:pStyle w:val="Point0number"/>
        <w:numPr>
          <w:ilvl w:val="0"/>
          <w:numId w:val="10"/>
        </w:numPr>
        <w:rPr>
          <w:noProof/>
        </w:rPr>
      </w:pPr>
      <w:r>
        <w:rPr>
          <w:noProof/>
        </w:rPr>
        <w:t>η μη κανονιστική επιλογή, που περιλαμβάνει ουσιαστικά την παροχή κατευθυντήριων γραμμών ώστε να μπορέσουν οι φορολογικές αρχές να αναπτύξουν τις διοικητικές τους ικανότητες με σκοπό την καταπολέμηση της απάτης στον τομέα του ΦΠΑ του ηλεκτρονικού εμπορίου·</w:t>
      </w:r>
    </w:p>
    <w:p>
      <w:pPr>
        <w:pStyle w:val="Point0number"/>
        <w:numPr>
          <w:ilvl w:val="0"/>
          <w:numId w:val="10"/>
        </w:numPr>
        <w:rPr>
          <w:noProof/>
        </w:rPr>
      </w:pPr>
      <w:r>
        <w:rPr>
          <w:noProof/>
        </w:rPr>
        <w:t xml:space="preserve">η κανονιστική επιλογή, που συνεπάγεται την τροποποίηση του νομικού πλαισίου της ΕΕ i) ώστε οι πάροχοι των υπηρεσιών πληρωμών να πρέπει να τηρούν αρχεία πληροφοριών για τις πληρωμές σχετικά με τον ΦΠΑ και ii) ώστε οι φορολογικές </w:t>
      </w:r>
      <w:r>
        <w:rPr>
          <w:noProof/>
        </w:rPr>
        <w:lastRenderedPageBreak/>
        <w:t>αρχές των κρατών μελών να πρέπει να συλλέγουν και να ανταλλάσσουν τις πληροφορίες για τις πληρωμές.</w:t>
      </w:r>
    </w:p>
    <w:p>
      <w:pPr>
        <w:pBdr>
          <w:top w:val="nil"/>
          <w:left w:val="nil"/>
          <w:bottom w:val="nil"/>
          <w:right w:val="nil"/>
          <w:between w:val="nil"/>
          <w:bar w:val="nil"/>
        </w:pBdr>
        <w:spacing w:before="0" w:after="240"/>
        <w:rPr>
          <w:rFonts w:eastAsia="Arial Unicode MS"/>
          <w:noProof/>
        </w:rPr>
      </w:pPr>
      <w:r>
        <w:rPr>
          <w:noProof/>
        </w:rPr>
        <w:t>Στο πλαίσιο της κανονιστικής επιλογής, εξετάστηκαν δύο εναλλακτικές τεχνικές λύσεις που θα βοηθούσαν τις φορολογικές αρχές να ανταλλάσσουν τις πληροφορίες για τις πληρωμές: η εγκατάσταση κατανεμημένης εφαρμογής παρόμοιας με το σύστημα ανταλλαγής πληροφοριών ΦΠΑ ή η εγκατάσταση ενός κεντρικού αρχείου καταγραφής συναλλαγών σε επίπεδο ΕΕ (το οποίο θα αναπτύξει η Επιτροπή).</w:t>
      </w:r>
    </w:p>
    <w:p>
      <w:pPr>
        <w:pBdr>
          <w:top w:val="nil"/>
          <w:left w:val="nil"/>
          <w:bottom w:val="nil"/>
          <w:right w:val="nil"/>
          <w:between w:val="nil"/>
          <w:bar w:val="nil"/>
        </w:pBdr>
        <w:spacing w:before="0" w:after="240"/>
        <w:rPr>
          <w:rFonts w:eastAsia="Arial Unicode MS"/>
          <w:noProof/>
        </w:rPr>
      </w:pPr>
      <w:r>
        <w:rPr>
          <w:noProof/>
        </w:rPr>
        <w:t>Η εκτίμηση επιπτώσεων κατέδειξε ότι το κεντρικό αρχείο καταγραφής συναλλαγών ήταν η επιλογή που εξυπηρετούσε με τον καλύτερο τρόπο τον στόχο της καταπολέμησης της απάτης του ΦΠΑ στο ηλεκτρονικό εμπόριο.</w:t>
      </w:r>
    </w:p>
    <w:p>
      <w:pPr>
        <w:pBdr>
          <w:top w:val="nil"/>
          <w:left w:val="nil"/>
          <w:bottom w:val="nil"/>
          <w:right w:val="nil"/>
          <w:between w:val="nil"/>
          <w:bar w:val="nil"/>
        </w:pBdr>
        <w:spacing w:before="0" w:after="240"/>
        <w:rPr>
          <w:rFonts w:eastAsia="Arial Unicode MS"/>
          <w:noProof/>
        </w:rPr>
      </w:pPr>
      <w:r>
        <w:rPr>
          <w:noProof/>
        </w:rPr>
        <w:t>Με το κεντρικό αρχείο καταγραφής συναλλαγών θα διασφαλιστεί με τον καλύτερο δυνατό τρόπο η αντιμετώπιση της απάτης στον τομέα του ΦΠΑ. Το κεντρικό αρχείο θα παρέχει περισσότερες εγγυήσεις από τα αποκεντρωμένα αρχεία καταγραφής όσον αφορά την ομοιομορφία των δεδομένων και την ανάλυση δεδομένων ενώ θα προσφέρει σαφέστερη εικόνα σε επίπεδο ΕΕ για τον κύκλο εργασιών των επιχειρήσεων που θα εντοπίζονται να διαπράττουν απάτη.</w:t>
      </w:r>
    </w:p>
    <w:p>
      <w:pPr>
        <w:pBdr>
          <w:top w:val="nil"/>
          <w:left w:val="nil"/>
          <w:bottom w:val="nil"/>
          <w:right w:val="nil"/>
          <w:between w:val="nil"/>
          <w:bar w:val="nil"/>
        </w:pBdr>
        <w:spacing w:before="0" w:after="240"/>
        <w:rPr>
          <w:rFonts w:eastAsia="Arial Unicode MS"/>
          <w:noProof/>
        </w:rPr>
      </w:pPr>
      <w:r>
        <w:rPr>
          <w:noProof/>
        </w:rPr>
        <w:t>Η ανταλλαγή πληροφοριών μέσω ενός κεντρικού αρχείου καταγραφής συναλλαγών θα περιορίσει επίσης τη στρέβλωση του ανταγωνισμού. Δεδομένου ότι η συνεργασία οδηγεί σε καλύτερα αποτελέσματα για τις φορολογικές αρχές, οι έντιμες επιχειρήσεις θα επωφεληθούν από τους δικαιότερους όρους ανταγωνισμού. Κατά τη διαβούλευση με τα ενδιαφερόμενα μέρη δεν κατέστη δυνατό να προσδιοριστεί ποσοτικά το κόστος της συμμόρφωσης για τους παρόχους υπηρεσιών πληρωμών. Ωστόσο, η εκτίμηση επιπτώσεων κατέδειξε ότι η εναρμόνιση των υποχρεώσεων υποβολής στοιχείων σε ενιαίο μορφότυπο στο πλαίσιο της διαβίβασης πληροφοριών (και σε ενιαία διεπαφή) θα μειώσει το κόστος συμμόρφωσης για τους παρόχους υπηρεσιών πληρωμών.</w:t>
      </w:r>
    </w:p>
    <w:p>
      <w:pPr>
        <w:pBdr>
          <w:top w:val="nil"/>
          <w:left w:val="nil"/>
          <w:bottom w:val="nil"/>
          <w:right w:val="nil"/>
          <w:between w:val="nil"/>
          <w:bar w:val="nil"/>
        </w:pBdr>
        <w:spacing w:before="0" w:after="240"/>
        <w:rPr>
          <w:rFonts w:eastAsia="Arial Unicode MS"/>
          <w:noProof/>
        </w:rPr>
      </w:pPr>
      <w:r>
        <w:rPr>
          <w:noProof/>
        </w:rPr>
        <w:t>Άλλωστε, το κόστος για τη δημιουργία και λειτουργία ενός κεντρικού συστήματος θα είναι μικρότερο για τις φορολογικές αρχές από το κόστος που θα προκύψει αν επιλεγεί η λύση των αποκεντρωμένων συστημάτων σε εθνικό επίπεδο.</w:t>
      </w:r>
    </w:p>
    <w:p>
      <w:pPr>
        <w:pBdr>
          <w:top w:val="nil"/>
          <w:left w:val="nil"/>
          <w:bottom w:val="nil"/>
          <w:right w:val="nil"/>
          <w:between w:val="nil"/>
          <w:bar w:val="nil"/>
        </w:pBdr>
        <w:spacing w:before="0" w:after="240"/>
        <w:rPr>
          <w:rFonts w:eastAsia="Arial Unicode MS"/>
          <w:noProof/>
        </w:rPr>
      </w:pPr>
      <w:r>
        <w:rPr>
          <w:noProof/>
        </w:rPr>
        <w:t>Η εκτίμηση επιπτώσεων για την πρόταση εξετάστηκε από την επιτροπή ρυθμιστικού ελέγχου στις 27 Ιουνίου 2018. Η επιτροπή γνωμοδότησε θετικά υπέρ της πρότασης, με ορισμένες συστάσεις οι οποίες ελήφθησαν υπόψη. Η γνωμοδότηση της επιτροπής και οι συστάσεις της περιλαμβάνονται στο παράρτημα 1 του εγγράφου εργασίας των υπηρεσιών για την εκτίμηση επιπτώσεων που συνοδεύει την παρούσα πρόταση</w:t>
      </w:r>
      <w:r>
        <w:rPr>
          <w:rStyle w:val="FootnoteReference"/>
          <w:rFonts w:eastAsia="Arial Unicode MS"/>
          <w:noProof/>
        </w:rPr>
        <w:footnoteReference w:id="31"/>
      </w:r>
      <w:r>
        <w:rPr>
          <w:noProof/>
        </w:rPr>
        <w:t xml:space="preserve">. </w:t>
      </w:r>
    </w:p>
    <w:p>
      <w:pPr>
        <w:pStyle w:val="ManualHeading2"/>
        <w:rPr>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rFonts w:eastAsia="Arial Unicode MS"/>
          <w:noProof/>
        </w:rPr>
      </w:pPr>
      <w:r>
        <w:rPr>
          <w:noProof/>
        </w:rPr>
        <w:t>Η παρούσα πρωτοβουλία δεν εμπίπτει στο πλαίσιο του προγράμματος για τη βελτίωση της καταλληλότητας του κανονιστικού πλαισίου. Το πιθανό κόστος για τις φορολογικές αρχές και την Επιτροπή αναλύεται στην ενότητα 4.</w:t>
      </w:r>
    </w:p>
    <w:p>
      <w:pPr>
        <w:pBdr>
          <w:top w:val="nil"/>
          <w:left w:val="nil"/>
          <w:bottom w:val="nil"/>
          <w:right w:val="nil"/>
          <w:between w:val="nil"/>
          <w:bar w:val="nil"/>
        </w:pBdr>
        <w:spacing w:before="0" w:after="240"/>
        <w:rPr>
          <w:rFonts w:eastAsia="Arial Unicode MS"/>
          <w:noProof/>
        </w:rPr>
      </w:pPr>
      <w:r>
        <w:rPr>
          <w:noProof/>
        </w:rPr>
        <w:lastRenderedPageBreak/>
        <w:t>Με βάση τις πληροφορίες που παρελήφθησαν κατά τη διάρκεια της στοχευμένης διαβούλευσης, δεν κατέστη δυνατό να διενεργηθεί αξιόπιστος ποσοτικός προσδιορισμός του κόστους για τους παρόχους υπηρεσιών πληρωμών κατά την εκτίμηση επιπτώσεων. Ωστόσο, οι πάροχοι υπηρεσιών πληρωμών λαμβάνουν επί του παρόντος αιτήσεις παροχής πληροφοριών από διάφορα κράτη μέλη σε διάφορους μορφότυπους και μέσω διάφορων διαδικασιών. Με βάση την παρούσα πρωτοβουλία, οι πάροχοι υπηρεσιών πληρωμών θα πρέπει να χρησιμοποιούν εναρμονισμένο πρότυπο σε επίπεδο ΕΕ για τη διαβίβαση των πληροφοριών για τις πληρωμές στις φορολογικές αρχές των κρατών μελών. Έτσι, θα μειωθεί η συνολική διοικητική επιβάρυνση για τους παρόχους υπηρεσιών πληρωμών.</w:t>
      </w:r>
    </w:p>
    <w:p>
      <w:pPr>
        <w:pBdr>
          <w:top w:val="nil"/>
          <w:left w:val="nil"/>
          <w:bottom w:val="nil"/>
          <w:right w:val="nil"/>
          <w:between w:val="nil"/>
          <w:bar w:val="nil"/>
        </w:pBdr>
        <w:spacing w:before="0" w:after="240"/>
        <w:rPr>
          <w:rFonts w:eastAsia="Arial Unicode MS"/>
          <w:noProof/>
        </w:rPr>
      </w:pPr>
      <w:r>
        <w:rPr>
          <w:noProof/>
        </w:rPr>
        <w:t>Η πρωτοβουλία δεν προβλέπει νέες υποχρεώσεις όσον αφορά τον ΦΠΑ για τους προμηθευτές αγαθών και υπηρεσιών σε τελικούς καταναλωτές.</w:t>
      </w:r>
    </w:p>
    <w:p>
      <w:pPr>
        <w:pBdr>
          <w:top w:val="nil"/>
          <w:left w:val="nil"/>
          <w:bottom w:val="nil"/>
          <w:right w:val="nil"/>
          <w:between w:val="nil"/>
          <w:bar w:val="nil"/>
        </w:pBdr>
        <w:spacing w:before="0" w:after="240"/>
        <w:rPr>
          <w:rFonts w:eastAsia="Arial Unicode MS"/>
          <w:noProof/>
        </w:rPr>
      </w:pPr>
      <w:r>
        <w:rPr>
          <w:noProof/>
        </w:rPr>
        <w:t>Τέλος, η παρούσα πρωτοβουλία αναμένεται να περιορίσει σημαντικά τις απώλειες εσόδων των κρατών μελών όσον αφορά τον ΦΠΑ εξαιτίας της απάτης στον τομέα του ΦΠΑ στο ηλεκτρονικό εμπόριο.</w:t>
      </w:r>
    </w:p>
    <w:p>
      <w:pPr>
        <w:pStyle w:val="ManualHeading2"/>
        <w:rPr>
          <w:noProof/>
          <w:u w:color="000000"/>
          <w:bdr w:val="nil"/>
        </w:rPr>
      </w:pPr>
      <w:r>
        <w:rPr>
          <w:noProof/>
          <w:u w:color="000000"/>
          <w:bdr w:val="nil"/>
        </w:rPr>
        <w:t>•</w:t>
      </w:r>
      <w:r>
        <w:rPr>
          <w:noProof/>
          <w:u w:color="000000"/>
          <w:bdr w:val="nil"/>
        </w:rPr>
        <w:tab/>
        <w:t>Θεμελιώδη δικαιώματα</w:t>
      </w:r>
    </w:p>
    <w:p>
      <w:pPr>
        <w:autoSpaceDE w:val="0"/>
        <w:autoSpaceDN w:val="0"/>
        <w:adjustRightInd w:val="0"/>
        <w:spacing w:after="240"/>
        <w:rPr>
          <w:noProof/>
          <w:szCs w:val="24"/>
        </w:rPr>
      </w:pPr>
      <w:r>
        <w:rPr>
          <w:noProof/>
        </w:rPr>
        <w:t>Η υπό εξέταση πρόταση θα οδηγήσει σε νέες ανταλλαγές και διαδικασίες επεξεργασίας προσωπικών πληροφοριών που αφορούν τον ΦΠΑ.</w:t>
      </w:r>
    </w:p>
    <w:p>
      <w:pPr>
        <w:rPr>
          <w:noProof/>
          <w:szCs w:val="24"/>
        </w:rPr>
      </w:pPr>
      <w:r>
        <w:rPr>
          <w:noProof/>
        </w:rPr>
        <w:t>Ο γενικός κανονισμός για την προστασία δεδομένων παρέχει ευρύ ορισμό για τα δεδομένα προσωπικού χαρακτήρα, ο οποίος περιλαμβάνει κάθε πληροφορία για ταυτοποιημένο ή ταυτοποιήσιμο φυσικό πρόσωπο που μπορεί να ταυτοποιηθεί άμεσα ή έμμεσα. Για τον λόγο αυτό, οι πληροφορίες για τις πληρωμές εμπίπτουν στο πεδίο εφαρμογής του κανονισμού και στις αρχές που διέπουν την προστασία δεδομένων προσωπικού χαρακτήρα, όπως προβλέπονται στον Χάρτη Θεμελιωδών Δικαιωμάτων.</w:t>
      </w:r>
    </w:p>
    <w:p>
      <w:pPr>
        <w:rPr>
          <w:noProof/>
          <w:szCs w:val="24"/>
        </w:rPr>
      </w:pPr>
      <w:r>
        <w:rPr>
          <w:noProof/>
        </w:rPr>
        <w:t>Ο γενικός κανονισμός για την προστασία δεδομένων και ο κανονισμός (ΕΕ) 2018/1725 προβλέπουν πολύ συγκεκριμένες αρχές για τον τρόπο με τον οποίο πρέπει να γίνονται σεβαστά τα δικαιώματα των υποκειμένων των δεδομένων κατά την επεξεργασία των δεδομένων προσωπικού χαρακτήρα. Ωστόσο, η Ένωση έχει τη δυνατότητα να χρησιμοποιεί νομοθετικά μέτρα για να περιορίζει αυτές τις αρχές και τα δικαιώματα του υποκειμένου των δεδομένων</w:t>
      </w:r>
      <w:r>
        <w:rPr>
          <w:rStyle w:val="FootnoteReference"/>
          <w:noProof/>
          <w:szCs w:val="24"/>
        </w:rPr>
        <w:footnoteReference w:id="32"/>
      </w:r>
      <w:r>
        <w:rPr>
          <w:noProof/>
        </w:rPr>
        <w:t xml:space="preserve"> –υπό τον όρο ότι οι περιορισμοί συνάδουν με τις αρχές της αναγκαιότητας και της αναλογικότητας– και να διαφυλάσσει σημαντικούς στόχους γενικού συμφέροντος της Ένωσης, όπως π.χ. οικονομικά και χρηματοοικονομικά συμφέροντα, στα οποία περιλαμβάνεται και η φορολογία</w:t>
      </w:r>
      <w:r>
        <w:rPr>
          <w:rStyle w:val="FootnoteReference"/>
          <w:noProof/>
          <w:szCs w:val="24"/>
        </w:rPr>
        <w:footnoteReference w:id="33"/>
      </w:r>
      <w:r>
        <w:rPr>
          <w:noProof/>
        </w:rPr>
        <w:t>.</w:t>
      </w:r>
    </w:p>
    <w:p>
      <w:pPr>
        <w:rPr>
          <w:noProof/>
          <w:szCs w:val="24"/>
        </w:rPr>
      </w:pPr>
      <w:r>
        <w:rPr>
          <w:noProof/>
        </w:rPr>
        <w:t>Η εκτίμηση επιπτώσεων που αποτελεί τη βάση της παρούσας πρωτοβουλίας κατέδειξε ότι οι φορολογικές αρχές δεν έχουν άλλον αποτελεσματικό τρόπο συλλογής των αναγκαίων πληροφοριών για την καταπολέμηση της απάτης στον τομέα του ΦΠΑ του ηλεκτρονικού εμπορίου. Ως εκ τούτου, η ανταλλαγή των πληροφοριών για τις πληρωμές αποτελεί αναγκαίο μέτρο.</w:t>
      </w:r>
    </w:p>
    <w:p>
      <w:pPr>
        <w:rPr>
          <w:noProof/>
          <w:szCs w:val="24"/>
        </w:rPr>
      </w:pPr>
      <w:r>
        <w:rPr>
          <w:noProof/>
        </w:rPr>
        <w:lastRenderedPageBreak/>
        <w:t>Επιπλέον, με βάση την παρούσα πρωτοβουλία, μόνον οι πληροφορίες για τις πληρωμές που θεωρούνται αναγκαίες για την καταπολέμηση της απάτης στον τομέα του ΦΠΑ του ηλεκτρονικού εμπορίου θα υπόκεινται σε επεξεργασία. Οι πληροφορίες που θα υπόκεινται σε επεξεργασία αφορούν μόνο τους αποδέκτες των χρηματικών ποσών (δικαιούχοι πληρωμής) και την ίδια την πράξη πληρωμής (ποσό, νόμισμα, ημερομηνία) ενώ οι πληροφορίες για τους καταναλωτές που πληρώνουν για αγαθά ή υπηρεσίες (πληρωτές) δεν περιλαμβάνονται στις πληροφορίες που ανταλλάσσονται. Ως εκ τούτου, οι εν λόγω πληροφορίες δεν θα χρησιμοποιούνται για άλλους σκοπούς, όπως π.χ. για τον έλεγχο των αγοραστικών συνηθειών των καταναλωτών. Επιπλέον, η πρόταση περιλαμβάνει όριο σχετικά με τον αριθμό των πληρωμών που λαμβάνονται από τον εκάστοτε δικαιούχο πληρωμής, με εξαίρεση τις πληρωμές που είναι πιθανό να εκτελούνται για ιδιωτικούς λόγους. Από το πεδίο εφαρμογής της πρωτοβουλίας θα εξαιρούνται και οι εγχώριες πληρωμές. Τέλος, οι πληροφορίες για τις πληρωμές θα είναι διαθέσιμες μόνο για τους υπαλλήλους-συνδέσμους των κρατών μελών που συμμετέχουν στο δίκτυο Eurofisc</w:t>
      </w:r>
      <w:r>
        <w:rPr>
          <w:rStyle w:val="FootnoteReference"/>
          <w:noProof/>
          <w:szCs w:val="24"/>
        </w:rPr>
        <w:footnoteReference w:id="34"/>
      </w:r>
      <w:r>
        <w:rPr>
          <w:noProof/>
        </w:rPr>
        <w:t xml:space="preserve"> και μόνο για όσο διάστημα απαιτείται προκειμένου να καταπολεμηθεί η απάτη στον τομέα του ΦΠΑ του ηλεκτρονικού εμπορίου.</w:t>
      </w:r>
    </w:p>
    <w:p>
      <w:pPr>
        <w:pStyle w:val="ManualHeading1"/>
        <w:rPr>
          <w:noProof/>
        </w:rPr>
      </w:pPr>
      <w:r>
        <w:rPr>
          <w:noProof/>
        </w:rPr>
        <w:t>4.</w:t>
      </w:r>
      <w:r>
        <w:rPr>
          <w:noProof/>
        </w:rPr>
        <w:tab/>
        <w:t>ΔΗΜΟΣΙΟΝΟΜΙΚΕΣ ΕΠΙΠΤΩΣΕΙΣ</w:t>
      </w:r>
    </w:p>
    <w:p>
      <w:pPr>
        <w:rPr>
          <w:noProof/>
        </w:rPr>
      </w:pPr>
      <w:r>
        <w:rPr>
          <w:noProof/>
        </w:rPr>
        <w:t>Το κόστος επένδυσης της Επιτροπής και των φορολογικών αρχών αναμένεται να αντισταθμιστεί από την αύξηση των εσόδων είσπραξης από τον ΦΠΑ. Για την ακρίβεια, το 2017 η αξία των διαδικτυακών πωλήσεων των επιχειρήσεων σε πελάτες (B2C) ανήλθε περίπου σε 600 δισ. EUR</w:t>
      </w:r>
      <w:r>
        <w:rPr>
          <w:rStyle w:val="FootnoteReference"/>
          <w:noProof/>
        </w:rPr>
        <w:footnoteReference w:id="35"/>
      </w:r>
      <w:r>
        <w:rPr>
          <w:noProof/>
        </w:rPr>
        <w:t>. Ως εκ τούτου, αν υποτεθεί ότι οι φορολογικές αρχές είχαν τη δυνατότητα να υπολογίσουν απώλειες ΦΠΑ που αντιστοιχούν στο 1 % του εν λόγω κύκλου εργασιών, θα δημιουργούνταν έσοδα ύψους έως και 1,2 δισ. EUR από τον ΦΠΑ στην ΕΕ των 28. Ακόμα και αν δεν εισπραττόταν στο ακέραιο ο ΦΠΑ που είχε υπολογιστεί, τα ποσά αυτά θα υπερέβαιναν κατά πολύ το συνολικό λειτουργικό κόστος της πρωτοβουλίας. Επιπλέον, τα επίπεδα της απάτης αντιστοιχούν σε πολλές ποσοστιαίες μονάδες των πωλήσεων του ηλεκτρονικού εμπορίου. Ως αποτέλεσμα της αύξησης των εισπράξεων από τον ΦΠΑ, αναμένεται ότι το έλλειμμα ΦΠΑ θα μειωθεί στον τομέα του ηλεκτρονικού εμπορίου.</w:t>
      </w:r>
    </w:p>
    <w:p>
      <w:pPr>
        <w:rPr>
          <w:noProof/>
        </w:rPr>
      </w:pPr>
      <w:r>
        <w:rPr>
          <w:noProof/>
        </w:rPr>
        <w:t xml:space="preserve">Το κόστος αυτής της πρωτοβουλίας θα κατανεμηθεί σε βάθος πολλών ετών, με αφετηρία το 2019. Το πρώτο μέρος του εν λόγω κόστους (έως το 2020) θα καλυφθεί από τις υφιστάμενες πιστώσεις του τρέχοντος προγράμματος Fiscalis 2020. Ωστόσο, το μεγαλύτερο μέρος αυτού του κόστους θα καλυφθεί μετά το 2020, όπως περιγράφεται στα νομοθετικά δημοσιονομικά δελτία. </w:t>
      </w:r>
    </w:p>
    <w:p>
      <w:pPr>
        <w:rPr>
          <w:noProof/>
        </w:rPr>
      </w:pPr>
      <w:r>
        <w:rPr>
          <w:noProof/>
        </w:rPr>
        <w:t>Αν ληφθεί υπόψη το ανώτατο κόστος που μπορεί να καταβάλει η Επιτροπή, οι δημοσιονομικές επιπτώσεις έχουν εκτιμηθεί ως εξής: το εφάπαξ κόστος για την εγκατάσταση του συστήματος θα ανέλθει σε 11,8 εκατ. EUR και το ετήσιο κόστος λειτουργίας θα ανέρχεται σε 4,5 εκατ. EUR μόλις το σύστημα καταστεί πλήρως λειτουργικό. Το εν λόγω κόστος λειτουργίας εκτιμάται ότι θα αρχίσει να επιβαρύνει την Επιτροπή μόλις το 2022, οπότε και θα λειτουργήσει το σύστημα. Ο αντίκτυπος στον προϋπολογισμό υπολογίστηκε για περίοδο πέντε ετών και ανέρχεται στο συνολικό ποσό (περιλαμβάνεται και το εφάπαξ κόστος) των 34,3 εκατ. EUR για την εγκατάσταση και τη λειτουργία του συστήματος μέχρι το 2027.</w:t>
      </w:r>
    </w:p>
    <w:p>
      <w:pPr>
        <w:rPr>
          <w:noProof/>
        </w:rPr>
      </w:pPr>
      <w:r>
        <w:rPr>
          <w:noProof/>
        </w:rPr>
        <w:lastRenderedPageBreak/>
        <w:t>Το κόστος αυτό συνάδει με την πρόταση για το ΠΔΠ και το πρόγραμμα Fiscalis της επόμενης περιόδου.</w:t>
      </w:r>
    </w:p>
    <w:p>
      <w:pPr>
        <w:pStyle w:val="ManualHeading1"/>
        <w:rPr>
          <w:noProof/>
        </w:rPr>
      </w:pPr>
      <w:r>
        <w:rPr>
          <w:noProof/>
        </w:rPr>
        <w:t>5.</w:t>
      </w:r>
      <w:r>
        <w:rPr>
          <w:noProof/>
        </w:rPr>
        <w:tab/>
        <w:t>ΛΟΙΠΑ ΣΤΟΙΧΕΙΑ</w:t>
      </w:r>
    </w:p>
    <w:p>
      <w:pPr>
        <w:pStyle w:val="ManualHeading2"/>
        <w:rPr>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Οι εκθέσεις του Eurofisc και τα ετήσια στατιστικά στοιχεία των κρατών μελών παρουσιάζονται και εξετάζονται στη μόνιμη επιτροπή διοικητικής συνεργασίας</w:t>
      </w:r>
      <w:r>
        <w:rPr>
          <w:rStyle w:val="FootnoteReference"/>
          <w:rFonts w:eastAsia="Arial Unicode MS"/>
          <w:noProof/>
        </w:rPr>
        <w:footnoteReference w:id="36"/>
      </w:r>
      <w:r>
        <w:rPr>
          <w:noProof/>
        </w:rPr>
        <w:t xml:space="preserve"> σύμφωνα με το άρθρο 49 του κανονισμού (ΕΕ) αριθ. 904/2010. Η προεδρία της μόνιμης επιτροπής ασκείται από την Ευρωπαϊκή Επιτροπή. Επιπλέον, η Ευρωπαϊκή Επιτροπή θα επιδιώκει να λαμβάνει από τα κράτη μέλη κάθε σχετική πληροφορία σχετικά με τη λειτουργία του νέου συστήματος και την απάτη. Όταν κρίνεται σκόπιμο, θα διασφαλίζεται ο συντονισμός εντός της επιτροπής του προγράμματος Fiscalis (η επιτροπή αυτή δεν έχει ακόμα συσταθεί στο πλαίσιο του νέου προγράμματος Fiscalis</w:t>
      </w:r>
      <w:r>
        <w:rPr>
          <w:rStyle w:val="FootnoteReference"/>
          <w:rFonts w:eastAsia="Arial Unicode MS"/>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t>Ο κανονισμός (ΕΕ) αριθ. 904/2010 και η οδηγία 2006/112/ΕΚ προβλέπουν ήδη κανόνες για τις περιοδικές αξιολογήσεις και την υποβολή εκθέσεων από την Επιτροπή. Ως εκ τούτου, σύμφωνα με τις εν λόγω υφιστάμενες υποχρεώσεις, κάθε 5 έτη, η Επιτροπή θα υποβάλλει έκθεση στο Ευρωπαϊκό Κοινοβούλιο και στο Συμβούλιο σχετικά με τη λειτουργία του νέου μέσου διοικητικής συνεργασίας, δυνάμει του άρθρου 59 του κανονισμού (ΕΕ) αριθ. 904/2010.</w:t>
      </w:r>
    </w:p>
    <w:p>
      <w:pPr>
        <w:pBdr>
          <w:top w:val="nil"/>
          <w:left w:val="nil"/>
          <w:bottom w:val="nil"/>
          <w:right w:val="nil"/>
          <w:between w:val="nil"/>
          <w:bar w:val="nil"/>
        </w:pBdr>
        <w:spacing w:before="0" w:after="240"/>
        <w:rPr>
          <w:rFonts w:eastAsia="Arial Unicode MS"/>
          <w:noProof/>
        </w:rPr>
      </w:pPr>
      <w:r>
        <w:rPr>
          <w:noProof/>
        </w:rPr>
        <w:t>Επιπλέον, κάθε 4 έτη η Επιτροπή θα υποβάλλει στο Ευρωπαϊκό Κοινοβούλιο και στο Συμβούλιο έκθεση σχετικά με την εφαρμογή των νέων υποχρεώσεων που απορρέουν από τον ΦΠΑ για τους παρόχους υπηρεσιών πληρωμών, δυνάμει του άρθρου 404 της οδηγίας 2006/112/ΕΚ. Η Επιτροπή θα διασφαλίζει ότι οι δύο εκθέσεις συντονίζονται και βασίζονται στα ίδια πορίσματα.</w:t>
      </w:r>
    </w:p>
    <w:p>
      <w:pPr>
        <w:pStyle w:val="ManualHeading2"/>
        <w:rPr>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pBdr>
          <w:top w:val="nil"/>
          <w:left w:val="nil"/>
          <w:bottom w:val="nil"/>
          <w:right w:val="nil"/>
          <w:between w:val="nil"/>
          <w:bar w:val="nil"/>
        </w:pBdr>
        <w:spacing w:before="0" w:after="240"/>
        <w:rPr>
          <w:rFonts w:eastAsia="Arial Unicode MS"/>
          <w:noProof/>
        </w:rPr>
      </w:pPr>
      <w:r>
        <w:rPr>
          <w:noProof/>
        </w:rPr>
        <w:t>Στο άρθρο 243α, οι ορισμοί βασίζονται στις σχετικές διατάξεις της οδηγίας (ΕΕ) 2015/2366</w:t>
      </w:r>
      <w:r>
        <w:rPr>
          <w:rStyle w:val="FootnoteReference"/>
          <w:noProof/>
        </w:rPr>
        <w:footnoteReference w:id="38"/>
      </w:r>
      <w:r>
        <w:rPr>
          <w:noProof/>
        </w:rPr>
        <w:t xml:space="preserve"> (PSD2) σχετικά με υπηρεσίες πληρωμών στην εσωτερική αγορά.</w:t>
      </w:r>
    </w:p>
    <w:p>
      <w:pPr>
        <w:pBdr>
          <w:top w:val="nil"/>
          <w:left w:val="nil"/>
          <w:bottom w:val="nil"/>
          <w:right w:val="nil"/>
          <w:between w:val="nil"/>
          <w:bar w:val="nil"/>
        </w:pBdr>
        <w:spacing w:before="0" w:after="240"/>
        <w:rPr>
          <w:rFonts w:eastAsia="Arial Unicode MS"/>
          <w:noProof/>
        </w:rPr>
      </w:pPr>
      <w:r>
        <w:rPr>
          <w:noProof/>
        </w:rPr>
        <w:t xml:space="preserve">Με το άρθρο 243β της οδηγίας για τον ΦΠΑ καθιερώνεται νέα υποχρέωση τήρησης αρχείων για τους παρόχους υπηρεσιών πληρωμών. Οι εν λόγω υπηρεσίες πληρωμών αναφέρονται στο παράρτημα 1 της οδηγίας PSD2. Δεν είναι όλες οι υπηρεσίες πληρωμών σημαντικές για τον έλεγχο των διασυνοριακών παραδόσεων αγαθών και παροχών υπηρεσιών. Οι μόνες υπηρεσίες πληρωμών που είναι σημαντικές είναι αυτές που έχουν ως αποτέλεσμα τη </w:t>
      </w:r>
      <w:r>
        <w:rPr>
          <w:noProof/>
        </w:rPr>
        <w:lastRenderedPageBreak/>
        <w:t>διασυνοριακή μεταφορά χρηματικών ποσών στους δικαιούχους</w:t>
      </w:r>
      <w:r>
        <w:rPr>
          <w:rStyle w:val="FootnoteReference"/>
          <w:noProof/>
        </w:rPr>
        <w:footnoteReference w:id="39"/>
      </w:r>
      <w:r>
        <w:rPr>
          <w:noProof/>
        </w:rPr>
        <w:t xml:space="preserve"> (ή στους παρόχους υπηρεσιών πληρωμών που ενεργούν για λογαριασμό των δικαιούχων της πληρωμής) και μόνον όταν ο πληρωτής</w:t>
      </w:r>
      <w:r>
        <w:rPr>
          <w:rStyle w:val="FootnoteReference"/>
          <w:noProof/>
        </w:rPr>
        <w:footnoteReference w:id="40"/>
      </w:r>
      <w:r>
        <w:rPr>
          <w:noProof/>
        </w:rPr>
        <w:t xml:space="preserve"> βρίσκεται σε ένα από τα κράτη μέλη. Αυτό συμβαίνει επειδή το κράτος μέλος προέλευσης της πληρωμής υποδεικνύει στις φορολογικές αρχές τον τόπο κατανάλωσης. Στο πλαίσιο της παρούσας πρωτοβουλίας, η έννοια «διασυνοριακός» αφορά συναλλαγές στο πλαίσιο των οποίων ο καταναλωτής βρίσκεται σε ένα κράτος μέλος και ο προμηθευτής βρίσκεται σε άλλο κράτος μέλος ή σε τρίτη χώρα ή σε τρίτο έδαφος. Οι εγχώριες πληρωμές δεν συμπεριλαμβάνονται στο πεδίο εφαρμογής της παρούσας πρότασης.</w:t>
      </w:r>
    </w:p>
    <w:p>
      <w:pPr>
        <w:pBdr>
          <w:top w:val="nil"/>
          <w:left w:val="nil"/>
          <w:bottom w:val="nil"/>
          <w:right w:val="nil"/>
          <w:between w:val="nil"/>
          <w:bar w:val="nil"/>
        </w:pBdr>
        <w:spacing w:before="0" w:after="240"/>
        <w:rPr>
          <w:rFonts w:eastAsia="Arial Unicode MS"/>
          <w:noProof/>
        </w:rPr>
      </w:pPr>
      <w:r>
        <w:rPr>
          <w:noProof/>
        </w:rPr>
        <w:t>Στο άρθρο 243β δεν αναφέρεται ο τόπος εγκατάστασης ή η μόνιμη διεύθυνση ή ο συνήθης τόπος διαμονής του δικαιούχου και του πληρωτή. Για την ακρίβεια, οι πάροχοι υπηρεσιών πληρωμών αποτελούν τρίτους σε σύγκριση με τη συμβατική σχέση που συνδέει τους υποκείμενους στον φόρο προμηθευτές αγαθών και υπηρεσιών και τους πελάτες αυτών των προμηθευτών. Για τον λόγο αυτό, οι πληροφορίες που διατίθενται στους παρόχους υπηρεσιών πληρωμών όταν αυτοί εκτελούν υπηρεσίες πληρωμής δεν είναι αναγκαστικά ταυτόσημες με τις πληροφορίες που έχουν στη διάθεσή τους οι υποκείμενοι στον φόρο σχετικά με τους πελάτες τους ή ταυτόσημες με τις πληροφορίες που θεωρούνται αναγκαίες για να προσδιοριστεί ο τόπος της φορολογητέας πράξης. Η τοποθεσία επιφέρει απλά και μόνο την υποχρέωση τήρησης αρχείων για τους παρόχους υπηρεσιών πληρωμών δυνάμει του άρθρου 243β.</w:t>
      </w:r>
    </w:p>
    <w:p>
      <w:pPr>
        <w:pBdr>
          <w:top w:val="nil"/>
          <w:left w:val="nil"/>
          <w:bottom w:val="nil"/>
          <w:right w:val="nil"/>
          <w:between w:val="nil"/>
          <w:bar w:val="nil"/>
        </w:pBdr>
        <w:spacing w:before="0" w:after="240"/>
        <w:rPr>
          <w:rFonts w:eastAsia="Arial Unicode MS"/>
          <w:noProof/>
        </w:rPr>
      </w:pPr>
      <w:r>
        <w:rPr>
          <w:noProof/>
        </w:rPr>
        <w:t xml:space="preserve">Οι κανόνες για τον καθορισμό της τοποθεσίας των δικαιούχων και των πληρωτών προβλέπονται στο προτεινόμενο άρθρο 243γ (βλ. κατωτέρω). </w:t>
      </w:r>
    </w:p>
    <w:p>
      <w:pPr>
        <w:pBdr>
          <w:top w:val="nil"/>
          <w:left w:val="nil"/>
          <w:bottom w:val="nil"/>
          <w:right w:val="nil"/>
          <w:between w:val="nil"/>
          <w:bar w:val="nil"/>
        </w:pBdr>
        <w:spacing w:before="0" w:after="240"/>
        <w:rPr>
          <w:rFonts w:eastAsia="Arial Unicode MS"/>
          <w:noProof/>
        </w:rPr>
      </w:pPr>
      <w:r>
        <w:rPr>
          <w:noProof/>
        </w:rPr>
        <w:t>Προκειμένου να λαμβάνονται υπόψη μόνον οι πληρωμές που συνδέονται ενδεχομένως με οικονομικές δραστηριότητες (εξαιρούνται, επομένως, οι διασυνοριακές μεταφορές χρηματικών ποσών που εκτελούνται για ιδιωτικούς λόγους) προβλέπεται όριο σχετικά με τον αριθμό των διασυνοριακών πληρωμών που λαμβάνουν οι δικαιούχοι. Μόνον όταν η συνολική ποσότητα πληρωμών που λαμβάνονται από συγκεκριμένο δικαιούχο υπερβεί το όριο των 25 πληρωμών σε ένα ημερολογιακό τρίμηνο (το οποίο αποτελεί και την περίοδο υποβολής στοιχείων για τους παρόχους υπηρεσιών πληρωμών) θα πρέπει ο πάροχος υπηρεσιών πληρωμών να τηρεί αρχεία για τον εν λόγω δικαιούχο, τα οποία θα τίθενται στη διάθεση των φορολογικών αρχών. Το όριο αποφασίστηκε με βάση μέση αξία διαδικτυακών εντολών αγοράς που ανέρχεται σε 95 EUR</w:t>
      </w:r>
      <w:r>
        <w:rPr>
          <w:rStyle w:val="FootnoteReference"/>
          <w:noProof/>
        </w:rPr>
        <w:footnoteReference w:id="41"/>
      </w:r>
      <w:r>
        <w:rPr>
          <w:noProof/>
        </w:rPr>
        <w:t>. Αν σε κάθε έτος εκτελούνται 100 πράξεις πληρωμής με αυτήν την αξία, θα διενεργούνται πωλήσεις αξίας σχεδόν 10 000 EUR και το ποσό αυτό δημιουργεί ήδη υποχρεώσεις που απορρέουν από τον ΦΠΑ στα κράτη μέλη. Το εν λόγω ποσό άλλωστε είναι αντίστοιχο του ορίου των 10 000 EUR για τις ενδοενωσιακές παραδόσεις αγαθών ή παροχές υπηρεσιών, το οποίο καθιερώθηκε με την οδηγία για τον ΦΠΑ στο ηλεκτρονικό εμπόριο.</w:t>
      </w:r>
    </w:p>
    <w:p>
      <w:pPr>
        <w:pBdr>
          <w:top w:val="nil"/>
          <w:left w:val="nil"/>
          <w:bottom w:val="nil"/>
          <w:right w:val="nil"/>
          <w:between w:val="nil"/>
          <w:bar w:val="nil"/>
        </w:pBdr>
        <w:spacing w:before="0" w:after="240"/>
        <w:rPr>
          <w:rFonts w:eastAsia="Arial Unicode MS"/>
          <w:noProof/>
        </w:rPr>
      </w:pPr>
      <w:r>
        <w:rPr>
          <w:noProof/>
        </w:rPr>
        <w:t xml:space="preserve">Η περίοδος τήρησης αρχείων για τους παρόχους υπηρεσιών πληρωμών θα είναι 2 έτη. Η εν λόγω περίοδος τήρησης αρχείων είναι αναλογική, αν ληφθούν υπόψη οι υπέρογκες πληροφορίες που ανταλλάσσονται, η μεγάλη ευαισθησία που παρουσιάζουν οι πληροφορίες </w:t>
      </w:r>
      <w:r>
        <w:rPr>
          <w:noProof/>
        </w:rPr>
        <w:lastRenderedPageBreak/>
        <w:t>αυτές όσον αφορά την προστασία δεδομένων και ο χρόνος που χρειάζονται οι φορολογικές αρχές για να εντοπίσουν την απάτη στον τομέα του ΦΠΑ.</w:t>
      </w:r>
    </w:p>
    <w:p>
      <w:pPr>
        <w:pBdr>
          <w:top w:val="nil"/>
          <w:left w:val="nil"/>
          <w:bottom w:val="nil"/>
          <w:right w:val="nil"/>
          <w:between w:val="nil"/>
          <w:bar w:val="nil"/>
        </w:pBdr>
        <w:spacing w:before="0" w:after="240"/>
        <w:rPr>
          <w:rFonts w:eastAsia="Arial Unicode MS"/>
          <w:noProof/>
        </w:rPr>
      </w:pPr>
      <w:r>
        <w:rPr>
          <w:noProof/>
        </w:rPr>
        <w:t>Στο άρθρο 243γ αναφέρονται οι κανόνες που πρέπει να εφαρμόζουν οι πάροχοι υπηρεσιών πληρωμών για να προσδιορίζουν την τοποθεσία των πληρωτών και των δικαιούχων όπως αναφέρθηκε ανωτέρω. Το άρθρο 243γ δεν προβλέπει κανόνες για τον προσδιορισμό του τόπου φορολόγησης, αλλά, αντίθετα, προβλέπει κανόνες για τον προσδιορισμό της τοποθεσίας του δικαιούχου και των πληρωτών ώστε να εφαρμοστεί η υποχρέωση τήρησης αρχείων δυνάμει του άρθρου 243β της οδηγίας για τον ΦΠΑ.</w:t>
      </w:r>
    </w:p>
    <w:p>
      <w:pPr>
        <w:pBdr>
          <w:top w:val="nil"/>
          <w:left w:val="nil"/>
          <w:bottom w:val="nil"/>
          <w:right w:val="nil"/>
          <w:between w:val="nil"/>
          <w:bar w:val="nil"/>
        </w:pBdr>
        <w:spacing w:before="0" w:after="240"/>
        <w:rPr>
          <w:rFonts w:eastAsia="Arial Unicode MS"/>
          <w:noProof/>
        </w:rPr>
      </w:pPr>
      <w:r>
        <w:rPr>
          <w:noProof/>
        </w:rPr>
        <w:t>Επιπλέον, το άρθρο 243γ δεν συνεπάγεται τη διαβίβαση των πληροφοριών που χρησιμοποιούνται για τον προσδιορισμό της τοποθεσίας του πληρωτή στις φορολογικές αρχές. Οι πληροφορίες θα παραμένουν στην κατοχή του παρόχου υπηρεσιών πληρωμών.</w:t>
      </w:r>
    </w:p>
    <w:p>
      <w:pPr>
        <w:pBdr>
          <w:top w:val="nil"/>
          <w:left w:val="nil"/>
          <w:bottom w:val="nil"/>
          <w:right w:val="nil"/>
          <w:between w:val="nil"/>
          <w:bar w:val="nil"/>
        </w:pBdr>
        <w:spacing w:before="0" w:after="240"/>
        <w:rPr>
          <w:rFonts w:eastAsia="Arial Unicode MS"/>
          <w:noProof/>
        </w:rPr>
      </w:pPr>
      <w:r>
        <w:rPr>
          <w:noProof/>
        </w:rPr>
        <w:t>Δυνάμει της παραγράφου 1, η τοποθεσία του πληρωτή θα θεωρείται ότι βρίσκεται στο κράτος μέλος που υποδεικνύει ο αναγνωριστικός κωδικός του λογαριασμού του πληρωτή. Με τον κανονισμό για τον ενιαίο χώρο πληρωμών σε ευρώ</w:t>
      </w:r>
      <w:r>
        <w:rPr>
          <w:rStyle w:val="FootnoteReference"/>
          <w:rFonts w:eastAsia="Arial Unicode MS"/>
          <w:noProof/>
        </w:rPr>
        <w:footnoteReference w:id="42"/>
      </w:r>
      <w:r>
        <w:rPr>
          <w:noProof/>
        </w:rPr>
        <w:t xml:space="preserve"> καθιερώνεται ο IBAN (διεθνής αριθμός τραπεζικού λογαριασμού) ως ο αναγνωριστικός κωδικός των ατομικών λογαριασμών πληρωμών στα κράτη μέλη. Αν η πληρωμή εκτελεστεί μέσω υπηρεσίας πληρωμής που δεν εμπίπτει στον κανονισμό για τον ενιαίο χώρο πληρωμών σε ευρώ (ο οποίος ισχύει μόνο για τις μεταφορές πίστωσης και τις άμεσες χρεώσεις σε ευρώ), η τοποθεσία του πληρωτή είναι δυνατό να εντοπίζεται από οποιονδήποτε άλλον αναγνωριστικό κωδικό του λογαριασμού πληρωμών του πληρωτή.</w:t>
      </w:r>
    </w:p>
    <w:p>
      <w:pPr>
        <w:pBdr>
          <w:top w:val="nil"/>
          <w:left w:val="nil"/>
          <w:bottom w:val="nil"/>
          <w:right w:val="nil"/>
          <w:between w:val="nil"/>
          <w:bar w:val="nil"/>
        </w:pBdr>
        <w:spacing w:before="0" w:after="240"/>
        <w:rPr>
          <w:rFonts w:eastAsia="Arial Unicode MS"/>
          <w:noProof/>
        </w:rPr>
      </w:pPr>
      <w:r>
        <w:rPr>
          <w:noProof/>
        </w:rPr>
        <w:t>Υπάρχουν επίσης πράξεις πληρωμών (δηλαδή υπηρεσίες εμβασμάτων) κατά τις οποίες τα χρηματικά ποσά μεταφέρονται στον δικαιούχο χωρίς να δημιουργηθεί λογαριασμός πληρωμής στο όνομα του πληρωτή. Στην περίπτωση αυτή, η τοποθεσία του πληρωτή θα θεωρείται ότι βρίσκεται στο κράτος μέλος το οποίο υποδεικνύεται από τον αναγνωριστικό κωδικό του παρόχου υπηρεσιών πληρωμών που ενεργεί για λογαριασμό του πληρωτή.</w:t>
      </w:r>
    </w:p>
    <w:p>
      <w:pPr>
        <w:pBdr>
          <w:top w:val="nil"/>
          <w:left w:val="nil"/>
          <w:bottom w:val="nil"/>
          <w:right w:val="nil"/>
          <w:between w:val="nil"/>
          <w:bar w:val="nil"/>
        </w:pBdr>
        <w:spacing w:before="0" w:after="240"/>
        <w:rPr>
          <w:rFonts w:eastAsia="Arial Unicode MS"/>
          <w:noProof/>
        </w:rPr>
      </w:pPr>
      <w:r>
        <w:rPr>
          <w:noProof/>
        </w:rPr>
        <w:t>Δυνάμει της παραγράφου 2, η τοποθεσία του δικαιούχου (του δικαιούχου των χρηματικών ποσών) θα θεωρείται ότι βρίσκεται στο κράτος μέλος ή την τρίτη χώρα που υποδεικνύει ο αναγνωριστικός κωδικός του λογαριασμού πληρωμών στον οποίον πιστώνονται τα χρηματικά ποσά. Αν τα χρηματικά ποσά δεν πιστωθούν σε κανέναν λογαριασμό πληρωμών, η τοποθεσία του δικαιούχου θα θεωρείται ότι βρίσκεται στο κράτος μέλος, την τρίτη χώρα ή το τρίτο έδαφος που υποδεικνύει ο αναγνωριστικός κωδικός του παρόχου υπηρεσιών πληρωμών που ενεργεί για λογαριασμό του δικαιούχου.</w:t>
      </w:r>
    </w:p>
    <w:p>
      <w:pPr>
        <w:pBdr>
          <w:top w:val="nil"/>
          <w:left w:val="nil"/>
          <w:bottom w:val="nil"/>
          <w:right w:val="nil"/>
          <w:between w:val="nil"/>
          <w:bar w:val="nil"/>
        </w:pBdr>
        <w:spacing w:before="0" w:after="240"/>
        <w:rPr>
          <w:rFonts w:eastAsia="Arial Unicode MS"/>
          <w:noProof/>
        </w:rPr>
      </w:pPr>
      <w:r>
        <w:rPr>
          <w:noProof/>
        </w:rPr>
        <w:t xml:space="preserve">Το άρθρο 243δ προβλέπει τις λεπτομέρειες των πληροφοριών που πρέπει να τηρούνται από τους παρόχους υπηρεσιών πληρωμών, όπως αναφέρεται στο άρθρο 243β. Τα αρχεία περιλαμβάνουν πληροφορίες για την ταυτοποίηση του παρόχου υπηρεσιών πληρωμών που τηρεί τα αρχεία, πληροφορίες για την ταυτοποίηση του δικαιούχου και πληροφορίες για τις πληρωμές που λαμβάνονται από τον δικαιούχο. Οι πληροφορίες για την ταυτοποίηση των πληρωτών δεν συμπεριλαμβάνονται στην υποχρέωση τήρησης αρχείων από τους παρόχους υπηρεσιών πληρωμών, καθώς η υποχρέωση αυτή δεν είναι αναγκαία για τον εντοπισμό περιστατικών απάτης. Επιπλέον, οι πάροχοι υπηρεσιών πληρωμών δεν γνωρίζουν πάντα αν οι </w:t>
      </w:r>
      <w:r>
        <w:rPr>
          <w:noProof/>
        </w:rPr>
        <w:lastRenderedPageBreak/>
        <w:t>πληρωτές είναι υποκείμενοι στον φόρο ή απλά ιδιώτες καταναλωτές. Ως εκ τούτου, όταν σημειώνεται υπέρβαση του ανώτατου ορίου των 25 πληρωμών εντός του τριμήνου, οι πάροχοι υπηρεσιών πληρωμών θα πρέπει να τηρούν πληροφορίες για όλες τις πληρωμές που λαμβάνονται από τον εκάστοτε δικαιούχο, χωρίς να προβαίνουν σε διάκριση μεταξύ των πληρωμών που λαμβάνονται από καταναλωτές και των πληρωμών που λαμβάνονται από υποκείμενους στον φόρο. Στη διάκριση αυτή πρέπει να προβαίνουν οι φορολογικές αρχές των κρατών μελών όταν αναλύουν τις πληροφορίες.</w:t>
      </w:r>
    </w:p>
    <w:p>
      <w:pPr>
        <w:pBdr>
          <w:top w:val="nil"/>
          <w:left w:val="nil"/>
          <w:bottom w:val="nil"/>
          <w:right w:val="nil"/>
          <w:between w:val="nil"/>
          <w:bar w:val="nil"/>
        </w:pBdr>
        <w:spacing w:before="0" w:after="240"/>
        <w:rPr>
          <w:rFonts w:eastAsia="Arial Unicode MS"/>
          <w:noProof/>
        </w:rPr>
      </w:pPr>
      <w:r>
        <w:rPr>
          <w:noProof/>
        </w:rPr>
        <w:t>Οι πάροχοι υπηρεσιών πληρωμών πρέπει να τηρούν αρχεία όλων των αριθμών μητρώου ΦΠΑ ή των αριθμών φορολογικού μητρώου των δικαιούχων, ανάλογα με την περίπτωση. Οι φορολογικές αρχές των κρατών μελών χρειάζονται τους αριθμούς μητρώου ΦΠΑ (εθνικοί αριθμοί φορολογικού μητρώου ή αριθμοί φορολογικού μητρώου της μικρής υπηρεσίας μίας στάσης) για να ταυτοποιούν τους υποκείμενους στον ΦΠΑ και να διασταυρώνουν τις πληροφορίες τους για τις πληρωμές με τις αντίστοιχες δηλώσεις και πληρωμές του ΦΠΑ ή της μικρής υπηρεσίας μίας στάσης (MOSS). Ο αριθμός μητρώου ΦΠΑ του δικαιούχου μπορεί να μην βρίσκεται στη διάθεση των παρόχων υπηρεσιών πληρωμών (είτε επειδή ο δικαιούχος δεν διαθέτει αριθμό μητρώου ΦΠΑ είτε επειδή ο δικαιούχος διαθέτει αριθμό μητρώου ΦΠΑ αλλά δεν τον κοινοποιεί στον πάροχο υπηρεσιών πληρωμών). Σε περίπτωση που ο αριθμός μητρώου ΦΠΑ δεν βρίσκεται στη διάθεση των παρόχων υπηρεσιών πληρωμών, οι φορολογικές αρχές θα πρέπει να ενεργοποιούν τις αναγκαίες διαδικασίες (εγχώριες διαδικασίες ή διοικητική συνεργασία) ώστε να εξακριβώνουν αν πίσω από τον εκάστοτε δικαιούχο υπάρχει υποκείμενος στον φόρο και να εξετάζουν κατά πόσον υπάρχουν υποχρεώσεις καταβολής ΦΠΑ.</w:t>
      </w:r>
    </w:p>
    <w:p>
      <w:pPr>
        <w:pBdr>
          <w:top w:val="nil"/>
          <w:left w:val="nil"/>
          <w:bottom w:val="nil"/>
          <w:right w:val="nil"/>
          <w:between w:val="nil"/>
          <w:bar w:val="nil"/>
        </w:pBdr>
        <w:spacing w:before="0" w:after="240"/>
        <w:rPr>
          <w:rStyle w:val="CommentReference"/>
          <w:noProof/>
        </w:rPr>
      </w:pPr>
      <w:r>
        <w:rPr>
          <w:noProof/>
        </w:rPr>
        <w:t xml:space="preserve">Τέλος, οι πάροχοι υπηρεσιών πληρωμών πρέπει να τηρούν πληροφορίες για την ίδια την πράξη πληρωμής, όπως π.χ. ποσό, νόμισμα, ημερομηνία, προέλευση της πληρωμής και ένδειξη για τυχόν επιστροφή πληρωμής.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2018/0412 (CNS)</w:t>
      </w:r>
    </w:p>
    <w:p>
      <w:pPr>
        <w:pStyle w:val="Statut"/>
        <w:rPr>
          <w:noProof/>
        </w:rPr>
      </w:pPr>
      <w:r>
        <w:rPr>
          <w:noProof/>
        </w:rPr>
        <w:t>Πρόταση</w:t>
      </w:r>
    </w:p>
    <w:p>
      <w:pPr>
        <w:pStyle w:val="Typedudocument"/>
        <w:rPr>
          <w:noProof/>
        </w:rPr>
      </w:pPr>
      <w:r>
        <w:rPr>
          <w:noProof/>
        </w:rPr>
        <w:t>ΟΔΗΓΙΑ ΤΟΥ ΣΥΜΒΟΥΛΙΟΥ</w:t>
      </w:r>
    </w:p>
    <w:p>
      <w:pPr>
        <w:pStyle w:val="Titreobjet"/>
        <w:rPr>
          <w:noProof/>
        </w:rPr>
      </w:pPr>
      <w:r>
        <w:rPr>
          <w:noProof/>
        </w:rPr>
        <w:t>για την τροποποίηση της οδηγίας 2006/112/ΕΚ όσον αφορά τη θέσπιση ορισμένων απαιτήσεων για τους παρόχους υπηρεσιών πληρωμών</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113,</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43"/>
      </w:r>
      <w:r>
        <w:rPr>
          <w:noProof/>
        </w:rPr>
        <w:t>,</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44"/>
      </w:r>
      <w:r>
        <w:rPr>
          <w:noProof/>
        </w:rPr>
        <w:t>,</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r>
        <w:t>(1)</w:t>
      </w:r>
      <w:r>
        <w:tab/>
      </w:r>
      <w:r>
        <w:rPr>
          <w:noProof/>
        </w:rPr>
        <w:t>Η οδηγία 2006/112/ΕΚ του Συμβουλίου</w:t>
      </w:r>
      <w:r>
        <w:rPr>
          <w:rStyle w:val="FootnoteReference"/>
          <w:noProof/>
        </w:rPr>
        <w:footnoteReference w:id="45"/>
      </w:r>
      <w:r>
        <w:rPr>
          <w:noProof/>
        </w:rPr>
        <w:t xml:space="preserve"> καθορίζει τις γενικές λογιστικές υποχρεώσεις των υποκειμένων στον φόρο όσον αφορά τον φόρο προστιθέμενης αξίας (ΦΠΑ).</w:t>
      </w:r>
    </w:p>
    <w:p>
      <w:pPr>
        <w:pStyle w:val="ManualConsidrant"/>
        <w:rPr>
          <w:noProof/>
        </w:rPr>
      </w:pPr>
      <w:r>
        <w:t>(2)</w:t>
      </w:r>
      <w:r>
        <w:tab/>
      </w:r>
      <w:r>
        <w:rPr>
          <w:noProof/>
        </w:rPr>
        <w:t>Η ανάπτυξη του ηλεκτρονικού εμπορίου διευκολύνει τη διασυνοριακή παράδοση αγαθών και παροχή υπηρεσιών σε τελικούς καταναλωτές στα κράτη μέλη. Σε αυτό το πλαίσιο, η έννοια «διασυνοριακή παράδοση ή παροχή» αναφέρεται σε κατάσταση κατά την οποία ο ΦΠΑ οφείλεται σε ένα κράτος μέλος, αλλά ο προμηθευτής ή ο πάροχος είναι εγκατεστημένος σε άλλο κράτος μέλος ή σε τρίτη χώρα ή σε τρίτο έδαφος. Ωστόσο, ανέντιμες επιχειρήσεις εκμεταλλεύονται τις ευκαιρίες του ηλεκτρονικού εμπορίου για να αποκομίσουν αθέμιτο ανταγωνιστικό πλεονέκτημα μέσω της αποφυγής των υποχρεώσεών τους που απορρέουν από τον ΦΠΑ. Όταν εφαρμόζεται η αρχή της φορολόγησης στον τόπο προορισμού, επειδή οι καταναλωτές δεν έχουν λογιστικές υποχρεώσεις, τα κράτη μέλη κατανάλωσης χρειάζονται κατάλληλα μέσα για τον εντοπισμό και τον έλεγχο αυτών των ανέντιμων επιχειρήσεων.</w:t>
      </w:r>
    </w:p>
    <w:p>
      <w:pPr>
        <w:pStyle w:val="ManualConsidrant"/>
        <w:rPr>
          <w:noProof/>
        </w:rPr>
      </w:pPr>
      <w:r>
        <w:t>(3)</w:t>
      </w:r>
      <w:r>
        <w:tab/>
      </w:r>
      <w:r>
        <w:rPr>
          <w:noProof/>
        </w:rPr>
        <w:t xml:space="preserve">Στη συντριπτική πλειονότητα των διαδικτυακών αγορών που πραγματοποιούνται από ευρωπαίους καταναλωτές, οι πληρωμές εκτελούνται μέσω παρόχων υπηρεσιών πληρωμών. Για την εκτέλεση μιας πράξης πληρωμής, ο πάροχος υπηρεσιών πληρωμών κατέχει συγκεκριμένες πληροφορίες για την ταυτοποίηση του παραλήπτη, ή δικαιούχου, της εν λόγω πληρωμής, μαζί με λεπτομέρειες σχετικά με το ποσό και την ημερομηνία της πράξης πληρωμής, καθώς και το κράτος μέλος προέλευσης της πληρωμής. Αυτό συμβαίνει ιδιαίτερα στο πλαίσιο μιας διασυνοριακής πράξης πληρωμής, κατά την οποία ο πληρωτής βρίσκεται σε ένα κράτος μέλος και ο δικαιούχος βρίσκεται σε άλλο κράτος μέλος ή σε τρίτη χώρα ή τρίτο έδαφος. Οι φορολογικές αρχές έχουν ανάγκη τις πληροφορίες αυτές ώστε να φέρουν σε πέρας τα βασικά τους καθήκοντα του εντοπισμού των ανέντιμων επιχειρήσεων και του ελέγχου των </w:t>
      </w:r>
      <w:r>
        <w:rPr>
          <w:noProof/>
        </w:rPr>
        <w:lastRenderedPageBreak/>
        <w:t xml:space="preserve">υποχρεώσεων καταβολής ΦΠΑ. Επομένως, αυτές οι σχετικές με τον ΦΠΑ πληροφορίες, τις οποίες κατέχουν οι πάροχοι υπηρεσιών πληρωμών, πρέπει να διατίθενται στις φορολογικές αρχές των κρατών μελών για να τους βοηθούν να εντοπίζουν και να καταπολεμούν την απάτη στον τομέα του ΦΠΑ στο διασυνοριακό ηλεκτρονικό εμπόριο. </w:t>
      </w:r>
    </w:p>
    <w:p>
      <w:pPr>
        <w:pStyle w:val="ManualConsidrant"/>
        <w:rPr>
          <w:noProof/>
        </w:rPr>
      </w:pPr>
      <w:r>
        <w:t>(4)</w:t>
      </w:r>
      <w:r>
        <w:tab/>
      </w:r>
      <w:r>
        <w:rPr>
          <w:noProof/>
        </w:rPr>
        <w:t>Είναι σημαντικό οι πάροχοι υπηρεσιών πληρωμών να υποχρεωθούν να τηρούν επαρκώς λεπτομερή αρχεία για ορισμένες διασυνοριακές πράξεις πληρωμής, ανάλογα με την τοποθεσία του πληρωτή και του δικαιούχου, στο πλαίσιο αυτού του νέου μέτρου που αποσκοπεί στην καταπολέμηση της απάτης στον τομέα του ΦΠΑ στο διασυνοριακό ηλεκτρονικό εμπόριο. Ως εκ τούτου, είναι αναγκαίο να καθοριστεί η συγκεκριμένη έννοια της τοποθεσίας του πληρωτή και του δικαιούχου, καθώς και τα μέσα για την ταυτοποίησή τους. Η τοποθεσία του πληρωτή και του δικαιούχου θα πρέπει να επιφέρει μόνο την υποχρέωση τήρησης αρχείων για τους παρόχους υπηρεσιών πληρωμών που είναι εγκατεστημένοι στην Ένωση και θα πρέπει να τελεί υπό τη επιφύλαξη των κανόνων που καθορίζονται στην παρούσα οδηγία και στον εκτελεστικό κανονισμό (ΕΕ) αριθ. 282/2011 του Συμβουλίου</w:t>
      </w:r>
      <w:r>
        <w:rPr>
          <w:rStyle w:val="FootnoteReference"/>
          <w:noProof/>
        </w:rPr>
        <w:footnoteReference w:id="46"/>
      </w:r>
      <w:r>
        <w:rPr>
          <w:noProof/>
        </w:rPr>
        <w:t xml:space="preserve"> όσον αφορά τον τόπο μιας φορολογητέας πράξης. </w:t>
      </w:r>
    </w:p>
    <w:p>
      <w:pPr>
        <w:pStyle w:val="ManualConsidrant"/>
        <w:rPr>
          <w:noProof/>
        </w:rPr>
      </w:pPr>
      <w:r>
        <w:t>(5)</w:t>
      </w:r>
      <w:r>
        <w:tab/>
      </w:r>
      <w:r>
        <w:rPr>
          <w:noProof/>
        </w:rPr>
        <w:t xml:space="preserve">Από πληροφορίες που ήδη κατέχουν οι πάροχοι υπηρεσιών πληρωμών, είναι σε θέση να προσδιορίζουν την τοποθεσία του δικαιούχου και του πληρωτή σε σχέση με τις υπηρεσίες πληρωμών που εκτελούν, με βάση έναν αναγνωριστικό κωδικό ατομικού λογαριασμού πληρωμών σε ένα κράτος μέλος τον οποίο χρησιμοποιεί ο εν λόγω πληρωτής ή δικαιούχος.  </w:t>
      </w:r>
    </w:p>
    <w:p>
      <w:pPr>
        <w:pStyle w:val="ManualConsidrant"/>
        <w:rPr>
          <w:noProof/>
        </w:rPr>
      </w:pPr>
      <w:r>
        <w:t>(6)</w:t>
      </w:r>
      <w:r>
        <w:tab/>
      </w:r>
      <w:r>
        <w:rPr>
          <w:noProof/>
        </w:rPr>
        <w:t xml:space="preserve">Εναλλακτικά, η τοποθεσία του πληρωτή ή του δικαιούχου θα πρέπει να καθορίζεται μέσω ενός αναγνωριστικού κωδικού της επιχείρησης του παρόχου υπηρεσιών πληρωμών, στις περιπτώσεις που ο τελευταίος ενεργεί για λογαριασμό του πληρωτή ή του δικαιούχου. Αυτό το μέσο ταυτοποίησης θα πρέπει επίσης να χρησιμοποιείται όταν τα χρηματικά ποσά μεταφέρονται σε δικαιούχο χωρίς να δημιουργείται λογαριασμός πληρωμών στο όνομα του πληρωτή, ή όταν τα χρηματικά ποσά δεν πιστώνονται σε λογαριασμό πληρωμών.  </w:t>
      </w:r>
    </w:p>
    <w:p>
      <w:pPr>
        <w:pStyle w:val="ManualConsidrant"/>
        <w:rPr>
          <w:noProof/>
        </w:rPr>
      </w:pPr>
      <w:r>
        <w:t>(7)</w:t>
      </w:r>
      <w:r>
        <w:tab/>
      </w:r>
      <w:r>
        <w:rPr>
          <w:noProof/>
        </w:rPr>
        <w:t>Σύμφωνα με τον κανονισμό (ΕΕ) 2016/679 του Ευρωπαϊκού Κοινοβουλίου και του Συμβουλίου</w:t>
      </w:r>
      <w:r>
        <w:rPr>
          <w:rStyle w:val="FootnoteReference"/>
          <w:noProof/>
        </w:rPr>
        <w:footnoteReference w:id="47"/>
      </w:r>
      <w:r>
        <w:rPr>
          <w:noProof/>
        </w:rPr>
        <w:t xml:space="preserve">, είναι σημαντικό η υποχρέωση του παρόχου υπηρεσιών πληρωμών να διατηρεί και να παρέχει πληροφορίες σχετικά με μια διασυνοριακή πράξη πληρωμής να είναι αναλογική και να περιορίζεται στα αναγκαία όρια ώστε τα κράτη μέλη να καταπολεμούν την απάτη στον τομέα του ΦΠΑ του ηλεκτρονικού εμπορίου. Επιπλέον, οι μόνες πληροφορίες που θα πρέπει να διατηρούνται όσον αφορά τον πληρωτή είναι οι σχετικές με την τοποθεσία του. Σχετικά με πληροφορίες όσον αφορά τον δικαιούχο και την ίδια την πράξη πληρωμής, οι πάροχοι υπηρεσιών πληρωμών θα πρέπει να υποχρεούνται να διατηρούν και να διαβιβάζουν στις φορολογικές αρχές μόνον πληροφορίες που είναι αναγκαίες ώστε οι φορολογικές αρχές να εντοπίζουν τυχόν επιχειρήσεις που διαπράττουν απάτη και να διενεργούν ελέγχους σχετικά με τον ΦΠΑ. Κατά συνέπεια, οι πάροχοι υπηρεσιών πληρωμών θα πρέπει να υποχρεούνται να τηρούν αρχεία μόνον για διασυνοριακές πράξεις πληρωμών που ενδέχεται να υποδεικνύουν οικονομικές δραστηριότητες. Η καθιέρωση ορίου με βάση τον αριθμό των πληρωμών που λαμβάνονται από έναν δικαιούχο κατά τη διάρκεια ενός ημερολογιακού τριμήνου θα παράσχει μια αξιόπιστη ένδειξη για το ότι οι εν λόγω πληρωμές ελήφθησαν στο πλαίσιο οικονομικής δραστηριότητας, με αποτέλεσμα να εξαιρούνται οι πληρωμές για μη εμπορικούς λόγους. Η </w:t>
      </w:r>
      <w:r>
        <w:rPr>
          <w:noProof/>
        </w:rPr>
        <w:lastRenderedPageBreak/>
        <w:t>κάλυψη αυτού του ορίου θα επιφέρει τη λογιστική υποχρέωση του παρόχου υπηρεσιών πληρωμών.</w:t>
      </w:r>
    </w:p>
    <w:p>
      <w:pPr>
        <w:pStyle w:val="ManualConsidrant"/>
        <w:rPr>
          <w:noProof/>
        </w:rPr>
      </w:pPr>
      <w:r>
        <w:t>(8)</w:t>
      </w:r>
      <w:r>
        <w:tab/>
      </w:r>
      <w:r>
        <w:rPr>
          <w:noProof/>
        </w:rPr>
        <w:t>Λόγω του σημαντικού όγκου και της ευαισθησίας των πληροφοριών όσον αφορά την προστασία των δεδομένων προσωπικού χαρακτήρα, είναι αναγκαίο και αναλογικό οι πάροχοι υπηρεσιών πληρωμών να διατηρούν αρχεία με τις πληροφορίες για διασυνοριακές πράξεις πληρωμής για περίοδο δύο ετών, ώστε να συνδράμουν τα κράτη μέλη στην καταπολέμηση της απάτης στον τομέα του ΦΠΑ του ηλεκτρονικού εμπορίου και τον εντοπισμό επιχειρήσεων που διαπράττουν απάτη. Αυτή η χρονική περίοδος είναι η ελάχιστη αναγκαία ώστε τα κράτη μέλη να διενεργούν ελέγχους με αποτελεσματικό τρόπο και να διερευνούν υποθέσεις εικαζόμενης απάτης στον τομέα του ΦΠΑ ή να εντοπίζουν περιπτώσεις απάτης στον τομέα του ΦΠΑ.</w:t>
      </w:r>
    </w:p>
    <w:p>
      <w:pPr>
        <w:pStyle w:val="ManualConsidrant"/>
        <w:rPr>
          <w:noProof/>
        </w:rPr>
      </w:pPr>
      <w:r>
        <w:t>(9)</w:t>
      </w:r>
      <w:r>
        <w:tab/>
      </w:r>
      <w:r>
        <w:rPr>
          <w:noProof/>
        </w:rPr>
        <w:t>Οι πληροφορίες που πρέπει να διατηρούνται από τους παρόχους υπηρεσιών πληρωμών θα πρέπει να συλλέγονται και να ανταλλάσσονται μεταξύ των κρατών μελών σύμφωνα με τον κανονισμό (ΕΕ) αριθ. 904/2010 του Συμβουλίου</w:t>
      </w:r>
      <w:r>
        <w:rPr>
          <w:rStyle w:val="FootnoteReference"/>
          <w:noProof/>
        </w:rPr>
        <w:footnoteReference w:id="48"/>
      </w:r>
      <w:r>
        <w:rPr>
          <w:noProof/>
        </w:rPr>
        <w:t>, στον οποίο καθορίζονται οι κανόνες για τη διοικητική συνεργασία και την ανταλλαγή πληροφοριών με σκοπό την καταπολέμηση της απάτης στον τομέα του ΦΠΑ.</w:t>
      </w:r>
    </w:p>
    <w:p>
      <w:pPr>
        <w:pStyle w:val="ManualConsidrant"/>
        <w:rPr>
          <w:noProof/>
        </w:rPr>
      </w:pPr>
      <w:r>
        <w:t>(10)</w:t>
      </w:r>
      <w:r>
        <w:tab/>
      </w:r>
      <w:r>
        <w:rPr>
          <w:noProof/>
        </w:rPr>
        <w:t>Η απάτη στον τομέα του ΦΠΑ του ηλεκτρονικού εμπορίου αποτελεί κοινό πρόβλημα για όλα τα κράτη μέλη, αλλά τα μεμονωμένα κράτη μέλη δεν διαθέτουν κατ’ ανάγκη τις πληροφορίες ώστε να διασφαλίζουν την ορθή εφαρμογή των κανόνων περί του ΦΠΑ για το ηλεκτρονικό εμπόριο και την αντιμετώπιση της απάτης στον τομέα του ΦΠΑ του ηλεκτρονικού εμπορίου. Δεδομένου ότι ο στόχος της παρούσας οδηγίας —η καταπολέμηση της απάτης στον τομέα του ΦΠΑ του ηλεκτρονικού εμπορίου— δεν είναι δυνατό να επιτευχθεί επαρκώς από τα μεμονωμένα κράτη μέλη λόγω της διασυνοριακής φύσης του ηλεκτρονικού εμπορίου και της ανάγκης λήψης πληροφοριών από άλλα κράτη μέλη, αλλά είναι δυνατό να επιτευχθεί καλύτερα σε ενωσιακό επίπεδο,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του ίδιου άρθρου, η παρούσα οδηγία δεν υπερβαίνει τα αναγκαία όρια για την επίτευξη του στόχου αυτού.</w:t>
      </w:r>
    </w:p>
    <w:p>
      <w:pPr>
        <w:pStyle w:val="ManualConsidrant"/>
        <w:rPr>
          <w:noProof/>
        </w:rPr>
      </w:pPr>
      <w:r>
        <w:t>(11)</w:t>
      </w:r>
      <w:r>
        <w:tab/>
      </w:r>
      <w:r>
        <w:rPr>
          <w:noProof/>
        </w:rPr>
        <w:t>Η παρούσα οδηγία σέβεται τα θεμελιώδη δικαιώματα και τηρεί τις αρχές που αναγνωρίζονται στον Χάρτη των Θεμελιωδών Δικαιωμάτων της Ευρωπαϊκής Ένωσης. Ειδικότερα, η παρούσα οδηγία σέβεται πλήρως το δικαίωμα προστασίας των δεδομένων προσωπικού χαρακτήρα, το οποίο καθορίζεται στο άρθρο 8 του Χάρτη. Οι σχετικές με τις πληρωμές πληροφορίες που διατηρούνται και γνωστοποιούνται σύμφωνα με την παρούσα οδηγία θα πρέπει να υποβάλλονται σε επεξεργασία μόνο από τους εμπειρογνώμονες των φορολογικών αρχών που ειδικεύονται στην καταπολέμηση της απάτης, εντός των αναλογικών και αναγκαίων ορίων προκειμένου να επιτευχθεί ο στόχος της καταπολέμησης της απάτης στον τομέα του ΦΠΑ του ηλεκτρονικού εμπορίου.</w:t>
      </w:r>
    </w:p>
    <w:p>
      <w:pPr>
        <w:pStyle w:val="ManualConsidrant"/>
        <w:rPr>
          <w:noProof/>
        </w:rPr>
      </w:pPr>
      <w:r>
        <w:t>(12)</w:t>
      </w:r>
      <w:r>
        <w:tab/>
      </w:r>
      <w:r>
        <w:rPr>
          <w:noProof/>
        </w:rPr>
        <w:t>Ζητήθηκε η γνώμη του Ευρωπαίου Επόπτη Προστασίας Δεδομένων σύμφωνα με το άρθρο 42 παράγραφος 1 του κανονισμού (ΕΕ) 2018/1725 του Ευρωπαϊκού Κοινοβουλίου και του Συμβουλίου</w:t>
      </w:r>
      <w:r>
        <w:rPr>
          <w:rStyle w:val="FootnoteReference"/>
          <w:noProof/>
        </w:rPr>
        <w:footnoteReference w:id="49"/>
      </w:r>
      <w:r>
        <w:rPr>
          <w:noProof/>
        </w:rPr>
        <w:t>, ο οποίος γνωμοδότησε στις</w:t>
      </w:r>
      <w:r>
        <w:rPr>
          <w:noProof/>
          <w:highlight w:val="yellow"/>
        </w:rPr>
        <w:t xml:space="preserve"> […]</w:t>
      </w:r>
      <w:r>
        <w:rPr>
          <w:noProof/>
        </w:rPr>
        <w:t>…</w:t>
      </w:r>
      <w:r>
        <w:rPr>
          <w:rStyle w:val="FootnoteReference"/>
          <w:noProof/>
        </w:rPr>
        <w:footnoteReference w:id="50"/>
      </w:r>
    </w:p>
    <w:p>
      <w:pPr>
        <w:pStyle w:val="ManualConsidrant"/>
        <w:rPr>
          <w:noProof/>
        </w:rPr>
      </w:pPr>
      <w:r>
        <w:lastRenderedPageBreak/>
        <w:t>(13)</w:t>
      </w:r>
      <w:r>
        <w:tab/>
      </w:r>
      <w:r>
        <w:rPr>
          <w:noProof/>
        </w:rPr>
        <w:t>Συνεπώς, η οδηγία 2006/112/ΕΚ θα πρέπει να τροποποιηθεί αναλόγως,</w:t>
      </w:r>
    </w:p>
    <w:p>
      <w:pPr>
        <w:rPr>
          <w:noProof/>
        </w:rPr>
      </w:pPr>
    </w:p>
    <w:p>
      <w:pPr>
        <w:pStyle w:val="Formuledadoption"/>
        <w:rPr>
          <w:noProof/>
        </w:rPr>
      </w:pPr>
      <w:r>
        <w:rPr>
          <w:noProof/>
        </w:rPr>
        <w:t>ΕΞΕΔΩΣΕ ΤΗΝ ΠΑΡΟΥΣΑ ΟΔΗΓΙΑ:</w:t>
      </w:r>
    </w:p>
    <w:p>
      <w:pPr>
        <w:pStyle w:val="Titrearticle"/>
        <w:spacing w:before="0" w:after="0"/>
        <w:rPr>
          <w:noProof/>
        </w:rPr>
      </w:pPr>
      <w:r>
        <w:rPr>
          <w:noProof/>
        </w:rPr>
        <w:t>Άρθρο 1</w:t>
      </w:r>
    </w:p>
    <w:p>
      <w:pPr>
        <w:pStyle w:val="Titrearticle"/>
        <w:spacing w:before="0" w:after="0"/>
        <w:rPr>
          <w:noProof/>
        </w:rPr>
      </w:pPr>
      <w:r>
        <w:rPr>
          <w:noProof/>
        </w:rPr>
        <w:t>Τροποποιήσεις της οδηγίας 2006/112/ΕΚ</w:t>
      </w:r>
    </w:p>
    <w:p>
      <w:pPr>
        <w:rPr>
          <w:noProof/>
        </w:rPr>
      </w:pPr>
      <w:r>
        <w:rPr>
          <w:noProof/>
        </w:rPr>
        <w:t>Η οδηγία 2006/112/ΕΚ τροποποιείται ως εξής:</w:t>
      </w:r>
    </w:p>
    <w:p>
      <w:pPr>
        <w:pStyle w:val="Point2number"/>
        <w:tabs>
          <w:tab w:val="clear" w:pos="1984"/>
        </w:tabs>
        <w:ind w:left="600"/>
        <w:rPr>
          <w:noProof/>
        </w:rPr>
      </w:pPr>
      <w:r>
        <w:rPr>
          <w:noProof/>
        </w:rPr>
        <w:t>το κεφάλαιο 4 του τίτλου XI τροποποιείται ως εξής:</w:t>
      </w:r>
    </w:p>
    <w:p>
      <w:pPr>
        <w:pStyle w:val="Point0"/>
        <w:rPr>
          <w:noProof/>
        </w:rPr>
      </w:pPr>
      <w:r>
        <w:rPr>
          <w:noProof/>
        </w:rPr>
        <w:t>α)</w:t>
      </w:r>
      <w:r>
        <w:rPr>
          <w:noProof/>
        </w:rPr>
        <w:tab/>
        <w:t>παρεμβάλλεται το ακόλουθο τμήμα 2α:</w:t>
      </w:r>
    </w:p>
    <w:p>
      <w:pPr>
        <w:pStyle w:val="Text1"/>
        <w:jc w:val="center"/>
        <w:rPr>
          <w:i/>
          <w:noProof/>
        </w:rPr>
      </w:pPr>
      <w:r>
        <w:rPr>
          <w:i/>
          <w:noProof/>
        </w:rPr>
        <w:t>«Τμήμα 2α</w:t>
      </w:r>
    </w:p>
    <w:p>
      <w:pPr>
        <w:pStyle w:val="Text1"/>
        <w:jc w:val="center"/>
        <w:rPr>
          <w:b/>
          <w:i/>
          <w:noProof/>
        </w:rPr>
      </w:pPr>
      <w:r>
        <w:rPr>
          <w:b/>
          <w:i/>
          <w:noProof/>
        </w:rPr>
        <w:t>Γενικές υποχρεώσεις για τους παρόχους υπηρεσιών πληρωμών»·</w:t>
      </w:r>
    </w:p>
    <w:p>
      <w:pPr>
        <w:pStyle w:val="Point0"/>
        <w:rPr>
          <w:noProof/>
        </w:rPr>
      </w:pPr>
      <w:r>
        <w:rPr>
          <w:noProof/>
        </w:rPr>
        <w:t>β)</w:t>
      </w:r>
      <w:r>
        <w:rPr>
          <w:noProof/>
        </w:rPr>
        <w:tab/>
        <w:t>παρεμβάλλονται τα ακόλουθα άρθρα 243α έως 243δ:</w:t>
      </w:r>
    </w:p>
    <w:p>
      <w:pPr>
        <w:pStyle w:val="Titrearticle"/>
        <w:rPr>
          <w:noProof/>
        </w:rPr>
      </w:pPr>
      <w:r>
        <w:rPr>
          <w:noProof/>
        </w:rPr>
        <w:t>«Άρθρο 243a</w:t>
      </w:r>
    </w:p>
    <w:p>
      <w:pPr>
        <w:ind w:firstLine="720"/>
        <w:rPr>
          <w:noProof/>
        </w:rPr>
      </w:pPr>
      <w:r>
        <w:rPr>
          <w:noProof/>
        </w:rPr>
        <w:t>Για τους σκοπούς του παρόντος τμήματος ισχύουν οι ακόλουθοι ορισμοί:</w:t>
      </w:r>
    </w:p>
    <w:p>
      <w:pPr>
        <w:pStyle w:val="Point1number"/>
        <w:numPr>
          <w:ilvl w:val="2"/>
          <w:numId w:val="21"/>
        </w:numPr>
        <w:rPr>
          <w:noProof/>
        </w:rPr>
      </w:pPr>
      <w:r>
        <w:rPr>
          <w:noProof/>
        </w:rPr>
        <w:t>“πάροχος υπηρεσιών πληρωμής”: μία από τις οντότητες που αναφέρονται στο άρθρο 1 παράγραφος 1 στοιχεία α) έως στ) της οδηγίας (ΕΕ) 2015/2366 (*), ή φυσικό ή νομικό πρόσωπο που τυγχάνει εξαίρεσης σύμφωνα με το άρθρο 32 της εν λόγω οδηγίας·</w:t>
      </w:r>
    </w:p>
    <w:p>
      <w:pPr>
        <w:pStyle w:val="Point1number"/>
        <w:rPr>
          <w:noProof/>
        </w:rPr>
      </w:pPr>
      <w:r>
        <w:rPr>
          <w:noProof/>
        </w:rPr>
        <w:t xml:space="preserve">“υπηρεσίες πληρωμών”: οι επιχειρηματικές δραστηριότητες που αναφέρονται στο παράρτημα 1 σημεία 3 έως 6 της οδηγίας (ΕΕ) 2015/2366· </w:t>
      </w:r>
    </w:p>
    <w:p>
      <w:pPr>
        <w:pStyle w:val="Point1number"/>
        <w:rPr>
          <w:noProof/>
        </w:rPr>
      </w:pPr>
      <w:r>
        <w:rPr>
          <w:noProof/>
        </w:rPr>
        <w:t>“πράξη πληρωμής”: πράξη που ορίζεται στο άρθρο 4 σημείο 5 της οδηγίας (ΕΕ) 2015/2366·</w:t>
      </w:r>
    </w:p>
    <w:p>
      <w:pPr>
        <w:pStyle w:val="Point1number"/>
        <w:rPr>
          <w:noProof/>
        </w:rPr>
      </w:pPr>
      <w:r>
        <w:rPr>
          <w:noProof/>
        </w:rPr>
        <w:t>“πληρωτής”: φυσικό ή νομικό πρόσωπο που ορίζεται στο άρθρο 4 σημείο 8 της οδηγίας (ΕΕ) 2015/2366·</w:t>
      </w:r>
    </w:p>
    <w:p>
      <w:pPr>
        <w:pStyle w:val="Point1number"/>
        <w:rPr>
          <w:noProof/>
        </w:rPr>
      </w:pPr>
      <w:r>
        <w:rPr>
          <w:noProof/>
        </w:rPr>
        <w:t>“δικαιούχος”: φυσικό ή νομικό πρόσωπο που ορίζεται στο άρθρο 4 σημείο 9 της οδηγίας (ΕΕ) 2015/2366·</w:t>
      </w:r>
    </w:p>
    <w:p>
      <w:pPr>
        <w:pStyle w:val="Point1number"/>
        <w:rPr>
          <w:noProof/>
        </w:rPr>
      </w:pPr>
      <w:r>
        <w:rPr>
          <w:noProof/>
        </w:rPr>
        <w:t>“IBAN”: διεθνής κωδικός αναγνώρισης του αριθμού ενός λογαριασμού πληρωμών, όπως ορίζεται στο άρθρο 2 σημείο 15 του κανονισμού (ΕΕ) 260/2012 του Ευρωπαϊκού Κοινοβουλίου και του Συμβουλίου (**)·</w:t>
      </w:r>
    </w:p>
    <w:p>
      <w:pPr>
        <w:pStyle w:val="Point1number"/>
        <w:rPr>
          <w:noProof/>
        </w:rPr>
      </w:pPr>
      <w:r>
        <w:rPr>
          <w:noProof/>
        </w:rPr>
        <w:t>“BIC”: κωδικός αναγνώρισης της επιχείρησης, όπως ορίζεται στο άρθρο 2 σημείο 16 του κανονισμού (ΕΕ) 260/2012·</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Οδηγία (ΕΕ) 2015/2366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2013/36/ΕΕ και του κανονισμού (ΕΕ) αριθ. 1093/2010 και την κατάργηση της οδηγίας 2007/64/ΕΚ (ΕΕ L 337 της 23.12.2015, σ. 35).</w:t>
      </w:r>
    </w:p>
    <w:p>
      <w:pPr>
        <w:pStyle w:val="Text1"/>
        <w:rPr>
          <w:noProof/>
        </w:rPr>
      </w:pPr>
      <w:r>
        <w:rPr>
          <w:noProof/>
        </w:rPr>
        <w:t>(**)</w:t>
      </w:r>
      <w:r>
        <w:rPr>
          <w:noProof/>
        </w:rPr>
        <w:tab/>
        <w:t>Κανονισμός (ΕΕ) αριθ. 260/2012 του Ευρωπαϊκού Κοινοβουλίου και του Συμβουλίου, της 14ης Μαρτίου 2012, σχετικά με την καθιέρωση τεχνικών απαιτήσεων και επιχειρηματικών κανόνων για τις μεταφορές πίστωσης και τις άμεσες χρεώσεις σε ευρώ και με την τροποποίηση του κανονισμού (ΕΚ) αριθ. 924/2009 (ΕΕ L 94 της 30.3.2012, σ. 22).</w:t>
      </w:r>
    </w:p>
    <w:p>
      <w:pPr>
        <w:pStyle w:val="Text1"/>
        <w:rPr>
          <w:noProof/>
        </w:rPr>
      </w:pPr>
    </w:p>
    <w:p>
      <w:pPr>
        <w:pStyle w:val="Titrearticle"/>
        <w:rPr>
          <w:i w:val="0"/>
          <w:noProof/>
        </w:rPr>
      </w:pPr>
      <w:r>
        <w:rPr>
          <w:noProof/>
        </w:rPr>
        <w:lastRenderedPageBreak/>
        <w:t>Άρθρο 243β</w:t>
      </w:r>
    </w:p>
    <w:p>
      <w:pPr>
        <w:pStyle w:val="ManualNumPar1"/>
        <w:rPr>
          <w:noProof/>
        </w:rPr>
      </w:pPr>
      <w:r>
        <w:t>1.</w:t>
      </w:r>
      <w:r>
        <w:tab/>
      </w:r>
      <w:r>
        <w:rPr>
          <w:noProof/>
        </w:rPr>
        <w:t xml:space="preserve">Τα κράτη μέλη διασφαλίζουν ότι οι πάροχοι υπηρεσιών πληρωμών τηρούν επαρκώς λεπτομερή αρχεία με τους δικαιούχους και τις πράξεις πληρωμών σε σχέση με υπηρεσίες πληρωμών που εκτελούν για κάθε ημερολογιακό τρίμηνο, με σκοπό να παρέχεται η δυνατότητα στις αρμόδιες αρχές των κρατών μελών να διενεργούν ελέγχους των παραδόσεων αγαθών και των παροχών υπηρεσιών οι οποίες, σύμφωνα με τις διατάξεις του τίτλου V, θεωρούνται ότι λαμβάνουν χώρα σε ένα κράτος μέλος. </w:t>
      </w:r>
    </w:p>
    <w:p>
      <w:pPr>
        <w:pStyle w:val="ManualNumPar1"/>
        <w:rPr>
          <w:noProof/>
        </w:rPr>
      </w:pPr>
      <w:r>
        <w:t>2.</w:t>
      </w:r>
      <w:r>
        <w:tab/>
      </w:r>
      <w:r>
        <w:rPr>
          <w:noProof/>
        </w:rPr>
        <w:t>Η απαίτηση που αναφέρεται στην παράγραφο 1 εφαρμόζεται στις περιπτώσεις στις οποίες πληρούνται αμφότερες οι ακόλουθες προϋποθέσεις:</w:t>
      </w:r>
    </w:p>
    <w:p>
      <w:pPr>
        <w:pStyle w:val="Point1"/>
        <w:rPr>
          <w:noProof/>
        </w:rPr>
      </w:pPr>
      <w:r>
        <w:rPr>
          <w:noProof/>
        </w:rPr>
        <w:t>α)</w:t>
      </w:r>
      <w:r>
        <w:rPr>
          <w:noProof/>
        </w:rPr>
        <w:tab/>
        <w:t>όταν ένας πάροχος υπηρεσιών πληρωμών μεταφέρει χρηματικά ποσά από πληρωτή που βρίσκεται σε ένα κράτος μέλος σε δικαιούχο που βρίσκεται σε άλλο κράτος μέλος, σε τρίτο έδαφος ή σε τρίτη χώρα·</w:t>
      </w:r>
    </w:p>
    <w:p>
      <w:pPr>
        <w:pStyle w:val="Point1"/>
        <w:rPr>
          <w:noProof/>
        </w:rPr>
      </w:pPr>
      <w:r>
        <w:rPr>
          <w:noProof/>
        </w:rPr>
        <w:t>β)</w:t>
      </w:r>
      <w:r>
        <w:rPr>
          <w:noProof/>
        </w:rPr>
        <w:tab/>
        <w:t>όσον αφορά τα χρηματικά ποσά που αναφέρονται στο στοιχείο α), όταν ένας πάροχος υπηρεσιών πληρωμών εκτελεί περισσότερες από 25 πράξεις πληρωμών προς τον ίδιο δικαιούχο κατά τη διάρκεια ενός ημερολογιακού τριμήνου.</w:t>
      </w:r>
    </w:p>
    <w:p>
      <w:pPr>
        <w:pStyle w:val="ManualNumPar1"/>
        <w:rPr>
          <w:noProof/>
        </w:rPr>
      </w:pPr>
      <w:r>
        <w:t>3.</w:t>
      </w:r>
      <w:r>
        <w:tab/>
      </w:r>
      <w:r>
        <w:rPr>
          <w:noProof/>
        </w:rPr>
        <w:t>Τα αρχεία που αναφέρονται στην παράγραφο 1:</w:t>
      </w:r>
    </w:p>
    <w:p>
      <w:pPr>
        <w:pStyle w:val="Point1"/>
        <w:rPr>
          <w:noProof/>
        </w:rPr>
      </w:pPr>
      <w:r>
        <w:rPr>
          <w:noProof/>
        </w:rPr>
        <w:t>α)</w:t>
      </w:r>
      <w:r>
        <w:rPr>
          <w:noProof/>
        </w:rPr>
        <w:tab/>
        <w:t>τηρούνται από τον πάροχο υπηρεσιών πληρωμών σε ηλεκτρονική μορφή για περίοδο δύο ετών από το τέλος του έτους κατά τη διάρκεια του οποίου εκτελέστηκε η πράξη πληρωμής·</w:t>
      </w:r>
    </w:p>
    <w:p>
      <w:pPr>
        <w:pStyle w:val="Point1"/>
        <w:rPr>
          <w:noProof/>
        </w:rPr>
      </w:pPr>
      <w:r>
        <w:rPr>
          <w:noProof/>
        </w:rPr>
        <w:t>β)</w:t>
      </w:r>
      <w:r>
        <w:rPr>
          <w:noProof/>
        </w:rPr>
        <w:tab/>
        <w:t xml:space="preserve">τίθενται στη διάθεση των κρατών μελών εγκατάστασης του παρόχου υπηρεσιών πληρωμών σύμφωνα με το άρθρο 24β του κανονισμού (ΕΕ) αριθ. 904/2010 (*).  </w:t>
      </w:r>
    </w:p>
    <w:p>
      <w:pPr>
        <w:ind w:firstLine="720"/>
        <w:rPr>
          <w:noProof/>
        </w:rPr>
      </w:pPr>
      <w:r>
        <w:rPr>
          <w:noProof/>
        </w:rPr>
        <w:t>_____________________________________________________________________</w:t>
      </w:r>
    </w:p>
    <w:p>
      <w:pPr>
        <w:ind w:left="720"/>
        <w:rPr>
          <w:noProof/>
        </w:rPr>
      </w:pPr>
      <w:r>
        <w:rPr>
          <w:noProof/>
        </w:rPr>
        <w:t>(*)</w:t>
      </w:r>
      <w:r>
        <w:rPr>
          <w:noProof/>
        </w:rPr>
        <w:tab/>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(ΕΕ L 268 της 12.10.2010, σ. 1).</w:t>
      </w:r>
    </w:p>
    <w:p>
      <w:pPr>
        <w:rPr>
          <w:noProof/>
        </w:rPr>
      </w:pPr>
    </w:p>
    <w:p>
      <w:pPr>
        <w:pStyle w:val="Titrearticle"/>
        <w:rPr>
          <w:noProof/>
        </w:rPr>
      </w:pPr>
      <w:r>
        <w:rPr>
          <w:noProof/>
        </w:rPr>
        <w:t>Άρθρο 243γ</w:t>
      </w:r>
    </w:p>
    <w:p>
      <w:pPr>
        <w:pStyle w:val="ManualNumPar1"/>
        <w:rPr>
          <w:noProof/>
        </w:rPr>
      </w:pPr>
      <w:r>
        <w:t>1.</w:t>
      </w:r>
      <w:r>
        <w:tab/>
      </w:r>
      <w:r>
        <w:rPr>
          <w:noProof/>
        </w:rPr>
        <w:t>Για τους σκοπούς του άρθρου 243β παράγραφος 2 και με την επιφύλαξη των διατάξεων του τίτλου V της παρούσας οδηγίας, η τοποθεσία του πληρωτή θεωρείται ότι βρίσκεται στο κράτος που αντιστοιχεί σε ένα από τα κατωτέρω:</w:t>
      </w:r>
    </w:p>
    <w:p>
      <w:pPr>
        <w:pStyle w:val="Point1"/>
        <w:rPr>
          <w:noProof/>
        </w:rPr>
      </w:pPr>
      <w:r>
        <w:rPr>
          <w:noProof/>
        </w:rPr>
        <w:t>α)</w:t>
      </w:r>
      <w:r>
        <w:rPr>
          <w:noProof/>
        </w:rPr>
        <w:tab/>
        <w:t>στον κωδικό IBAN του λογαριασμού πληρωμών του πληρωτή·</w:t>
      </w:r>
    </w:p>
    <w:p>
      <w:pPr>
        <w:pStyle w:val="Point1"/>
        <w:rPr>
          <w:noProof/>
        </w:rPr>
      </w:pPr>
      <w:r>
        <w:rPr>
          <w:noProof/>
        </w:rPr>
        <w:t>β)</w:t>
      </w:r>
      <w:r>
        <w:rPr>
          <w:noProof/>
        </w:rPr>
        <w:tab/>
        <w:t xml:space="preserve">στον κωδικό BIC ή οποιονδήποτε άλλο κωδικό αναγνώρισης της επιχείρησης που ταυτοποιεί με σαφήνεια τον πάροχο υπηρεσιών πληρωμών ο οποίος ενεργεί για λογαριασμό του πληρωτή. </w:t>
      </w:r>
    </w:p>
    <w:p>
      <w:pPr>
        <w:pStyle w:val="ManualNumPar1"/>
        <w:rPr>
          <w:noProof/>
        </w:rPr>
      </w:pPr>
      <w:r>
        <w:t>2.</w:t>
      </w:r>
      <w:r>
        <w:tab/>
      </w:r>
      <w:r>
        <w:rPr>
          <w:noProof/>
        </w:rPr>
        <w:t>Για την εφαρμογή του άρθρου 243β παράγραφος 2, η τοποθεσία του δικαιούχου θεωρείται ότι βρίσκεται στο κράτος μέλος, την τρίτη χώρα ή το τρίτο έδαφος που αντιστοιχεί σε ένα από τα κατωτέρω:</w:t>
      </w:r>
    </w:p>
    <w:p>
      <w:pPr>
        <w:pStyle w:val="Point1"/>
        <w:rPr>
          <w:noProof/>
        </w:rPr>
      </w:pPr>
      <w:r>
        <w:rPr>
          <w:noProof/>
        </w:rPr>
        <w:t>α)</w:t>
      </w:r>
      <w:r>
        <w:rPr>
          <w:noProof/>
        </w:rPr>
        <w:tab/>
        <w:t>στον κωδικό IBAN του λογαριασμού πληρωμών του δικαιούχου ή οποιονδήποτε άλλο κωδικό αναγνώρισης του αριθμού ενός λογαριασμού πληρωμών που ταυτοποιεί με σαφήνεια έναν ατομικό λογαριασμό πληρωμών·</w:t>
      </w:r>
    </w:p>
    <w:p>
      <w:pPr>
        <w:pStyle w:val="Point1"/>
        <w:rPr>
          <w:noProof/>
        </w:rPr>
      </w:pPr>
      <w:r>
        <w:rPr>
          <w:noProof/>
        </w:rPr>
        <w:lastRenderedPageBreak/>
        <w:t>β)</w:t>
      </w:r>
      <w:r>
        <w:rPr>
          <w:noProof/>
        </w:rPr>
        <w:tab/>
        <w:t>στον κωδικό BIC ή οποιονδήποτε άλλο κωδικό αναγνώρισης της επιχείρησης που ταυτοποιεί με σαφήνεια τον πάροχο υπηρεσιών πληρωμών ο οποίος ενεργεί για λογαριασμό του δικαιούχου.</w:t>
      </w:r>
    </w:p>
    <w:p>
      <w:pPr>
        <w:rPr>
          <w:noProof/>
        </w:rPr>
      </w:pPr>
    </w:p>
    <w:p>
      <w:pPr>
        <w:pStyle w:val="Titrearticle"/>
        <w:rPr>
          <w:noProof/>
        </w:rPr>
      </w:pPr>
      <w:r>
        <w:rPr>
          <w:noProof/>
        </w:rPr>
        <w:t>Άρθρο 243δ</w:t>
      </w:r>
    </w:p>
    <w:p>
      <w:pPr>
        <w:pStyle w:val="ManualNumPar1"/>
        <w:rPr>
          <w:noProof/>
        </w:rPr>
      </w:pPr>
      <w:r>
        <w:t>1.</w:t>
      </w:r>
      <w:r>
        <w:tab/>
      </w:r>
      <w:r>
        <w:rPr>
          <w:noProof/>
        </w:rPr>
        <w:t>Τα αρχεία που τηρούνται από τους παρόχους υπηρεσιών πληρωμών, σύμφωνα με το άρθρο 243β, περιέχουν τις ακόλουθες πληροφορίες:</w:t>
      </w:r>
    </w:p>
    <w:p>
      <w:pPr>
        <w:pStyle w:val="Point1"/>
        <w:rPr>
          <w:noProof/>
        </w:rPr>
      </w:pPr>
      <w:r>
        <w:rPr>
          <w:noProof/>
        </w:rPr>
        <w:t>α)</w:t>
      </w:r>
      <w:r>
        <w:rPr>
          <w:noProof/>
        </w:rPr>
        <w:tab/>
        <w:t>τον κωδικό BIC ή οποιονδήποτε άλλο κωδικό αναγνώρισης της επιχείρησης που ταυτοποιεί με σαφήνεια τον πάροχο υπηρεσιών πληρωμών·</w:t>
      </w:r>
    </w:p>
    <w:p>
      <w:pPr>
        <w:pStyle w:val="Point1"/>
        <w:rPr>
          <w:noProof/>
        </w:rPr>
      </w:pPr>
      <w:r>
        <w:rPr>
          <w:noProof/>
        </w:rPr>
        <w:t>β)</w:t>
      </w:r>
      <w:r>
        <w:rPr>
          <w:noProof/>
        </w:rPr>
        <w:tab/>
        <w:t>το όνομα του δικαιούχου ή την εταιρική επωνυμία, κατά περίπτωση·</w:t>
      </w:r>
    </w:p>
    <w:p>
      <w:pPr>
        <w:pStyle w:val="Point1"/>
        <w:rPr>
          <w:noProof/>
        </w:rPr>
      </w:pPr>
      <w:r>
        <w:rPr>
          <w:noProof/>
        </w:rPr>
        <w:t>γ)</w:t>
      </w:r>
      <w:r>
        <w:rPr>
          <w:noProof/>
        </w:rPr>
        <w:tab/>
        <w:t>τυχόν αριθμό φορολογικού μητρώου ΦΠΑ του δικαιούχου, εφόσον υπάρχει·</w:t>
      </w:r>
    </w:p>
    <w:p>
      <w:pPr>
        <w:pStyle w:val="Point1"/>
        <w:rPr>
          <w:noProof/>
        </w:rPr>
      </w:pPr>
      <w:r>
        <w:rPr>
          <w:noProof/>
        </w:rPr>
        <w:t>δ)</w:t>
      </w:r>
      <w:r>
        <w:rPr>
          <w:noProof/>
        </w:rPr>
        <w:tab/>
        <w:t>τον κωδικό IBAN ή οποιονδήποτε άλλο κωδικό αναγνώρισης του αριθμού ενός λογαριασμού πληρωμών που ταυτοποιεί με σαφήνεια τον ατομικό λογαριασμό πληρωμών του δικαιούχου·</w:t>
      </w:r>
    </w:p>
    <w:p>
      <w:pPr>
        <w:pStyle w:val="Point1"/>
        <w:rPr>
          <w:noProof/>
        </w:rPr>
      </w:pPr>
      <w:r>
        <w:rPr>
          <w:noProof/>
        </w:rPr>
        <w:t>ε)</w:t>
      </w:r>
      <w:r>
        <w:rPr>
          <w:noProof/>
        </w:rPr>
        <w:tab/>
        <w:t>τον κωδικό BIC ή οποιονδήποτε άλλο κωδικό αναγνώρισης της επιχείρησης που ταυτοποιεί με σαφήνεια τον πάροχο υπηρεσιών πληρωμών ο οποίος ενεργεί για λογαριασμό του δικαιούχου, στην περίπτωση που ο δικαιούχος λαμβάνει χρηματικά ποσά χωρίς να διαθέτει λογαριασμό πληρωμών·</w:t>
      </w:r>
    </w:p>
    <w:p>
      <w:pPr>
        <w:pStyle w:val="Point1"/>
        <w:rPr>
          <w:noProof/>
        </w:rPr>
      </w:pPr>
      <w:r>
        <w:rPr>
          <w:noProof/>
        </w:rPr>
        <w:t>στ)</w:t>
      </w:r>
      <w:r>
        <w:rPr>
          <w:noProof/>
        </w:rPr>
        <w:tab/>
        <w:t>τη διεύθυνση του δικαιούχου στα αρχεία του παρόχου υπηρεσιών πληρωμών·</w:t>
      </w:r>
    </w:p>
    <w:p>
      <w:pPr>
        <w:pStyle w:val="Point1"/>
        <w:rPr>
          <w:noProof/>
        </w:rPr>
      </w:pPr>
      <w:r>
        <w:rPr>
          <w:noProof/>
        </w:rPr>
        <w:t>ζ)</w:t>
      </w:r>
      <w:r>
        <w:rPr>
          <w:noProof/>
        </w:rPr>
        <w:tab/>
        <w:t>τυχόν εκτελεσθείσες πράξεις πληρωμών οι οποίες αναφέρονται στο άρθρο 243β παράγραφος 2·</w:t>
      </w:r>
    </w:p>
    <w:p>
      <w:pPr>
        <w:pStyle w:val="Point1"/>
        <w:rPr>
          <w:noProof/>
        </w:rPr>
      </w:pPr>
      <w:r>
        <w:rPr>
          <w:noProof/>
        </w:rPr>
        <w:t>η)</w:t>
      </w:r>
      <w:r>
        <w:rPr>
          <w:noProof/>
        </w:rPr>
        <w:tab/>
        <w:t>τυχόν εκτελεσθείσες επιστροφές πληρωμών για πράξεις πληρωμών οι οποίες αναφέρονται στο στοιχείο ζ)·</w:t>
      </w:r>
    </w:p>
    <w:p>
      <w:pPr>
        <w:pStyle w:val="ManualNumPar1"/>
        <w:rPr>
          <w:noProof/>
        </w:rPr>
      </w:pPr>
      <w:r>
        <w:t>2.</w:t>
      </w:r>
      <w:r>
        <w:tab/>
      </w:r>
      <w:r>
        <w:rPr>
          <w:noProof/>
        </w:rPr>
        <w:t>Οι πληροφορίες που αναφέρονται στην παράγραφο 1 στοιχεία ζ) και η), περιέχουν τα ακόλουθα στοιχεία:</w:t>
      </w:r>
    </w:p>
    <w:p>
      <w:pPr>
        <w:pStyle w:val="Point1"/>
        <w:rPr>
          <w:noProof/>
        </w:rPr>
      </w:pPr>
      <w:r>
        <w:rPr>
          <w:noProof/>
        </w:rPr>
        <w:t>α)</w:t>
      </w:r>
      <w:r>
        <w:rPr>
          <w:noProof/>
        </w:rPr>
        <w:tab/>
        <w:t>την ημερομηνία και ώρα εκτέλεσης της πράξης πληρωμής ή της επιστροφής της πληρωμής·</w:t>
      </w:r>
    </w:p>
    <w:p>
      <w:pPr>
        <w:pStyle w:val="Point1"/>
        <w:rPr>
          <w:noProof/>
        </w:rPr>
      </w:pPr>
      <w:r>
        <w:rPr>
          <w:noProof/>
        </w:rPr>
        <w:t>β)</w:t>
      </w:r>
      <w:r>
        <w:rPr>
          <w:noProof/>
        </w:rPr>
        <w:tab/>
        <w:t>το ποσό και το νόμισμα της πράξης πληρωμής ή της επιστροφής της πληρωμής·</w:t>
      </w:r>
    </w:p>
    <w:p>
      <w:pPr>
        <w:pStyle w:val="Point1"/>
        <w:rPr>
          <w:noProof/>
        </w:rPr>
      </w:pPr>
      <w:r>
        <w:rPr>
          <w:noProof/>
        </w:rPr>
        <w:t>γ)</w:t>
      </w:r>
      <w:r>
        <w:rPr>
          <w:noProof/>
        </w:rPr>
        <w:tab/>
      </w:r>
      <w:r>
        <w:rPr>
          <w:noProof/>
        </w:rPr>
        <w:tab/>
        <w:t>το κράτος μέλος προέλευσης των χρηματικών ποσών που ελήφθησαν από τον δικαιούχο ή για λογαριασμό του, το κράτος μέλος, το τρίτο έδαφος ή την τρίτη χώρα προορισμού της επιστροφής, κατά περίπτωση, καθώς και τις πληροφορίες που χρησιμοποιούνται για τον προσδιορισμό της προέλευσης ή του προορισμού της πράξης πληρωμής ή της επιστροφής της πληρωμής σύμφωνα με το άρθρο 243γ.».</w:t>
      </w:r>
    </w:p>
    <w:p>
      <w:pPr>
        <w:pStyle w:val="Titrearticle"/>
        <w:rPr>
          <w:noProof/>
        </w:rPr>
      </w:pPr>
      <w:r>
        <w:rPr>
          <w:noProof/>
        </w:rPr>
        <w:t xml:space="preserve"> Άρθρο 2</w:t>
      </w:r>
    </w:p>
    <w:p>
      <w:pPr>
        <w:ind w:left="720" w:hanging="720"/>
        <w:rPr>
          <w:noProof/>
        </w:rPr>
      </w:pPr>
      <w:r>
        <w:rPr>
          <w:noProof/>
        </w:rPr>
        <w:t>1.</w:t>
      </w:r>
      <w:r>
        <w:rPr>
          <w:noProof/>
        </w:rPr>
        <w:tab/>
        <w:t>Τα κράτη μέλη θεσπίζουν και δημοσιεύουν, το αργότερο έως την 31η Δεκεμβρίου 2021, τις αναγκαίες νομοθετικές, κανονιστικές και διοικητικές διατάξεις για να συμμορφωθούν με την παρούσα οδηγία. Ανακοινώνουν αμέσως στην Επιτροπή το κείμενο των εν λόγω διατάξεων.</w:t>
      </w:r>
    </w:p>
    <w:p>
      <w:pPr>
        <w:ind w:firstLine="720"/>
        <w:rPr>
          <w:noProof/>
        </w:rPr>
      </w:pPr>
      <w:r>
        <w:rPr>
          <w:noProof/>
        </w:rPr>
        <w:t>Εφαρμόζουν τις διατάξεις αυτές από την 1η Ιανουαρίου 2022.</w:t>
      </w:r>
    </w:p>
    <w:p>
      <w:pPr>
        <w:ind w:left="720"/>
        <w:rPr>
          <w:noProof/>
        </w:rPr>
      </w:pPr>
      <w:r>
        <w:rPr>
          <w:noProof/>
        </w:rPr>
        <w:t>Όταν τα κράτη μέλη θεσπίζουν τις ανωτέρω διατάξεις, αυτές περιέχουν παραπομπή στην παρούσα οδηγία ή συνοδεύονται από την παραπομπή αυτή κατά την επίσημη δημοσίευσή τους. Ο τρόπος της παραπομπής καθορίζεται από τα κράτη μέλη.</w:t>
      </w:r>
    </w:p>
    <w:p>
      <w:pPr>
        <w:ind w:left="720" w:hanging="720"/>
        <w:rPr>
          <w:noProof/>
        </w:rPr>
      </w:pPr>
      <w:r>
        <w:rPr>
          <w:noProof/>
        </w:rPr>
        <w:lastRenderedPageBreak/>
        <w:t>2.</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rPr>
          <w:noProof/>
        </w:rPr>
      </w:pPr>
    </w:p>
    <w:p>
      <w:pPr>
        <w:jc w:val="center"/>
        <w:rPr>
          <w:i/>
          <w:noProof/>
        </w:rPr>
      </w:pPr>
      <w:r>
        <w:rPr>
          <w:i/>
          <w:noProof/>
        </w:rPr>
        <w:t>Άρθρο 3</w:t>
      </w:r>
    </w:p>
    <w:p>
      <w:pPr>
        <w:rPr>
          <w:noProof/>
        </w:rPr>
      </w:pP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4</w:t>
      </w:r>
    </w:p>
    <w:p>
      <w:pPr>
        <w:rPr>
          <w:noProof/>
        </w:rPr>
      </w:pPr>
      <w:r>
        <w:rPr>
          <w:noProof/>
        </w:rPr>
        <w:t>Η παρούσα οδηγία απευθύνεται στα κράτη μέλη.</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spacing w:before="0" w:after="200" w:line="276" w:lineRule="auto"/>
        <w:jc w:val="left"/>
        <w:rPr>
          <w:i/>
          <w:noProof/>
        </w:rPr>
      </w:pPr>
      <w:r>
        <w:rPr>
          <w:noProof/>
        </w:rPr>
        <w:br w:type="page"/>
      </w: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ΠΛΑΙΣΙΟ ΤΗΣ ΠΡΟΤΑΣΗΣ/ΠΡΩΤΟΒΟΥΛΙΑΣ</w:t>
      </w:r>
    </w:p>
    <w:p>
      <w:pPr>
        <w:pStyle w:val="ManualHeading2"/>
        <w:rPr>
          <w:b w:val="0"/>
          <w:noProof/>
        </w:rPr>
      </w:pPr>
      <w:r>
        <w:rPr>
          <w:noProof/>
        </w:rPr>
        <w:tab/>
      </w:r>
      <w:r>
        <w:rPr>
          <w:b w:val="0"/>
          <w:noProof/>
        </w:rPr>
        <w:t>1.1.</w:t>
      </w:r>
      <w:r>
        <w:rPr>
          <w:b w:val="0"/>
          <w:noProof/>
        </w:rPr>
        <w:tab/>
        <w:t>Τίτλος της πρότασης/πρωτοβουλίας</w:t>
      </w:r>
    </w:p>
    <w:p>
      <w:pPr>
        <w:pStyle w:val="ManualHeading2"/>
        <w:rPr>
          <w:b w:val="0"/>
          <w:noProof/>
        </w:rPr>
      </w:pPr>
      <w:r>
        <w:rPr>
          <w:b w:val="0"/>
          <w:noProof/>
        </w:rPr>
        <w:tab/>
        <w:t>1.2.</w:t>
      </w:r>
      <w:r>
        <w:rPr>
          <w:b w:val="0"/>
          <w:noProof/>
        </w:rPr>
        <w:tab/>
        <w:t>Σχετικοί τομείς πολιτικής (ομάδα προγραμμάτων)</w:t>
      </w:r>
    </w:p>
    <w:p>
      <w:pPr>
        <w:pStyle w:val="ManualHeading2"/>
        <w:rPr>
          <w:b w:val="0"/>
          <w:noProof/>
        </w:rPr>
      </w:pPr>
      <w:r>
        <w:rPr>
          <w:b w:val="0"/>
          <w:noProof/>
        </w:rPr>
        <w:tab/>
        <w:t>1.3.</w:t>
      </w:r>
      <w:r>
        <w:rPr>
          <w:b w:val="0"/>
          <w:noProof/>
        </w:rPr>
        <w:tab/>
        <w:t>Χαρακτήρας της πρότασης/πρωτοβουλίας</w:t>
      </w:r>
    </w:p>
    <w:p>
      <w:pPr>
        <w:pStyle w:val="ManualHeading2"/>
        <w:rPr>
          <w:b w:val="0"/>
          <w:noProof/>
        </w:rPr>
      </w:pPr>
      <w:r>
        <w:rPr>
          <w:b w:val="0"/>
          <w:noProof/>
        </w:rPr>
        <w:tab/>
        <w:t>1.4.</w:t>
      </w:r>
      <w:r>
        <w:rPr>
          <w:b w:val="0"/>
          <w:noProof/>
        </w:rPr>
        <w:tab/>
        <w:t>Αιτιολόγηση της πρότασης/πρωτοβουλίας</w:t>
      </w:r>
    </w:p>
    <w:p>
      <w:pPr>
        <w:pStyle w:val="ManualHeading2"/>
        <w:rPr>
          <w:b w:val="0"/>
          <w:noProof/>
        </w:rPr>
      </w:pPr>
      <w:r>
        <w:rPr>
          <w:b w:val="0"/>
          <w:noProof/>
        </w:rPr>
        <w:tab/>
        <w:t>1.5.</w:t>
      </w:r>
      <w:r>
        <w:rPr>
          <w:b w:val="0"/>
          <w:noProof/>
        </w:rPr>
        <w:tab/>
        <w:t>Διάρκεια και δημοσιονομικές επιπτώσεις</w:t>
      </w:r>
    </w:p>
    <w:p>
      <w:pPr>
        <w:pStyle w:val="ManualHeading2"/>
        <w:rPr>
          <w:b w:val="0"/>
          <w:noProof/>
        </w:rPr>
      </w:pPr>
      <w:r>
        <w:rPr>
          <w:b w:val="0"/>
          <w:noProof/>
        </w:rPr>
        <w:tab/>
        <w:t>1.6.</w:t>
      </w:r>
      <w:r>
        <w:rPr>
          <w:b w:val="0"/>
          <w:noProof/>
        </w:rPr>
        <w:tab/>
        <w:t>Προβλεπόμενοι τρόποι διαχείρισης</w:t>
      </w:r>
    </w:p>
    <w:p>
      <w:pPr>
        <w:pStyle w:val="ManualHeading1"/>
        <w:rPr>
          <w:noProof/>
        </w:rPr>
      </w:pPr>
      <w:r>
        <w:rPr>
          <w:noProof/>
        </w:rPr>
        <w:t>2.</w:t>
      </w:r>
      <w:r>
        <w:rPr>
          <w:noProof/>
        </w:rPr>
        <w:tab/>
        <w:t>ΜΕΤΡΑ ΔΙΑΧΕΙΡΙΣΗΣ</w:t>
      </w:r>
    </w:p>
    <w:p>
      <w:pPr>
        <w:pStyle w:val="ManualHeading2"/>
        <w:rPr>
          <w:b w:val="0"/>
          <w:noProof/>
        </w:rPr>
      </w:pPr>
      <w:r>
        <w:rPr>
          <w:b w:val="0"/>
          <w:noProof/>
        </w:rPr>
        <w:tab/>
        <w:t>2.1.</w:t>
      </w:r>
      <w:r>
        <w:rPr>
          <w:b w:val="0"/>
          <w:noProof/>
        </w:rPr>
        <w:tab/>
        <w:t>Κανόνες παρακολούθησης και υποβολής εκθέσεων</w:t>
      </w:r>
    </w:p>
    <w:p>
      <w:pPr>
        <w:pStyle w:val="ManualHeading2"/>
        <w:rPr>
          <w:b w:val="0"/>
          <w:noProof/>
        </w:rPr>
      </w:pPr>
      <w:r>
        <w:rPr>
          <w:b w:val="0"/>
          <w:noProof/>
        </w:rPr>
        <w:tab/>
        <w:t>2.2.</w:t>
      </w:r>
      <w:r>
        <w:rPr>
          <w:b w:val="0"/>
          <w:noProof/>
        </w:rPr>
        <w:tab/>
        <w:t>Σύστημα διαχείρισης και ελέγχου</w:t>
      </w:r>
    </w:p>
    <w:p>
      <w:pPr>
        <w:pStyle w:val="ManualHeading2"/>
        <w:rPr>
          <w:b w:val="0"/>
          <w:noProof/>
        </w:rPr>
      </w:pPr>
      <w:r>
        <w:rPr>
          <w:b w:val="0"/>
          <w:noProof/>
        </w:rPr>
        <w:tab/>
        <w:t>2.3.</w:t>
      </w:r>
      <w:r>
        <w:rPr>
          <w:b w:val="0"/>
          <w:noProof/>
        </w:rPr>
        <w:tab/>
        <w:t>Μέτρα για την πρόληψη περιπτώσεων απάτης και παρατυπίας</w:t>
      </w:r>
    </w:p>
    <w:p>
      <w:pPr>
        <w:pStyle w:val="ManualHeading1"/>
        <w:rPr>
          <w:noProof/>
        </w:rPr>
      </w:pPr>
      <w:r>
        <w:rPr>
          <w:noProof/>
        </w:rPr>
        <w:t>3.</w:t>
      </w:r>
      <w:r>
        <w:rPr>
          <w:noProof/>
        </w:rPr>
        <w:tab/>
        <w:t>ΕΚΤΙΜΩΜΕΝΕΣ ΔΗΜΟΣΙΟΝΟΜΙΚΕΣ ΕΠΙΠΤΩΣΕΙΣ ΤΗΣ ΠΡΟΤΑΣΗΣ/ΠΡΩΤΟΒΟΥΛΙΑΣ</w:t>
      </w:r>
    </w:p>
    <w:p>
      <w:pPr>
        <w:pStyle w:val="ManualHeading2"/>
        <w:rPr>
          <w:b w:val="0"/>
          <w:noProof/>
        </w:rPr>
      </w:pPr>
      <w:r>
        <w:rPr>
          <w:b w:val="0"/>
          <w:noProof/>
        </w:rPr>
        <w:tab/>
        <w:t>3.1.</w:t>
      </w:r>
      <w:r>
        <w:rPr>
          <w:b w:val="0"/>
          <w:noProof/>
        </w:rPr>
        <w:tab/>
        <w:t>Τομείς του πολυετούς δημοσιονομικού πλαισίου και γραμμές δαπανών του προϋπολογισμού που επηρεάζονται</w:t>
      </w:r>
    </w:p>
    <w:p>
      <w:pPr>
        <w:pStyle w:val="ManualHeading2"/>
        <w:rPr>
          <w:noProof/>
        </w:rPr>
      </w:pPr>
      <w:r>
        <w:rPr>
          <w:b w:val="0"/>
          <w:noProof/>
        </w:rPr>
        <w:tab/>
        <w:t>3.2.</w:t>
      </w:r>
      <w:r>
        <w:rPr>
          <w:b w:val="0"/>
          <w:noProof/>
        </w:rPr>
        <w:tab/>
        <w:t>Εκτιμώμενες επιπτώσεις στις δαπάνες</w:t>
      </w:r>
    </w:p>
    <w:p>
      <w:pPr>
        <w:pStyle w:val="ManualHeading3"/>
        <w:rPr>
          <w:noProof/>
        </w:rPr>
      </w:pPr>
      <w:r>
        <w:rPr>
          <w:noProof/>
        </w:rPr>
        <w:tab/>
        <w:t>3.2.1.</w:t>
      </w:r>
      <w:r>
        <w:rPr>
          <w:noProof/>
        </w:rPr>
        <w:tab/>
        <w:t>Συνοπτική παρουσίαση των εκτιμώμενων επιπτώσεων στις δαπάνες</w:t>
      </w:r>
    </w:p>
    <w:p>
      <w:pPr>
        <w:pStyle w:val="ManualHeading3"/>
        <w:rPr>
          <w:noProof/>
        </w:rPr>
      </w:pPr>
      <w:r>
        <w:rPr>
          <w:noProof/>
        </w:rPr>
        <w:tab/>
        <w:t>3.2.2.</w:t>
      </w:r>
      <w:r>
        <w:rPr>
          <w:noProof/>
        </w:rPr>
        <w:tab/>
        <w:t>Εκτιμώμενες επιπτώσεις στις πιστώσεις διοικητικού χαρακτήρα</w:t>
      </w:r>
    </w:p>
    <w:p>
      <w:pPr>
        <w:pStyle w:val="ManualHeading3"/>
        <w:rPr>
          <w:noProof/>
        </w:rPr>
      </w:pPr>
      <w:r>
        <w:rPr>
          <w:noProof/>
        </w:rPr>
        <w:tab/>
        <w:t>3.2.3.</w:t>
      </w:r>
      <w:r>
        <w:rPr>
          <w:noProof/>
        </w:rPr>
        <w:tab/>
        <w:t>Συμμετοχή τρίτων στη χρηματοδότηση</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b w:val="0"/>
          <w:noProof/>
        </w:rPr>
        <w:tab/>
        <w:t>3.3.</w:t>
      </w:r>
      <w:r>
        <w:rPr>
          <w:b w:val="0"/>
          <w:noProof/>
        </w:rPr>
        <w:tab/>
        <w:t>Εκτιμώμενες επιπτώσεις στα έσοδα</w:t>
      </w:r>
    </w:p>
    <w:p>
      <w:pPr>
        <w:jc w:val="center"/>
        <w:rPr>
          <w:b/>
          <w:noProof/>
          <w:u w:val="single"/>
        </w:rPr>
      </w:pPr>
      <w:r>
        <w:rPr>
          <w:b/>
          <w:noProof/>
          <w:u w:val="single"/>
        </w:rPr>
        <w:t>ΝΟΜΟΘΕΤΙΚΟ ΔΗΜΟΣΙΟΝΟΜΙΚΟ ΔΕΛΤΙΟ</w:t>
      </w:r>
    </w:p>
    <w:p>
      <w:pPr>
        <w:pStyle w:val="ManualHeading1"/>
        <w:rPr>
          <w:noProof/>
        </w:rPr>
      </w:pPr>
      <w:r>
        <w:t>1.</w:t>
      </w:r>
      <w:r>
        <w:tab/>
      </w:r>
      <w:r>
        <w:rPr>
          <w:noProof/>
        </w:rPr>
        <w:t>ΠΛΑΙΣΙΟ ΤΗΣ ΠΡΟΤΑΣΗΣ/ΠΡΩΤΟΒΟΥΛΙΑΣ</w:t>
      </w:r>
    </w:p>
    <w:p>
      <w:pPr>
        <w:pStyle w:val="ManualHeading2"/>
        <w:rPr>
          <w:noProof/>
        </w:rPr>
      </w:pPr>
      <w:r>
        <w:t>1.1.</w:t>
      </w:r>
      <w:r>
        <w:tab/>
      </w:r>
      <w:r>
        <w:rPr>
          <w:noProof/>
        </w:rPr>
        <w:t>Τίτλος της πρότασης/πρωτοβουλίας</w:t>
      </w:r>
    </w:p>
    <w:p>
      <w:pPr>
        <w:pStyle w:val="Text1"/>
        <w:rPr>
          <w:noProof/>
        </w:rPr>
      </w:pPr>
      <w:r>
        <w:rPr>
          <w:noProof/>
        </w:rPr>
        <w:t>Υποχρεωτική διαβίβαση και ανταλλαγή δεδομένων για πληρωμές σχετικές με τον ΦΠΑ</w:t>
      </w:r>
    </w:p>
    <w:p>
      <w:pPr>
        <w:pStyle w:val="Text1"/>
        <w:rPr>
          <w:noProof/>
        </w:rPr>
      </w:pPr>
      <w:r>
        <w:rPr>
          <w:noProof/>
        </w:rPr>
        <w:t>PLAN/2017/2023 — TAXUD</w:t>
      </w:r>
    </w:p>
    <w:p>
      <w:pPr>
        <w:pStyle w:val="ManualHeading2"/>
        <w:rPr>
          <w:noProof/>
          <w:szCs w:val="24"/>
        </w:rPr>
      </w:pPr>
      <w:r>
        <w:t>1.2.</w:t>
      </w:r>
      <w:r>
        <w:tab/>
      </w:r>
      <w:r>
        <w:rPr>
          <w:noProof/>
        </w:rPr>
        <w:t>Σχετικοί τομείς πολιτικής (ομάδα προγραμμάτων)</w:t>
      </w:r>
    </w:p>
    <w:p>
      <w:pPr>
        <w:pStyle w:val="Text1"/>
        <w:rPr>
          <w:noProof/>
        </w:rPr>
      </w:pPr>
      <w:r>
        <w:rPr>
          <w:noProof/>
        </w:rPr>
        <w:t>Ενιαία αγορά, καινοτομία και ψηφιακή οικονομία</w:t>
      </w:r>
    </w:p>
    <w:p>
      <w:pPr>
        <w:pStyle w:val="ManualHeading2"/>
        <w:rPr>
          <w:bCs/>
          <w:noProof/>
          <w:szCs w:val="24"/>
        </w:rPr>
      </w:pPr>
      <w:r>
        <w:t>1.3.</w:t>
      </w:r>
      <w:r>
        <w:tab/>
      </w:r>
      <w:r>
        <w:rPr>
          <w:noProof/>
        </w:rPr>
        <w:t>Η πρόταση/πρωτοβουλία αφορά:</w:t>
      </w:r>
    </w:p>
    <w:p>
      <w:pPr>
        <w:pStyle w:val="Text1"/>
        <w:rPr>
          <w:b/>
          <w:noProof/>
          <w:sz w:val="22"/>
        </w:rPr>
      </w:pPr>
      <w:r>
        <w:rPr>
          <w:noProof/>
          <w:sz w:val="22"/>
        </w:rPr>
        <w:sym w:font="Wingdings" w:char="F0FD"/>
      </w:r>
      <w:r>
        <w:rPr>
          <w:noProof/>
        </w:rPr>
        <w:t xml:space="preserve"> νέα δράση</w:t>
      </w:r>
    </w:p>
    <w:p>
      <w:pPr>
        <w:pStyle w:val="Text1"/>
        <w:rPr>
          <w:noProof/>
          <w:sz w:val="22"/>
        </w:rPr>
      </w:pPr>
      <w:r>
        <w:rPr>
          <w:noProof/>
          <w:sz w:val="22"/>
        </w:rPr>
        <w:sym w:font="Wingdings" w:char="F0A8"/>
      </w:r>
      <w:r>
        <w:rPr>
          <w:noProof/>
        </w:rPr>
        <w:t xml:space="preserve"> νέα δράση μετά από πιλοτικό έργο / προπαρασκευαστική δράση</w:t>
      </w:r>
      <w:r>
        <w:rPr>
          <w:rStyle w:val="FootnoteReference"/>
          <w:noProof/>
        </w:rPr>
        <w:footnoteReference w:id="51"/>
      </w:r>
    </w:p>
    <w:p>
      <w:pPr>
        <w:pStyle w:val="Text1"/>
        <w:rPr>
          <w:noProof/>
          <w:sz w:val="22"/>
        </w:rPr>
      </w:pPr>
      <w:r>
        <w:rPr>
          <w:noProof/>
          <w:sz w:val="22"/>
        </w:rPr>
        <w:sym w:font="Wingdings" w:char="F0A8"/>
      </w:r>
      <w:r>
        <w:rPr>
          <w:noProof/>
        </w:rPr>
        <w:t xml:space="preserve"> την παράταση υφιστάμενης δράσης</w:t>
      </w:r>
    </w:p>
    <w:p>
      <w:pPr>
        <w:pStyle w:val="Text1"/>
        <w:rPr>
          <w:noProof/>
        </w:rPr>
      </w:pPr>
      <w:r>
        <w:rPr>
          <w:noProof/>
          <w:sz w:val="22"/>
        </w:rPr>
        <w:sym w:font="Wingdings" w:char="F0A8"/>
      </w:r>
      <w:r>
        <w:rPr>
          <w:noProof/>
        </w:rPr>
        <w:t xml:space="preserve"> συγχώνευση ή επαναπροσανατολισμό μίας ή περισσότερων δράσεων προς άλλη/νέα δράση</w:t>
      </w:r>
    </w:p>
    <w:p>
      <w:pPr>
        <w:pStyle w:val="ManualHeading2"/>
        <w:rPr>
          <w:bCs/>
          <w:noProof/>
          <w:szCs w:val="24"/>
        </w:rPr>
      </w:pPr>
      <w:r>
        <w:t>1.4.</w:t>
      </w:r>
      <w:r>
        <w:tab/>
      </w:r>
      <w:r>
        <w:rPr>
          <w:noProof/>
        </w:rPr>
        <w:t>Αιτιολόγηση της πρότασης/πρωτοβουλίας</w:t>
      </w:r>
    </w:p>
    <w:p>
      <w:pPr>
        <w:pStyle w:val="ManualHeading3"/>
        <w:rPr>
          <w:noProof/>
        </w:rPr>
      </w:pPr>
      <w:r>
        <w:t>1.4.1.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Text1"/>
        <w:rPr>
          <w:noProof/>
        </w:rPr>
      </w:pPr>
      <w:r>
        <w:rPr>
          <w:noProof/>
        </w:rPr>
        <w:t>Στο πλαίσιο του έργου τίθενται τα ακόλουθα ορόσημα:</w:t>
      </w:r>
    </w:p>
    <w:p>
      <w:pPr>
        <w:pStyle w:val="Point1number"/>
        <w:numPr>
          <w:ilvl w:val="2"/>
          <w:numId w:val="19"/>
        </w:numPr>
        <w:rPr>
          <w:noProof/>
        </w:rPr>
      </w:pPr>
      <w:r>
        <w:rPr>
          <w:noProof/>
        </w:rPr>
        <w:t>Τέλος του 2022 — Το κεντρικό σύστημα συλλογής δεδομένων από τους παρόχους πληρωμών και ανάλυσης κινδύνων τίθεται σε λειτουργία·</w:t>
      </w:r>
    </w:p>
    <w:p>
      <w:pPr>
        <w:pStyle w:val="Point1number"/>
        <w:rPr>
          <w:noProof/>
        </w:rPr>
      </w:pPr>
      <w:r>
        <w:rPr>
          <w:noProof/>
        </w:rPr>
        <w:t>Τέλος του 2024 — Σχόλια σχετικά με τη χρήση των δεδομένων για τις πληρωμές, τα κριτήρια κινδύνου και τον υπολογισμό του συμπληρωματικού ΦΠΑ διαβιβάζονται στην Επιτροπή από τα 2/3 τουλάχιστον των ενεργών χρηστών (κράτη μέλη).</w:t>
      </w:r>
    </w:p>
    <w:p>
      <w:pPr>
        <w:pStyle w:val="ManualHeading3"/>
        <w:rPr>
          <w:noProof/>
          <w:szCs w:val="24"/>
        </w:rPr>
      </w:pPr>
      <w:r>
        <w:t>1.4.2.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Text1"/>
        <w:rPr>
          <w:noProof/>
        </w:rPr>
      </w:pPr>
      <w:r>
        <w:rPr>
          <w:noProof/>
        </w:rPr>
        <w:t>Λόγοι για ανάληψη δράσης σε ευρωπαϊκό επίπεδο (εκ των προτέρων). Τα κράτη μέλη δεν μπορούν από μόνα τους να καταπολεμήσουν αποτελεσματικά την απάτη στον τομέα του ΦΠΑ του ηλεκτρονικού εμπορίου. Οι φορολογικές αρχές δεν έχουν πρόσβαση σε πληροφορίες για τις διασυνοριακές παραδόσεις αγαθών ή παροχές υπηρεσιών από επιχειρήσεις σε πελάτες.</w:t>
      </w:r>
    </w:p>
    <w:p>
      <w:pPr>
        <w:pStyle w:val="Text1"/>
        <w:rPr>
          <w:noProof/>
        </w:rPr>
      </w:pPr>
      <w:r>
        <w:rPr>
          <w:noProof/>
        </w:rPr>
        <w:t>Από άλλη οπτική, η ανταλλαγή πληροφοριών μεταξύ των φορολογικών αρχών των κρατών μελών σχετικά με δεδομένα για τις πληρωμές δεν είναι πάντα εφικτή λόγω νομικών περιορισμών. Το γεγονός αυτό καθιστά τα τρέχοντα μέσα διοικητικής συνεργασίας μάλλον αναποτελεσματικά όσον αφορά την απάτη στον τομέα του ΦΠΑ του ηλεκτρονικού εμπορίου.</w:t>
      </w:r>
    </w:p>
    <w:p>
      <w:pPr>
        <w:pStyle w:val="Text1"/>
        <w:rPr>
          <w:noProof/>
        </w:rPr>
      </w:pPr>
      <w:r>
        <w:rPr>
          <w:noProof/>
        </w:rPr>
        <w:t>Αναμενόμενη προστιθέμενη αξία στην Ένωση (εκ των υστέρων)</w:t>
      </w:r>
    </w:p>
    <w:p>
      <w:pPr>
        <w:pStyle w:val="Text1"/>
        <w:rPr>
          <w:noProof/>
        </w:rPr>
      </w:pPr>
      <w:r>
        <w:rPr>
          <w:noProof/>
        </w:rPr>
        <w:t>Η αύξηση του βαθμού συμμόρφωσης με τη νομοθεσία περί ΦΠΑ από τους εξ αποστάσεως πωλητές θα βελτιώσει τους όρους ανταγωνισμού για όλες τις εταιρείες που δραστηριοποιούνται στον τομέα του ηλεκτρονικού εμπορίου. Με τον ίδιο τρόπο, η αύξηση του βαθμού συμμόρφωσης θα έχει ως αποτέλεσμα την αύξηση των εσόδων από τον ΦΠΑ και τη μείωση του ελλείμματος ΦΠΑ.</w:t>
      </w:r>
    </w:p>
    <w:p>
      <w:pPr>
        <w:pStyle w:val="Text1"/>
        <w:rPr>
          <w:noProof/>
        </w:rPr>
      </w:pPr>
      <w:r>
        <w:rPr>
          <w:noProof/>
        </w:rPr>
        <w:t>Όσον αφορά τους παρόχους πληρωμών, η θέσπιση ενός κεντρικού σε επίπεδο ΕΕ συστήματος συλλογής δεδομένων για πληρωμές σχετικές με τον ΦΠΑ θα μειώσει τους κινδύνους και το κόστος που προκύπτει από την υποβολή των ίδιων πληροφοριών σε πολλούς μορφότυπους και σε κάθε κράτος μέλος της ΕΕ.</w:t>
      </w:r>
    </w:p>
    <w:p>
      <w:pPr>
        <w:pStyle w:val="ManualHeading3"/>
        <w:rPr>
          <w:bCs/>
          <w:noProof/>
          <w:szCs w:val="24"/>
        </w:rPr>
      </w:pPr>
      <w:r>
        <w:t>1.4.3.</w:t>
      </w:r>
      <w:r>
        <w:tab/>
      </w:r>
      <w:r>
        <w:rPr>
          <w:noProof/>
        </w:rPr>
        <w:t>Διδάγματα από ανάλογες εμπειρίες του παρελθόντος</w:t>
      </w:r>
    </w:p>
    <w:p>
      <w:pPr>
        <w:pStyle w:val="Text1"/>
        <w:rPr>
          <w:noProof/>
        </w:rPr>
      </w:pPr>
      <w:r>
        <w:rPr>
          <w:noProof/>
        </w:rPr>
        <w:t>Πρόκειται για νέα πρωτοβουλία. Ωστόσο, με βάση το εγχείρημα της μικρής υπηρεσίας μίας στάσης (MOSS) που προέβλεπε τη δημιουργία κοινής ευρωπαϊκής πλατφόρμας για τη δήλωση και την πληρωμή του ΦΠΑ στις ηλεκτρονικές υπηρεσίες σε ολόκληρη την Ευρώπη, μπορούν να αντληθούν τα ακόλουθα συμπεράσματα:</w:t>
      </w:r>
    </w:p>
    <w:p>
      <w:pPr>
        <w:pStyle w:val="Point1number"/>
        <w:numPr>
          <w:ilvl w:val="2"/>
          <w:numId w:val="18"/>
        </w:numPr>
        <w:rPr>
          <w:noProof/>
        </w:rPr>
      </w:pPr>
      <w:r>
        <w:rPr>
          <w:noProof/>
        </w:rPr>
        <w:t>η εφαρμογή της τεχνικής λύσης πρέπει να σχεδιαστεί αρκετά νωρίτερα ώστε να υπάρχουν περιθώρια για να διενεργηθεί ευρεία διαβούλευση με τους ενδιαφερομένους και να ληφθούν υπόψη ο χρόνος και οι οικονομικοί πόροι που απαιτούνται για την ανάπτυξη του νέου συστήματος·</w:t>
      </w:r>
    </w:p>
    <w:p>
      <w:pPr>
        <w:pStyle w:val="Point1number"/>
        <w:rPr>
          <w:noProof/>
        </w:rPr>
      </w:pPr>
      <w:r>
        <w:rPr>
          <w:noProof/>
        </w:rPr>
        <w:t>οι απαιτήσεις για την αποθήκευση πληροφοριών σε μακροπρόθεσμο ορίζοντα θα πρέπει να σταθμιστούν προσεκτικά όσον αφορά το κόστος και τα οφέλη·</w:t>
      </w:r>
    </w:p>
    <w:p>
      <w:pPr>
        <w:pStyle w:val="Point1number"/>
        <w:rPr>
          <w:noProof/>
        </w:rPr>
      </w:pPr>
      <w:r>
        <w:rPr>
          <w:noProof/>
        </w:rPr>
        <w:t>η υλοποίηση της πρωτοβουλίας θα πρέπει να συνοδευτεί από καλή επικοινωνιακή εκστρατεία, η οποία θα βοηθήσει τις επιχειρήσεις να συμμορφωθούν με τις νέες απαιτήσεις υποβολής πληροφοριών.</w:t>
      </w:r>
    </w:p>
    <w:p>
      <w:pPr>
        <w:pStyle w:val="Text1"/>
        <w:rPr>
          <w:noProof/>
        </w:rPr>
      </w:pPr>
      <w:r>
        <w:rPr>
          <w:noProof/>
        </w:rPr>
        <w:t>Θα αξιοποιηθούν τα διδάγματα που αντλήθηκαν από τη λειτουργία των συστημάτων ΤΠ και τη διοικητική συνεργασία στο πλαίσιο των προγραμμάτων «Fiscalis» και «Τελωνεία». Αξίζει να σημειωθεί ότι η πείρα που θα αποκομιστεί από την ανάπτυξη του μελλοντικού τελωνειακού συστήματος πληροφοριών 2 ενδέχεται να αποδειχθεί χρήσιμη για τη δημιουργία των μέσων ανάλυσης κινδύνου που θα αφορούν τα δεδομένα για τις πληρωμές.</w:t>
      </w:r>
    </w:p>
    <w:p>
      <w:pPr>
        <w:pStyle w:val="ManualHeading3"/>
        <w:rPr>
          <w:bCs/>
          <w:noProof/>
          <w:szCs w:val="24"/>
        </w:rPr>
      </w:pPr>
      <w:r>
        <w:t>1.4.4.</w:t>
      </w:r>
      <w:r>
        <w:tab/>
      </w:r>
      <w:r>
        <w:rPr>
          <w:noProof/>
        </w:rPr>
        <w:t>Συμβατότητα και ενδεχόμενη συνέργεια με άλλα κατάλληλα μέσα</w:t>
      </w:r>
    </w:p>
    <w:p>
      <w:pPr>
        <w:pStyle w:val="Text1"/>
        <w:rPr>
          <w:noProof/>
        </w:rPr>
      </w:pPr>
      <w:r>
        <w:rPr>
          <w:noProof/>
        </w:rPr>
        <w:t>Τα κονδύλια για την υλοποίηση της παρούσας πρωτοβουλίας θα αντληθούν από το πρόγραμμα Fiscalis.</w:t>
      </w:r>
    </w:p>
    <w:p>
      <w:pPr>
        <w:pStyle w:val="Text1"/>
        <w:rPr>
          <w:noProof/>
        </w:rPr>
      </w:pPr>
      <w:r>
        <w:rPr>
          <w:noProof/>
        </w:rPr>
        <w:t>Τέλος, η πρωτοβουλία θα υλοποιηθεί σε συνδυασμό με τους νέους κανόνες της δέσμης μέτρων για τον ΦΠΑ στο πλαίσιο της ψηφιακής ενιαίας αγοράς, και κυρίως την οδηγία (ΕΕ) 2017/2455 του Συμβουλίου, της 5ης Δεκεμβρίου 2017, για την τροποποίηση της οδηγίας 2006/112/ΕΚ και της οδηγίας 2009/132/ΕΚ όσον αφορά ορισμένες υποχρεώσεις που απορρέουν από τον φόρο προστιθέμενης αξίας για παροχές υπηρεσιών και πωλήσεις αγαθών εξ αποστάσεως. Τα δεδομένα για τις πληρωμές θα επιτρέπουν στις φορολογικές αρχές να διασταυρώνουν τις πληροφορίες που δηλώνονται από τις αγορές, τις πλατφόρμες ή άλλους εξ αποστάσεως πωλητές, όπως επίσης και να εξακριβώνουν την εφαρμογή του ορίου των 10 000 EUR για τις ενδοενωσιακές παραδόσεις αγαθών ή παροχές υπηρεσιών.</w:t>
      </w:r>
    </w:p>
    <w:p>
      <w:pPr>
        <w:pStyle w:val="ManualHeading2"/>
        <w:rPr>
          <w:noProof/>
        </w:rPr>
      </w:pPr>
      <w:r>
        <w:t>1.5.</w:t>
      </w:r>
      <w:r>
        <w:tab/>
      </w:r>
      <w:r>
        <w:rPr>
          <w:noProof/>
        </w:rPr>
        <w:t>Διάρκεια και δημοσιονομικές επιπτώσεις</w:t>
      </w:r>
    </w:p>
    <w:p>
      <w:pPr>
        <w:pStyle w:val="Text1"/>
        <w:rPr>
          <w:noProof/>
        </w:rPr>
      </w:pPr>
      <w:r>
        <w:rPr>
          <w:noProof/>
        </w:rPr>
        <w:sym w:font="Wingdings" w:char="F0A8"/>
      </w:r>
      <w:r>
        <w:rPr>
          <w:noProof/>
        </w:rPr>
        <w:t xml:space="preserve"> περιορισμένη διάρκεια</w:t>
      </w:r>
    </w:p>
    <w:p>
      <w:pPr>
        <w:pStyle w:val="ListDash2"/>
        <w:rPr>
          <w:noProof/>
        </w:rPr>
      </w:pPr>
      <w:r>
        <w:rPr>
          <w:noProof/>
        </w:rPr>
        <w:sym w:font="Wingdings" w:char="F0A8"/>
      </w:r>
      <w:r>
        <w:rPr>
          <w:noProof/>
        </w:rPr>
        <w:tab/>
        <w:t>με ισχύ από [ΗΗ/MM]ΕΕΕΕ έως [ΗΗ/MM]ΕΕΕΕ</w:t>
      </w:r>
    </w:p>
    <w:p>
      <w:pPr>
        <w:pStyle w:val="ListDash2"/>
        <w:rPr>
          <w:noProof/>
        </w:rPr>
      </w:pPr>
      <w:r>
        <w:rPr>
          <w:noProof/>
        </w:rPr>
        <w:sym w:font="Wingdings" w:char="F0A8"/>
      </w:r>
      <w:r>
        <w:rPr>
          <w:noProof/>
        </w:rPr>
        <w:tab/>
        <w:t>Δημοσιονομικές επιπτώσεις από το ΕΕΕΕ έως το ΕΕΕΕ για πιστώσεις ανάληψης υποχρεώσεων και από το ΕΕΕΕ έως το ΕΕΕΕ για πιστώσεις πληρωμών.</w:t>
      </w:r>
    </w:p>
    <w:p>
      <w:pPr>
        <w:pStyle w:val="Text1"/>
        <w:rPr>
          <w:noProof/>
        </w:rPr>
      </w:pPr>
      <w:r>
        <w:rPr>
          <w:noProof/>
          <w:sz w:val="22"/>
        </w:rPr>
        <w:sym w:font="Wingdings" w:char="F0FD"/>
      </w:r>
      <w:r>
        <w:rPr>
          <w:noProof/>
        </w:rPr>
        <w:t xml:space="preserve"> απεριόριστη διάρκεια</w:t>
      </w:r>
    </w:p>
    <w:p>
      <w:pPr>
        <w:pStyle w:val="ListDash1"/>
        <w:rPr>
          <w:noProof/>
        </w:rPr>
      </w:pPr>
      <w:r>
        <w:rPr>
          <w:noProof/>
        </w:rPr>
        <w:t>Περίοδος σταδιακής εφαρμογής από το 2020 έως το 2023,</w:t>
      </w:r>
    </w:p>
    <w:p>
      <w:pPr>
        <w:pStyle w:val="ListDash1"/>
        <w:rPr>
          <w:noProof/>
        </w:rPr>
      </w:pPr>
      <w:r>
        <w:rPr>
          <w:noProof/>
        </w:rPr>
        <w:t>και στη συνέχεια πλήρης εφαρμογή.</w:t>
      </w:r>
    </w:p>
    <w:p>
      <w:pPr>
        <w:pStyle w:val="ManualHeading2"/>
        <w:rPr>
          <w:bCs/>
          <w:noProof/>
          <w:szCs w:val="24"/>
        </w:rPr>
      </w:pPr>
      <w:r>
        <w:t>1.6.</w:t>
      </w:r>
      <w:r>
        <w:tab/>
      </w:r>
      <w:r>
        <w:rPr>
          <w:noProof/>
        </w:rPr>
        <w:t>Προβλεπόμενοι τρόποι διαχείρισης</w:t>
      </w:r>
      <w:r>
        <w:rPr>
          <w:rStyle w:val="FootnoteReference"/>
          <w:noProof/>
        </w:rPr>
        <w:footnoteReference w:id="52"/>
      </w:r>
    </w:p>
    <w:p>
      <w:pPr>
        <w:pStyle w:val="Text1"/>
        <w:rPr>
          <w:noProof/>
        </w:rPr>
      </w:pPr>
      <w:r>
        <w:rPr>
          <w:noProof/>
          <w:sz w:val="22"/>
        </w:rPr>
        <w:sym w:font="Wingdings" w:char="F0FD"/>
      </w:r>
      <w:r>
        <w:rPr>
          <w:noProof/>
        </w:rPr>
        <w:t xml:space="preserve"> Άμεση διαχείριση από την Επιτροπή</w:t>
      </w:r>
    </w:p>
    <w:p>
      <w:pPr>
        <w:pStyle w:val="ListDash2"/>
        <w:rPr>
          <w:rFonts w:cs="EUAlbertina"/>
          <w:noProof/>
        </w:rPr>
      </w:pPr>
      <w:r>
        <w:rPr>
          <w:noProof/>
        </w:rPr>
        <w:sym w:font="Wingdings" w:char="F0A8"/>
      </w:r>
      <w:r>
        <w:rPr>
          <w:noProof/>
        </w:rPr>
        <w:t xml:space="preserve"> από τις υπηρεσίες της, συμπεριλαμβανομένου του προσωπικού της στις αντιπροσωπείες της Ένωσης</w:t>
      </w:r>
    </w:p>
    <w:p>
      <w:pPr>
        <w:pStyle w:val="ListDash2"/>
        <w:rPr>
          <w:noProof/>
        </w:rPr>
      </w:pPr>
      <w:r>
        <w:rPr>
          <w:noProof/>
        </w:rPr>
        <w:sym w:font="Wingdings" w:char="F0A8"/>
      </w:r>
      <w:r>
        <w:rPr>
          <w:noProof/>
        </w:rPr>
        <w:tab/>
        <w:t>από τους εκτελεστικούς οργανισμούς</w:t>
      </w:r>
    </w:p>
    <w:p>
      <w:pPr>
        <w:pStyle w:val="Text1"/>
        <w:rPr>
          <w:noProof/>
        </w:rPr>
      </w:pPr>
      <w:r>
        <w:rPr>
          <w:noProof/>
        </w:rPr>
        <w:sym w:font="Wingdings" w:char="F0A8"/>
      </w:r>
      <w:r>
        <w:rPr>
          <w:noProof/>
        </w:rPr>
        <w:t xml:space="preserve"> Επιμερισμένη διαχείριση με τα κράτη μέλη</w:t>
      </w:r>
    </w:p>
    <w:p>
      <w:pPr>
        <w:pStyle w:val="Text1"/>
        <w:rPr>
          <w:noProof/>
        </w:rPr>
      </w:pPr>
      <w:r>
        <w:rPr>
          <w:noProof/>
        </w:rPr>
        <w:sym w:font="Wingdings" w:char="F0A8"/>
      </w:r>
      <w:r>
        <w:rPr>
          <w:noProof/>
        </w:rPr>
        <w:t xml:space="preserve"> Έμμεση διαχείριση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pPr>
        <w:pStyle w:val="ListDash2"/>
        <w:rPr>
          <w:noProof/>
        </w:rPr>
      </w:pPr>
      <w:r>
        <w:rPr>
          <w:noProof/>
        </w:rPr>
        <w:sym w:font="Wingdings" w:char="F0A8"/>
      </w:r>
      <w:r>
        <w:rPr>
          <w:noProof/>
        </w:rPr>
        <w:t xml:space="preserve"> στην ΕΤΕπ και 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rPr>
          <w:noProof/>
        </w:rPr>
      </w:pPr>
      <w:r>
        <w:rPr>
          <w:noProof/>
        </w:rPr>
        <w:t>Παρατηρήσεις</w:t>
      </w:r>
    </w:p>
    <w:p>
      <w:pPr>
        <w:pBdr>
          <w:top w:val="single" w:sz="4" w:space="1" w:color="auto"/>
          <w:left w:val="single" w:sz="4" w:space="4" w:color="auto"/>
          <w:bottom w:val="single" w:sz="4" w:space="1" w:color="auto"/>
          <w:right w:val="single" w:sz="4" w:space="4" w:color="auto"/>
        </w:pBdr>
        <w:rPr>
          <w:noProof/>
        </w:rPr>
      </w:pPr>
      <w:r>
        <w:rPr>
          <w:noProof/>
        </w:rPr>
        <w:t>Η Επιτροπή επικουρείται από τη μόνιμη επιτροπή διοικητικής συνεργασίας, με βάση το άρθρο 58 του κανονισμού (ΕΕ) αριθ. 904/2010 και τον κανονισμό (ΕΕ) αριθ. 182/2011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ΜΕΤΡΑ ΔΙΑΧΕΙΡΙΣΗΣ</w:t>
      </w:r>
    </w:p>
    <w:p>
      <w:pPr>
        <w:pStyle w:val="ManualHeading2"/>
        <w:rPr>
          <w:noProof/>
        </w:rPr>
      </w:pPr>
      <w:r>
        <w:t>2.1.</w:t>
      </w:r>
      <w:r>
        <w:tab/>
      </w:r>
      <w:r>
        <w:rPr>
          <w:noProof/>
        </w:rPr>
        <w:t>Κανόνες παρακολούθησης και υποβολής εκθέσεων</w:t>
      </w:r>
    </w:p>
    <w:p>
      <w:pPr>
        <w:pStyle w:val="Text1"/>
        <w:rPr>
          <w:noProof/>
        </w:rPr>
      </w:pPr>
      <w:r>
        <w:rPr>
          <w:noProof/>
        </w:rPr>
        <w:t>H Γενική Διεύθυνση Φορολογίας και Τελωνειακής Ένωσης (TAXUD) θα υποβάλλει σε ετήσια βάση εκθέσεις παρακολούθησης στη μόνιμη επιτροπή διοικητικής συνεργασίας (SCAC).</w:t>
      </w:r>
    </w:p>
    <w:p>
      <w:pPr>
        <w:pStyle w:val="ManualHeading2"/>
        <w:rPr>
          <w:bCs/>
          <w:noProof/>
          <w:szCs w:val="24"/>
        </w:rPr>
      </w:pPr>
      <w:r>
        <w:t>2.2.</w:t>
      </w:r>
      <w:r>
        <w:tab/>
      </w:r>
      <w:r>
        <w:rPr>
          <w:noProof/>
        </w:rPr>
        <w:t>Σύστημα διαχείρισης και ελέγχου</w:t>
      </w:r>
    </w:p>
    <w:p>
      <w:pPr>
        <w:pStyle w:val="ManualHeading3"/>
        <w:rPr>
          <w:noProof/>
        </w:rPr>
      </w:pPr>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Text1"/>
        <w:rPr>
          <w:noProof/>
        </w:rPr>
      </w:pPr>
      <w:r>
        <w:rPr>
          <w:noProof/>
        </w:rPr>
        <w:t>Η πρωτοβουλία θα υλοποιηθεί με άμεσο τρόπο διαχείρισης. Ο εν λόγω τρόπος διαχείρισης διασφαλίζει την πλέον αποδοτική κατανομή των χρηματοδοτικών πόρων και τον μεγαλύτερο δυνατό αντίκτυπο. Προσφέρει επίσης ευελιξία και αρκετά περιθώρια χειρισμών στην Επιτροπή για την ετήσια κατανομή των πόρων.</w:t>
      </w:r>
    </w:p>
    <w:p>
      <w:pPr>
        <w:pStyle w:val="Text1"/>
        <w:rPr>
          <w:noProof/>
        </w:rPr>
      </w:pPr>
      <w:r>
        <w:rPr>
          <w:noProof/>
        </w:rPr>
        <w:t>Η πρωτοβουλία θα υλοποιηθεί μέσω συμβάσεων προμηθειών από την Επιτροπή.</w:t>
      </w:r>
    </w:p>
    <w:p>
      <w:pPr>
        <w:pStyle w:val="Text1"/>
        <w:rPr>
          <w:noProof/>
        </w:rPr>
      </w:pPr>
      <w:r>
        <w:rPr>
          <w:noProof/>
        </w:rPr>
        <w:t>Όσον αφορά τις συμβάσεις προμηθειών, οι όροι πληρωμής είναι πλήρως ευθυγραμμισμένοι με εταιρικά πρότυπα (δεν προβλέπεται προχρηματοδότηση· όλες οι πληρωμές συνδέονται με την αποδοχή προκαθορισμένων παραδοτέων).</w:t>
      </w:r>
    </w:p>
    <w:p>
      <w:pPr>
        <w:pStyle w:val="Text1"/>
        <w:rPr>
          <w:noProof/>
        </w:rPr>
      </w:pPr>
      <w:r>
        <w:rPr>
          <w:noProof/>
        </w:rPr>
        <w:t>Το σύστημα ελέγχου για τις συμβάσεις προμηθειών βασίζεται σε διεξοδική εκ των προτέρων επαλήθευση όλων των συναλλαγών, με αποτέλεσμα να αποκλείεται η πιθανότητα σφάλματος κατά τον χρόνο της πληρωμής.</w:t>
      </w:r>
    </w:p>
    <w:p>
      <w:pPr>
        <w:pStyle w:val="ManualHeading3"/>
        <w:rPr>
          <w:bCs/>
          <w:noProof/>
          <w:szCs w:val="24"/>
        </w:rPr>
      </w:pPr>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Text1"/>
        <w:rPr>
          <w:noProof/>
        </w:rPr>
      </w:pPr>
      <w:r>
        <w:rPr>
          <w:noProof/>
        </w:rPr>
        <w:t>Όσον αφορά την υλοποίηση της παρούσας πρωτοβουλίας, έχουν εντοπιστεί οι ακόλουθοι γενικοί κίνδυνοι:</w:t>
      </w:r>
    </w:p>
    <w:p>
      <w:pPr>
        <w:pStyle w:val="Text1"/>
        <w:rPr>
          <w:noProof/>
        </w:rPr>
      </w:pPr>
      <w:r>
        <w:rPr>
          <w:noProof/>
        </w:rPr>
        <w:t>1.</w:t>
      </w:r>
      <w:r>
        <w:rPr>
          <w:noProof/>
        </w:rPr>
        <w:tab/>
        <w:t>Έλλειψη οικονομικών και ανθρώπινων πόρων για τη λύση ΤΠ που θα υποστηρίξει το κεντρικό αρχείο καταγραφής συναλλαγών και τις αλλαγές που πρέπει να εφαρμόσει κάθε κράτος μέλος στα εθνικά πληροφοριακά του συστήματα·</w:t>
      </w:r>
    </w:p>
    <w:p>
      <w:pPr>
        <w:pStyle w:val="Text1"/>
        <w:rPr>
          <w:noProof/>
        </w:rPr>
      </w:pPr>
      <w:r>
        <w:rPr>
          <w:noProof/>
        </w:rPr>
        <w:t>2.</w:t>
      </w:r>
      <w:r>
        <w:rPr>
          <w:noProof/>
        </w:rPr>
        <w:tab/>
        <w:t>Οι κίνδυνοι ασφάλειας που συνδέονται με την αποθήκευση και την επεξεργασία των ευαίσθητων δεδομένων για τις πληρωμές·</w:t>
      </w:r>
    </w:p>
    <w:p>
      <w:pPr>
        <w:pStyle w:val="Text1"/>
        <w:rPr>
          <w:noProof/>
        </w:rPr>
      </w:pPr>
      <w:r>
        <w:rPr>
          <w:noProof/>
        </w:rPr>
        <w:t>Οι κίνδυνοι θα αντιμετωπιστούν από την TAXUD με τη στήριξη των κρατών μελών μέσω i) της λήψης κατάλληλων αποφάσεων χρηματοδότησης, ii) της διοργάνωσης εκτεταμένης διαβούλευσης για τις τεχνικές και λειτουργικές απαιτήσεις των νέων συστημάτων ΤΠ, όπως επίσης και μέσω της διαβούλευσης με διάφορα ενδιαφερόμενα μέρη και της ενδελεχούς ανάλυσης των δεικτών επιδόσεων και των τάσεων αγοράς από την Επιτροπή και τη μόνιμη επιτροπή διοικητικής συνεργασίας.</w:t>
      </w:r>
    </w:p>
    <w:p>
      <w:pPr>
        <w:pStyle w:val="ManualHeading3"/>
        <w:rPr>
          <w:noProof/>
        </w:rPr>
      </w:pPr>
      <w:r>
        <w:t>2.2.3.</w:t>
      </w:r>
      <w:r>
        <w:tab/>
      </w:r>
      <w:r>
        <w:rPr>
          <w:noProof/>
        </w:rPr>
        <w:t>Εκτίμηση και αιτιολόγηση της οικονομικής αποδοτικότητας των ελέγχων (λόγος του κόστους του ελέγχου ÷ της αξίας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p>
    <w:p>
      <w:pPr>
        <w:pStyle w:val="Text1"/>
        <w:rPr>
          <w:noProof/>
        </w:rPr>
      </w:pPr>
      <w:r>
        <w:rPr>
          <w:noProof/>
        </w:rPr>
        <w:t>Δεδομένου ότι η χρηματοδότηση της πρωτοβουλίας θα εκτελεστεί μέσω του προγράμματος Fiscalis, θα εφαρμοστεί το ειδικό σύστημα εσωτερικού ελέγχου.</w:t>
      </w:r>
    </w:p>
    <w:p>
      <w:pPr>
        <w:pStyle w:val="Text1"/>
        <w:rPr>
          <w:noProof/>
        </w:rPr>
      </w:pPr>
      <w:r>
        <w:rPr>
          <w:noProof/>
        </w:rPr>
        <w:t>Η TAXUD θα ελέγχει επίσης τακτικά την υλοποίηση της πρωτοβουλίας, τόσο σε επιχειρηματικό επίπεδο όσο και σε επίπεδο ΤΠ, και θα διενεργεί τακτικούς ελέγχους διαχείρισης στις μονάδες της που είναι αρμόδιες για τη φορολογική διοίκηση και την καταπολέμηση της απάτης, όπως επίσης και στις μονάδες που είναι αρμόδιες για φορολογικά συστήματα ΤΠ.</w:t>
      </w:r>
    </w:p>
    <w:p>
      <w:pPr>
        <w:pStyle w:val="Text1"/>
        <w:rPr>
          <w:noProof/>
        </w:rPr>
      </w:pPr>
      <w:r>
        <w:rPr>
          <w:noProof/>
        </w:rPr>
        <w:t>Η TAXUD έχει να επιδείξει θετικό ιστορικό και επαρκή πείρα στην εγκατάσταση μεγάλης κλίμακας διευρωπαϊκών συστημάτων ΤΠ και στην εφαρμογή περίπλοκων επιχειρηματικών κανόνων που αφορούν όλα τα κράτη μέλη της ΕΕ. Αξίζει να σημειωθεί ότι η πείρα που διαθέτει με τη διαχείριση των προγραμμάτων «Fiscalis» και «Τελωνεία» θα ελαχιστοποιήσει τους κινδύνους σφάλματος (κάτω από 2 %).</w:t>
      </w:r>
    </w:p>
    <w:p>
      <w:pPr>
        <w:pStyle w:val="Text1"/>
        <w:rPr>
          <w:noProof/>
        </w:rPr>
      </w:pPr>
      <w:r>
        <w:rPr>
          <w:noProof/>
        </w:rPr>
        <w:t>Η στρατηγική ελέγχου που εφαρμόστηκε έχει αποδειχτεί αποτελεσματική και αποδοτική στις παρόμοιες πρωτοβουλίες που έχουν ήδη αναληφθεί για το πρόγραμμα «Τελωνεία» ενώ το κόστος ελέγχου αποδείχθηκε περιορισμένο.</w:t>
      </w:r>
    </w:p>
    <w:p>
      <w:pPr>
        <w:pStyle w:val="Text1"/>
        <w:rPr>
          <w:noProof/>
        </w:rPr>
      </w:pPr>
      <w:r>
        <w:rPr>
          <w:noProof/>
        </w:rPr>
        <w:t>Αν ληφθεί υπόψη ότι για την παρούσα πρωτοβουλία θα χρησιμοποιηθούν παρόμοια συστήματα ελέγχου, το προβλεπόμενο κόστος ελέγχων και το αναμενόμενο επίπεδο κινδύνου σφάλματος στην πληρωμή/στο κλείσιμο μπορούν να θεωρηθούν αποδοτικά από οικονομική άποψη.</w:t>
      </w:r>
    </w:p>
    <w:p>
      <w:pPr>
        <w:pStyle w:val="ManualHeading2"/>
        <w:rPr>
          <w:bCs/>
          <w:noProof/>
          <w:szCs w:val="24"/>
        </w:rPr>
      </w:pPr>
      <w:r>
        <w:t>2.3.</w:t>
      </w:r>
      <w:r>
        <w:tab/>
      </w:r>
      <w:r>
        <w:rPr>
          <w:noProof/>
        </w:rPr>
        <w:t>Μέτρα για την πρόληψη περιπτώσεων απάτης και παρατυπίας</w:t>
      </w:r>
    </w:p>
    <w:p>
      <w:pPr>
        <w:pStyle w:val="Text1"/>
        <w:rPr>
          <w:noProof/>
        </w:rPr>
      </w:pPr>
      <w:r>
        <w:rPr>
          <w:noProof/>
        </w:rPr>
        <w:t>Η ΓΔ TAXUD εφαρμόζει ολοκληρωμένη στρατηγική για την καταπολέμηση της απάτης (ΣΚΑ) με αποτέλεσμα να καλλιεργείται νοοτροπία εναντίον της απάτης στους κόλπους της ΓΔ μέσω δραστηριοτήτων ευαισθητοποίησης για τους δυνητικούς κινδύνους απάτης, και να εμπεδωθεί η δεοντολογική συμπεριφορά στους υπαλλήλους της ΓΔ TAXUD.</w:t>
      </w:r>
    </w:p>
    <w:p>
      <w:pPr>
        <w:pStyle w:val="Text1"/>
        <w:rPr>
          <w:noProof/>
        </w:rPr>
      </w:pPr>
      <w:r>
        <w:rPr>
          <w:noProof/>
        </w:rPr>
        <w:t>Αν ληφθεί υπόψη ότι το πρόγραμμα θα εκτελεστεί μέσω συμβάσεων προμηθειών, ισχύει η διάταξη της ΣΚΑ (Στόχος 3 της ΣΚΑ: «Ευαισθητοποίηση σχετικά με περιπτώσεις πιθανής σύγκρουσης συμφερόντων κατά τη συνεργασία με εξωτερικά ενδιαφερόμενα μέρη όπως π.χ. ομάδες ειδικών συμφερόντων, υποβάλλοντες προσφορά, ανάδοχοι»). Τα προληπτικά μέτρα θα εστιάζουν 1) στην τήρηση αρχείων με τις επαφές που πραγματοποιούνται με ομάδες συμφερόντων, 2) στη κεντρική διαχείριση των διαδικασιών σύναψης συμβάσεων προμηθειών και των επαφών με τους υποβάλλοντες προσφορά, 3) σε ειδικά σεμινάρια κατάρτισης σχετικά με τις επαφές που πραγματοποιούνται με τις ειδικές ομάδες συμφερόντων, και θα έχουν σχεδιαστεί ειδικά για την υλοποίηση της πρωτοβουλίας.</w:t>
      </w:r>
    </w:p>
    <w:p>
      <w:pPr>
        <w:pStyle w:val="Text1"/>
        <w:rPr>
          <w:noProof/>
        </w:rPr>
      </w:pPr>
      <w:r>
        <w:rPr>
          <w:noProof/>
        </w:rPr>
        <w:t>Η υποχρεωτική αναζήτηση πληροφοριών από το σύστημα έγκαιρου εντοπισμού και αποκλεισμού πριν από την ανάθεση των συμβάσεων (και πριν από οποιαδήποτε χρηματοοικονομική συναλλαγή) θα αποτρέπει άλλωστε το ενδεχόμενο διάπραξης απάτης και παρατυπιών.</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ΕΚΤΙΜΩΜΕΝΕΣ ΔΗΜΟΣΙΟΝΟΜΙΚΕΣ ΕΠΙΠΤΩΣΕΙΣ ΤΗΣ ΠΡΟΤΑΣΗΣ/ΠΡΩΤΟΒΟΥΛΙΑΣ</w:t>
      </w:r>
    </w:p>
    <w:p>
      <w:pPr>
        <w:pStyle w:val="ManualHeading2"/>
        <w:rPr>
          <w:noProof/>
        </w:rPr>
      </w:pPr>
      <w:r>
        <w:t>3.1.</w:t>
      </w:r>
      <w:r>
        <w:tab/>
      </w:r>
      <w:r>
        <w:rPr>
          <w:noProof/>
        </w:rPr>
        <w:t>Τομείς του πολυετούς δημοσιονομικού πλαισίου και νέες γραμμές δαπανών του προϋπολογισμού που προτείνονται</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rPr>
              <w:t xml:space="preserve">Είδος </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rPr>
              <w:t xml:space="preserve">Αριθμός </w:t>
            </w:r>
            <w:r>
              <w:rPr>
                <w:noProof/>
              </w:rPr>
              <w:br/>
            </w:r>
            <w:r>
              <w:rPr>
                <w:noProof/>
                <w:sz w:val="20"/>
              </w:rPr>
              <w:t>[Τομέας ……………………… ………………]</w:t>
            </w:r>
          </w:p>
        </w:tc>
        <w:tc>
          <w:tcPr>
            <w:tcW w:w="1080" w:type="dxa"/>
            <w:vAlign w:val="center"/>
          </w:tcPr>
          <w:p>
            <w:pPr>
              <w:jc w:val="center"/>
              <w:rPr>
                <w:noProof/>
              </w:rPr>
            </w:pPr>
            <w:r>
              <w:rPr>
                <w:noProof/>
                <w:sz w:val="18"/>
              </w:rPr>
              <w:t>ΔΠ/ΜΔΠ</w:t>
            </w:r>
            <w:r>
              <w:rPr>
                <w:rStyle w:val="FootnoteReference"/>
                <w:noProof/>
                <w:sz w:val="18"/>
              </w:rPr>
              <w:footnoteReference w:id="53"/>
            </w:r>
          </w:p>
        </w:tc>
        <w:tc>
          <w:tcPr>
            <w:tcW w:w="956" w:type="dxa"/>
            <w:vAlign w:val="center"/>
          </w:tcPr>
          <w:p>
            <w:pPr>
              <w:jc w:val="center"/>
              <w:rPr>
                <w:noProof/>
              </w:rPr>
            </w:pPr>
            <w:r>
              <w:rPr>
                <w:noProof/>
                <w:sz w:val="18"/>
              </w:rPr>
              <w:t>χωρών ΕΖΕΣ</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Ενιαία αγορά— Διοικητικό κονδύλιο</w:t>
            </w:r>
          </w:p>
          <w:p>
            <w:pPr>
              <w:spacing w:after="60"/>
              <w:rPr>
                <w:noProof/>
              </w:rPr>
            </w:pPr>
            <w:r>
              <w:rPr>
                <w:noProof/>
              </w:rPr>
              <w:t>03.04 Ενιαία αγορά— Συνεργασία στον τομέα της φορολογίας (FISCALIS)</w:t>
            </w:r>
          </w:p>
        </w:tc>
        <w:tc>
          <w:tcPr>
            <w:tcW w:w="1080" w:type="dxa"/>
            <w:vAlign w:val="center"/>
          </w:tcPr>
          <w:p>
            <w:pPr>
              <w:jc w:val="center"/>
              <w:rPr>
                <w:noProof/>
                <w:color w:val="0000FF"/>
              </w:rPr>
            </w:pPr>
            <w:r>
              <w:rPr>
                <w:noProof/>
                <w:sz w:val="22"/>
              </w:rPr>
              <w:t>ΜΔΠ</w:t>
            </w:r>
          </w:p>
        </w:tc>
        <w:tc>
          <w:tcPr>
            <w:tcW w:w="956" w:type="dxa"/>
            <w:vAlign w:val="center"/>
          </w:tcPr>
          <w:p>
            <w:pPr>
              <w:jc w:val="center"/>
              <w:rPr>
                <w:noProof/>
              </w:rPr>
            </w:pPr>
            <w:r>
              <w:rPr>
                <w:noProof/>
                <w:sz w:val="22"/>
              </w:rPr>
              <w:t>Όχι</w:t>
            </w:r>
          </w:p>
        </w:tc>
        <w:tc>
          <w:tcPr>
            <w:tcW w:w="1080" w:type="dxa"/>
            <w:vAlign w:val="center"/>
          </w:tcPr>
          <w:p>
            <w:pPr>
              <w:jc w:val="center"/>
              <w:rPr>
                <w:noProof/>
              </w:rPr>
            </w:pPr>
            <w:r>
              <w:rPr>
                <w:noProof/>
                <w:sz w:val="22"/>
              </w:rPr>
              <w:t>Όχι</w:t>
            </w:r>
          </w:p>
        </w:tc>
        <w:tc>
          <w:tcPr>
            <w:tcW w:w="956" w:type="dxa"/>
            <w:vAlign w:val="center"/>
          </w:tcPr>
          <w:p>
            <w:pPr>
              <w:jc w:val="center"/>
              <w:rPr>
                <w:noProof/>
              </w:rPr>
            </w:pPr>
            <w:r>
              <w:rPr>
                <w:noProof/>
                <w:sz w:val="22"/>
              </w:rPr>
              <w:t>Όχι</w:t>
            </w:r>
          </w:p>
        </w:tc>
        <w:tc>
          <w:tcPr>
            <w:tcW w:w="1448" w:type="dxa"/>
            <w:vAlign w:val="center"/>
          </w:tcPr>
          <w:p>
            <w:pPr>
              <w:jc w:val="center"/>
              <w:rPr>
                <w:noProof/>
              </w:rPr>
            </w:pPr>
            <w:r>
              <w:rPr>
                <w:noProof/>
                <w:sz w:val="22"/>
              </w:rPr>
              <w:t>Όχι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Εκτιμώμενες επιπτώσεις στις δαπάνες</w:t>
      </w:r>
    </w:p>
    <w:p>
      <w:pPr>
        <w:pStyle w:val="ManualHeading3"/>
        <w:rPr>
          <w:noProof/>
          <w:u w:val="single"/>
        </w:rPr>
      </w:pPr>
      <w:r>
        <w:t>3.2.1.</w:t>
      </w:r>
      <w:r>
        <w:tab/>
      </w:r>
      <w:r>
        <w:rPr>
          <w:noProof/>
        </w:rPr>
        <w:t>Συνοπτική παρουσίαση των εκτιμώμενων επιπτώσεων στις δαπάνες</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«Ενιαία αγορά, καινοτομία και ψηφιακή οικονομία»</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Μετά το 2027</w:t>
            </w:r>
          </w:p>
        </w:tc>
        <w:tc>
          <w:tcPr>
            <w:tcW w:w="1289" w:type="dxa"/>
            <w:vAlign w:val="center"/>
          </w:tcPr>
          <w:p>
            <w:pPr>
              <w:jc w:val="center"/>
              <w:rPr>
                <w:b/>
                <w:noProof/>
                <w:sz w:val="20"/>
              </w:rPr>
            </w:pPr>
            <w:r>
              <w:rPr>
                <w:b/>
                <w:noProof/>
                <w:sz w:val="20"/>
              </w:rPr>
              <w:t>ΣΥΝΟΛΟ</w:t>
            </w:r>
          </w:p>
        </w:tc>
      </w:tr>
      <w:tr>
        <w:trPr>
          <w:trHeight w:val="433"/>
          <w:jc w:val="center"/>
        </w:trPr>
        <w:tc>
          <w:tcPr>
            <w:tcW w:w="4103" w:type="dxa"/>
            <w:vMerge w:val="restart"/>
            <w:vAlign w:val="center"/>
          </w:tcPr>
          <w:p>
            <w:pPr>
              <w:rPr>
                <w:noProof/>
              </w:rPr>
            </w:pPr>
            <w:r>
              <w:rPr>
                <w:noProof/>
                <w:sz w:val="20"/>
              </w:rPr>
              <w:t xml:space="preserve">Επιχειρησιακές πιστώσεις (κατανεμημένες σύμφωνα με τις γραμμές του προϋπολογισμού στο σημείο 3.1)  </w:t>
            </w:r>
          </w:p>
        </w:tc>
        <w:tc>
          <w:tcPr>
            <w:tcW w:w="1440" w:type="dxa"/>
            <w:vAlign w:val="center"/>
          </w:tcPr>
          <w:p>
            <w:pPr>
              <w:spacing w:before="20" w:after="20"/>
              <w:jc w:val="left"/>
              <w:rPr>
                <w:noProof/>
                <w:sz w:val="18"/>
              </w:rPr>
            </w:pPr>
            <w:r>
              <w:rPr>
                <w:noProof/>
                <w:sz w:val="18"/>
              </w:rPr>
              <w:t>Αναλήψεις υποχρεώσεων</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szCs w:val="20"/>
              </w:rPr>
              <w:t>5,400</w:t>
            </w:r>
          </w:p>
        </w:tc>
        <w:tc>
          <w:tcPr>
            <w:tcW w:w="868" w:type="dxa"/>
            <w:vAlign w:val="center"/>
          </w:tcPr>
          <w:p>
            <w:pPr>
              <w:spacing w:before="20" w:after="20"/>
              <w:jc w:val="right"/>
              <w:rPr>
                <w:noProof/>
                <w:sz w:val="20"/>
                <w:szCs w:val="20"/>
              </w:rPr>
            </w:pPr>
            <w:r>
              <w:rPr>
                <w:noProof/>
                <w:color w:val="000000"/>
                <w:sz w:val="20"/>
                <w:szCs w:val="20"/>
              </w:rPr>
              <w:t>5,550</w:t>
            </w:r>
          </w:p>
        </w:tc>
        <w:tc>
          <w:tcPr>
            <w:tcW w:w="868" w:type="dxa"/>
            <w:vAlign w:val="center"/>
          </w:tcPr>
          <w:p>
            <w:pPr>
              <w:spacing w:before="20" w:after="20"/>
              <w:jc w:val="right"/>
              <w:rPr>
                <w:noProof/>
                <w:sz w:val="20"/>
                <w:szCs w:val="20"/>
              </w:rPr>
            </w:pPr>
            <w:r>
              <w:rPr>
                <w:noProof/>
                <w:color w:val="000000"/>
                <w:sz w:val="20"/>
                <w:szCs w:val="20"/>
              </w:rPr>
              <w:t>5,235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Πληρωμές</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319"/>
          <w:jc w:val="center"/>
        </w:trPr>
        <w:tc>
          <w:tcPr>
            <w:tcW w:w="4103" w:type="dxa"/>
            <w:vAlign w:val="center"/>
          </w:tcPr>
          <w:p>
            <w:pPr>
              <w:spacing w:before="20" w:after="20"/>
              <w:jc w:val="left"/>
              <w:rPr>
                <w:noProof/>
              </w:rPr>
            </w:pPr>
            <w:r>
              <w:rPr>
                <w:noProof/>
                <w:sz w:val="20"/>
              </w:rPr>
              <w:t>Πιστώσεις διοικητικής φύσης που χρηματοδοτούνται από το κονδύλιο του προγράμματος</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Αναλήψεις υποχρεώσεων = Πληρωμές</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ΣΥΝΟΛΟ πιστώσεων για το χρηματοδοτικό κονδύλιο του προγράμματος</w:t>
            </w:r>
          </w:p>
        </w:tc>
        <w:tc>
          <w:tcPr>
            <w:tcW w:w="1440" w:type="dxa"/>
            <w:vAlign w:val="center"/>
          </w:tcPr>
          <w:p>
            <w:pPr>
              <w:jc w:val="left"/>
              <w:rPr>
                <w:noProof/>
                <w:sz w:val="18"/>
              </w:rPr>
            </w:pPr>
            <w:r>
              <w:rPr>
                <w:noProof/>
                <w:sz w:val="18"/>
              </w:rPr>
              <w:t>Αναλήψεις υποχρεώσεων</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color w:val="000000"/>
                <w:sz w:val="20"/>
                <w:szCs w:val="20"/>
              </w:rPr>
              <w:t>5,400</w:t>
            </w:r>
          </w:p>
        </w:tc>
        <w:tc>
          <w:tcPr>
            <w:tcW w:w="868" w:type="dxa"/>
            <w:vAlign w:val="center"/>
          </w:tcPr>
          <w:p>
            <w:pPr>
              <w:spacing w:before="20" w:after="20"/>
              <w:jc w:val="right"/>
              <w:rPr>
                <w:noProof/>
                <w:sz w:val="20"/>
                <w:szCs w:val="20"/>
              </w:rPr>
            </w:pPr>
            <w:r>
              <w:rPr>
                <w:noProof/>
                <w:color w:val="000000"/>
                <w:sz w:val="20"/>
                <w:szCs w:val="20"/>
              </w:rPr>
              <w:t>5,550</w:t>
            </w:r>
          </w:p>
        </w:tc>
        <w:tc>
          <w:tcPr>
            <w:tcW w:w="868" w:type="dxa"/>
            <w:vAlign w:val="center"/>
          </w:tcPr>
          <w:p>
            <w:pPr>
              <w:spacing w:before="20" w:after="20"/>
              <w:jc w:val="right"/>
              <w:rPr>
                <w:noProof/>
                <w:sz w:val="20"/>
                <w:szCs w:val="20"/>
              </w:rPr>
            </w:pPr>
            <w:r>
              <w:rPr>
                <w:noProof/>
                <w:color w:val="000000"/>
                <w:sz w:val="20"/>
                <w:szCs w:val="20"/>
              </w:rPr>
              <w:t>5,235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b/>
                <w:noProof/>
                <w:sz w:val="20"/>
                <w:szCs w:val="20"/>
              </w:rPr>
            </w:pPr>
            <w:r>
              <w:rPr>
                <w:noProof/>
                <w:color w:val="000000"/>
                <w:sz w:val="20"/>
                <w:szCs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Πληρωμές</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noProof/>
                <w:sz w:val="22"/>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«Διοικητικές δαπάνες»</w:t>
            </w:r>
          </w:p>
        </w:tc>
      </w:tr>
    </w:tbl>
    <w:p>
      <w:pPr>
        <w:jc w:val="left"/>
        <w:rPr>
          <w:noProof/>
        </w:rPr>
      </w:pPr>
      <w:r>
        <w:rPr>
          <w:noProof/>
        </w:rPr>
        <w:br w:type="page"/>
      </w:r>
    </w:p>
    <w:p>
      <w:pPr>
        <w:jc w:val="right"/>
        <w:rPr>
          <w:noProof/>
          <w:sz w:val="20"/>
        </w:rPr>
      </w:pPr>
    </w:p>
    <w:p>
      <w:pPr>
        <w:jc w:val="right"/>
        <w:rPr>
          <w:noProof/>
          <w:sz w:val="20"/>
        </w:rPr>
      </w:pPr>
      <w:r>
        <w:rPr>
          <w:noProof/>
          <w:sz w:val="20"/>
        </w:rPr>
        <w:t>σε εκατ. EUR (με τρία δεκαδικά ψηφία)</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Μετά το 2027</w:t>
            </w:r>
          </w:p>
        </w:tc>
        <w:tc>
          <w:tcPr>
            <w:tcW w:w="1291" w:type="dxa"/>
            <w:vAlign w:val="center"/>
          </w:tcPr>
          <w:p>
            <w:pPr>
              <w:jc w:val="center"/>
              <w:rPr>
                <w:b/>
                <w:noProof/>
                <w:sz w:val="20"/>
              </w:rPr>
            </w:pPr>
            <w:r>
              <w:rPr>
                <w:b/>
                <w:noProof/>
                <w:sz w:val="20"/>
              </w:rPr>
              <w:t>ΣΥΝΟΛΟ</w:t>
            </w:r>
          </w:p>
        </w:tc>
      </w:tr>
      <w:tr>
        <w:trPr>
          <w:trHeight w:val="313"/>
          <w:jc w:val="center"/>
        </w:trPr>
        <w:tc>
          <w:tcPr>
            <w:tcW w:w="6245" w:type="dxa"/>
            <w:gridSpan w:val="2"/>
            <w:vAlign w:val="center"/>
          </w:tcPr>
          <w:p>
            <w:pPr>
              <w:spacing w:before="20" w:after="20"/>
              <w:rPr>
                <w:noProof/>
              </w:rPr>
            </w:pPr>
            <w:r>
              <w:rPr>
                <w:noProof/>
                <w:sz w:val="22"/>
              </w:rPr>
              <w:t xml:space="preserve">Ανθρώπινοι πόροι </w:t>
            </w:r>
          </w:p>
        </w:tc>
        <w:tc>
          <w:tcPr>
            <w:tcW w:w="868" w:type="dxa"/>
            <w:vAlign w:val="center"/>
          </w:tcPr>
          <w:p>
            <w:pPr>
              <w:spacing w:before="20" w:after="20"/>
              <w:jc w:val="right"/>
              <w:rPr>
                <w:noProof/>
                <w:sz w:val="20"/>
                <w:szCs w:val="20"/>
              </w:rPr>
            </w:pPr>
            <w:r>
              <w:rPr>
                <w:noProof/>
                <w:sz w:val="20"/>
                <w:szCs w:val="20"/>
              </w:rPr>
              <w:t>2,244</w:t>
            </w:r>
          </w:p>
        </w:tc>
        <w:tc>
          <w:tcPr>
            <w:tcW w:w="868" w:type="dxa"/>
            <w:vAlign w:val="center"/>
          </w:tcPr>
          <w:p>
            <w:pPr>
              <w:spacing w:before="20" w:after="20"/>
              <w:jc w:val="right"/>
              <w:rPr>
                <w:noProof/>
                <w:sz w:val="20"/>
                <w:szCs w:val="20"/>
              </w:rPr>
            </w:pPr>
            <w:r>
              <w:rPr>
                <w:noProof/>
                <w:sz w:val="20"/>
                <w:szCs w:val="20"/>
              </w:rPr>
              <w:t>0,902</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b/>
                <w:noProof/>
                <w:sz w:val="20"/>
                <w:szCs w:val="20"/>
              </w:rPr>
            </w:pPr>
            <w:r>
              <w:rPr>
                <w:noProof/>
                <w:sz w:val="20"/>
                <w:szCs w:val="20"/>
              </w:rPr>
              <w:t>0,225</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szCs w:val="20"/>
              </w:rPr>
              <w:t>4,274</w:t>
            </w:r>
          </w:p>
        </w:tc>
      </w:tr>
      <w:tr>
        <w:trPr>
          <w:trHeight w:val="351"/>
          <w:jc w:val="center"/>
        </w:trPr>
        <w:tc>
          <w:tcPr>
            <w:tcW w:w="6245" w:type="dxa"/>
            <w:gridSpan w:val="2"/>
            <w:vAlign w:val="center"/>
          </w:tcPr>
          <w:p>
            <w:pPr>
              <w:spacing w:before="20" w:after="20"/>
              <w:rPr>
                <w:noProof/>
              </w:rPr>
            </w:pPr>
            <w:r>
              <w:rPr>
                <w:noProof/>
                <w:sz w:val="22"/>
              </w:rPr>
              <w:t xml:space="preserve">Άλλες διοικητικές δαπάνες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87" w:type="dxa"/>
            <w:shd w:val="clear" w:color="auto" w:fill="A6A6A6"/>
            <w:vAlign w:val="center"/>
          </w:tcPr>
          <w:p>
            <w:pPr>
              <w:spacing w:before="20" w:after="20"/>
              <w:jc w:val="right"/>
              <w:rPr>
                <w:noProof/>
                <w:sz w:val="20"/>
                <w:szCs w:val="20"/>
              </w:rPr>
            </w:pPr>
          </w:p>
        </w:tc>
        <w:tc>
          <w:tcPr>
            <w:tcW w:w="1291"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ΣΥΝΟΛΟ πιστώσεων του ΤΟΜΕΑ 7 του πολυετούς δημοσιονομικού πλαισίου</w:t>
            </w:r>
          </w:p>
        </w:tc>
        <w:tc>
          <w:tcPr>
            <w:tcW w:w="2046" w:type="dxa"/>
            <w:vAlign w:val="center"/>
          </w:tcPr>
          <w:p>
            <w:pPr>
              <w:spacing w:before="20" w:after="20"/>
              <w:rPr>
                <w:noProof/>
                <w:sz w:val="22"/>
              </w:rPr>
            </w:pPr>
            <w:r>
              <w:rPr>
                <w:noProof/>
                <w:sz w:val="18"/>
              </w:rPr>
              <w:t>(Σύνολο αναλήψεων υποχρεώσεων = Σύνολο πληρωμών)</w:t>
            </w:r>
          </w:p>
        </w:tc>
        <w:tc>
          <w:tcPr>
            <w:tcW w:w="868" w:type="dxa"/>
            <w:vAlign w:val="center"/>
          </w:tcPr>
          <w:p>
            <w:pPr>
              <w:spacing w:before="20" w:after="20"/>
              <w:jc w:val="right"/>
              <w:rPr>
                <w:b/>
                <w:noProof/>
                <w:sz w:val="20"/>
                <w:szCs w:val="20"/>
              </w:rPr>
            </w:pPr>
            <w:r>
              <w:rPr>
                <w:noProof/>
                <w:color w:val="000000"/>
                <w:sz w:val="20"/>
                <w:szCs w:val="20"/>
              </w:rPr>
              <w:t>2,444</w:t>
            </w:r>
          </w:p>
        </w:tc>
        <w:tc>
          <w:tcPr>
            <w:tcW w:w="868" w:type="dxa"/>
            <w:vAlign w:val="center"/>
          </w:tcPr>
          <w:p>
            <w:pPr>
              <w:spacing w:before="20" w:after="20"/>
              <w:jc w:val="right"/>
              <w:rPr>
                <w:b/>
                <w:noProof/>
                <w:sz w:val="20"/>
                <w:szCs w:val="20"/>
              </w:rPr>
            </w:pPr>
            <w:r>
              <w:rPr>
                <w:noProof/>
                <w:color w:val="000000"/>
                <w:sz w:val="20"/>
                <w:szCs w:val="20"/>
              </w:rPr>
              <w:t>0,952</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szCs w:val="20"/>
              </w:rPr>
              <w:t>4,774</w:t>
            </w:r>
          </w:p>
        </w:tc>
      </w:tr>
    </w:tbl>
    <w:p>
      <w:pPr>
        <w:jc w:val="right"/>
        <w:rPr>
          <w:noProof/>
          <w:sz w:val="20"/>
        </w:rPr>
      </w:pPr>
      <w:r>
        <w:rPr>
          <w:noProof/>
          <w:sz w:val="20"/>
        </w:rPr>
        <w:t>σε εκατ. EUR (με τρία δεκαδικά ψηφία)</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Μετά το 2027</w:t>
            </w:r>
          </w:p>
        </w:tc>
        <w:tc>
          <w:tcPr>
            <w:tcW w:w="1292" w:type="dxa"/>
            <w:vAlign w:val="center"/>
          </w:tcPr>
          <w:p>
            <w:pPr>
              <w:jc w:val="center"/>
              <w:rPr>
                <w:b/>
                <w:noProof/>
                <w:sz w:val="20"/>
              </w:rPr>
            </w:pPr>
            <w:r>
              <w:rPr>
                <w:b/>
                <w:noProof/>
                <w:sz w:val="20"/>
              </w:rPr>
              <w:t>ΣΥΝΟΛΟ</w:t>
            </w:r>
          </w:p>
        </w:tc>
      </w:tr>
      <w:tr>
        <w:trPr>
          <w:jc w:val="center"/>
        </w:trPr>
        <w:tc>
          <w:tcPr>
            <w:tcW w:w="4173" w:type="dxa"/>
            <w:vMerge w:val="restart"/>
            <w:shd w:val="clear" w:color="auto" w:fill="C0C0C0"/>
            <w:vAlign w:val="center"/>
          </w:tcPr>
          <w:p>
            <w:pPr>
              <w:jc w:val="center"/>
              <w:rPr>
                <w:b/>
                <w:noProof/>
              </w:rPr>
            </w:pPr>
            <w:r>
              <w:rPr>
                <w:noProof/>
                <w:sz w:val="22"/>
              </w:rPr>
              <w:t>ΣΥΝΟΛΟ πιστώσεων</w:t>
            </w:r>
            <w:r>
              <w:rPr>
                <w:noProof/>
                <w:sz w:val="22"/>
              </w:rPr>
              <w:br/>
            </w:r>
            <w:r>
              <w:rPr>
                <w:b/>
                <w:noProof/>
                <w:sz w:val="22"/>
              </w:rPr>
              <w:t xml:space="preserve">μεταξύ ΤΟΜΕΩΝ </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7,644</w:t>
            </w:r>
          </w:p>
        </w:tc>
        <w:tc>
          <w:tcPr>
            <w:tcW w:w="868" w:type="dxa"/>
            <w:vAlign w:val="center"/>
          </w:tcPr>
          <w:p>
            <w:pPr>
              <w:spacing w:before="60" w:after="60"/>
              <w:jc w:val="right"/>
              <w:rPr>
                <w:noProof/>
                <w:sz w:val="20"/>
              </w:rPr>
            </w:pPr>
            <w:r>
              <w:rPr>
                <w:noProof/>
                <w:sz w:val="20"/>
              </w:rPr>
              <w:t>6,452</w:t>
            </w:r>
          </w:p>
        </w:tc>
        <w:tc>
          <w:tcPr>
            <w:tcW w:w="868" w:type="dxa"/>
            <w:vAlign w:val="center"/>
          </w:tcPr>
          <w:p>
            <w:pPr>
              <w:spacing w:before="60" w:after="60"/>
              <w:jc w:val="right"/>
              <w:rPr>
                <w:noProof/>
                <w:sz w:val="20"/>
              </w:rPr>
            </w:pPr>
            <w:r>
              <w:rPr>
                <w:noProof/>
                <w:sz w:val="20"/>
              </w:rPr>
              <w:t>5,460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8,910</w:t>
            </w: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38,798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Συνοπτική παρουσίαση των εκτιμώμενων επιπτώσεων στις πιστώσεις διοικητικού χαρακτήρα</w:t>
      </w:r>
    </w:p>
    <w:p>
      <w:pPr>
        <w:pStyle w:val="ListDash1"/>
        <w:rPr>
          <w:noProof/>
        </w:rPr>
      </w:pPr>
      <w:r>
        <w:rPr>
          <w:noProof/>
        </w:rPr>
        <w:t>Στην πρόταση προβλέπεται η χρήση πιστώσεων διοικητικού χαρακτήρα, όπως εξηγείται κατωτέρω:</w:t>
      </w:r>
    </w:p>
    <w:p>
      <w:pPr>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Έτη</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noProof/>
              </w:rPr>
              <w:t>ΤΟΜΕΑΣ 7</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20"/>
                <w:szCs w:val="20"/>
              </w:rPr>
              <w:t>2,244</w:t>
            </w:r>
          </w:p>
        </w:tc>
        <w:tc>
          <w:tcPr>
            <w:tcW w:w="1080" w:type="dxa"/>
            <w:vAlign w:val="center"/>
          </w:tcPr>
          <w:p>
            <w:pPr>
              <w:spacing w:before="60" w:after="60" w:line="200" w:lineRule="exact"/>
              <w:jc w:val="right"/>
              <w:rPr>
                <w:noProof/>
                <w:sz w:val="16"/>
                <w:szCs w:val="16"/>
              </w:rPr>
            </w:pPr>
            <w:r>
              <w:rPr>
                <w:noProof/>
                <w:sz w:val="20"/>
                <w:szCs w:val="20"/>
              </w:rPr>
              <w:t>0,902</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b/>
                <w:noProof/>
                <w:sz w:val="16"/>
                <w:szCs w:val="16"/>
              </w:rPr>
            </w:pPr>
            <w:r>
              <w:rPr>
                <w:noProof/>
                <w:sz w:val="20"/>
                <w:szCs w:val="20"/>
              </w:rPr>
              <w:t>0,225</w:t>
            </w:r>
          </w:p>
        </w:tc>
        <w:tc>
          <w:tcPr>
            <w:tcW w:w="1080" w:type="dxa"/>
            <w:vAlign w:val="center"/>
          </w:tcPr>
          <w:p>
            <w:pPr>
              <w:spacing w:before="60" w:after="60" w:line="200" w:lineRule="exact"/>
              <w:jc w:val="right"/>
              <w:rPr>
                <w:b/>
                <w:noProof/>
                <w:sz w:val="16"/>
                <w:szCs w:val="16"/>
              </w:rPr>
            </w:pPr>
            <w:r>
              <w:rPr>
                <w:b/>
                <w:noProof/>
                <w:sz w:val="20"/>
                <w:szCs w:val="20"/>
              </w:rPr>
              <w:t>4,274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r>
              <w:rPr>
                <w:noProof/>
                <w:sz w:val="16"/>
                <w:szCs w:val="16"/>
              </w:rPr>
              <w:t>ά.α</w:t>
            </w:r>
          </w:p>
        </w:tc>
        <w:tc>
          <w:tcPr>
            <w:tcW w:w="1080" w:type="dxa"/>
            <w:vAlign w:val="center"/>
          </w:tcPr>
          <w:p>
            <w:pPr>
              <w:spacing w:before="60" w:after="60" w:line="200" w:lineRule="exact"/>
              <w:jc w:val="right"/>
              <w:rPr>
                <w:noProof/>
                <w:sz w:val="16"/>
                <w:szCs w:val="16"/>
              </w:rPr>
            </w:pPr>
            <w:r>
              <w:rPr>
                <w:noProof/>
                <w:sz w:val="16"/>
                <w:szCs w:val="16"/>
              </w:rPr>
              <w:t>ά.α</w:t>
            </w:r>
          </w:p>
        </w:tc>
        <w:tc>
          <w:tcPr>
            <w:tcW w:w="1080" w:type="dxa"/>
            <w:vAlign w:val="center"/>
          </w:tcPr>
          <w:p>
            <w:pPr>
              <w:spacing w:before="60" w:after="60" w:line="200" w:lineRule="exact"/>
              <w:jc w:val="right"/>
              <w:rPr>
                <w:noProof/>
                <w:sz w:val="16"/>
                <w:szCs w:val="16"/>
              </w:rPr>
            </w:pPr>
            <w:r>
              <w:rPr>
                <w:noProof/>
                <w:sz w:val="16"/>
                <w:szCs w:val="16"/>
              </w:rPr>
              <w:t>ά.α</w:t>
            </w:r>
          </w:p>
        </w:tc>
        <w:tc>
          <w:tcPr>
            <w:tcW w:w="1080" w:type="dxa"/>
            <w:vAlign w:val="center"/>
          </w:tcPr>
          <w:p>
            <w:pPr>
              <w:spacing w:before="60" w:after="60" w:line="200" w:lineRule="exact"/>
              <w:jc w:val="right"/>
              <w:rPr>
                <w:noProof/>
                <w:sz w:val="16"/>
                <w:szCs w:val="16"/>
              </w:rPr>
            </w:pPr>
            <w:r>
              <w:rPr>
                <w:noProof/>
                <w:sz w:val="16"/>
                <w:szCs w:val="16"/>
              </w:rPr>
              <w:t>ά.α</w:t>
            </w:r>
          </w:p>
        </w:tc>
        <w:tc>
          <w:tcPr>
            <w:tcW w:w="1080" w:type="dxa"/>
            <w:vAlign w:val="center"/>
          </w:tcPr>
          <w:p>
            <w:pPr>
              <w:spacing w:before="60" w:after="60" w:line="200" w:lineRule="exact"/>
              <w:jc w:val="right"/>
              <w:rPr>
                <w:noProof/>
                <w:sz w:val="16"/>
                <w:szCs w:val="16"/>
              </w:rPr>
            </w:pPr>
            <w:r>
              <w:rPr>
                <w:noProof/>
                <w:sz w:val="16"/>
                <w:szCs w:val="16"/>
              </w:rPr>
              <w:t>ά.α</w:t>
            </w:r>
          </w:p>
        </w:tc>
        <w:tc>
          <w:tcPr>
            <w:tcW w:w="1080" w:type="dxa"/>
            <w:vAlign w:val="center"/>
          </w:tcPr>
          <w:p>
            <w:pPr>
              <w:spacing w:before="60" w:after="60" w:line="200" w:lineRule="exact"/>
              <w:jc w:val="right"/>
              <w:rPr>
                <w:noProof/>
                <w:sz w:val="16"/>
                <w:szCs w:val="16"/>
              </w:rPr>
            </w:pPr>
            <w:r>
              <w:rPr>
                <w:noProof/>
                <w:sz w:val="16"/>
                <w:szCs w:val="16"/>
              </w:rPr>
              <w:t>ά.α</w:t>
            </w:r>
          </w:p>
        </w:tc>
        <w:tc>
          <w:tcPr>
            <w:tcW w:w="1080" w:type="dxa"/>
            <w:vAlign w:val="center"/>
          </w:tcPr>
          <w:p>
            <w:pPr>
              <w:spacing w:before="60" w:after="60" w:line="200" w:lineRule="exact"/>
              <w:jc w:val="right"/>
              <w:rPr>
                <w:b/>
                <w:noProof/>
                <w:sz w:val="16"/>
                <w:szCs w:val="16"/>
              </w:rPr>
            </w:pPr>
            <w:r>
              <w:rPr>
                <w:noProof/>
                <w:sz w:val="16"/>
                <w:szCs w:val="16"/>
              </w:rPr>
              <w:t>ά.α</w:t>
            </w:r>
          </w:p>
        </w:tc>
        <w:tc>
          <w:tcPr>
            <w:tcW w:w="1080" w:type="dxa"/>
            <w:vAlign w:val="center"/>
          </w:tcPr>
          <w:p>
            <w:pPr>
              <w:spacing w:before="60" w:after="60" w:line="200" w:lineRule="exact"/>
              <w:jc w:val="right"/>
              <w:rPr>
                <w:b/>
                <w:noProof/>
                <w:sz w:val="16"/>
                <w:szCs w:val="16"/>
              </w:rPr>
            </w:pPr>
            <w:r>
              <w:rPr>
                <w:noProof/>
                <w:sz w:val="16"/>
                <w:szCs w:val="16"/>
              </w:rPr>
              <w:t>ά.α</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noProof/>
              </w:rPr>
              <w:t>Μερικό σύνολο του ΤΟΜΕΑ 7</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noProof/>
              </w:rPr>
              <w:t>Εκτός του ΤΟΜΕΑ 7</w:t>
            </w:r>
            <w:r>
              <w:rPr>
                <w:rStyle w:val="FootnoteReference"/>
                <w:noProof/>
              </w:rPr>
              <w:footnoteReference w:id="57"/>
            </w:r>
            <w:r>
              <w:rPr>
                <w:noProof/>
              </w:rPr>
              <w:br/>
            </w:r>
            <w:r>
              <w:rPr>
                <w:b/>
                <w:noProof/>
                <w:sz w:val="16"/>
              </w:rPr>
              <w:t>του πολυετούς δημοσιονομικού πλαισίου</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Άλλες δαπάνες</w:t>
            </w:r>
            <w:r>
              <w:rPr>
                <w:noProof/>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noProof/>
              </w:rPr>
              <w:t>Μερικό σύνολο</w:t>
            </w:r>
            <w:r>
              <w:rPr>
                <w:noProof/>
              </w:rPr>
              <w:br/>
              <w:t>εκτός του ΤΟΜΕΑ 7</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2,244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szCs w:val="20"/>
              </w:rPr>
              <w:t>4,274</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spacing w:before="0" w:after="200" w:line="276" w:lineRule="auto"/>
        <w:jc w:val="left"/>
        <w:rPr>
          <w:noProof/>
        </w:rPr>
      </w:pPr>
      <w:r>
        <w:rPr>
          <w:noProof/>
        </w:rPr>
        <w:br w:type="page"/>
      </w:r>
    </w:p>
    <w:p>
      <w:pPr>
        <w:pStyle w:val="ManualHeading4"/>
        <w:rPr>
          <w:bCs/>
          <w:noProof/>
          <w:szCs w:val="24"/>
        </w:rPr>
      </w:pPr>
      <w:r>
        <w:t>3.2.2.1.</w:t>
      </w:r>
      <w:r>
        <w:tab/>
      </w:r>
      <w:r>
        <w:rPr>
          <w:noProof/>
        </w:rPr>
        <w:t>Εκτιμώμενες ανάγκες σε ανθρώπινους πόρους</w:t>
      </w:r>
    </w:p>
    <w:p>
      <w:pPr>
        <w:pStyle w:val="ListDash1"/>
        <w:rPr>
          <w:noProof/>
        </w:rPr>
      </w:pPr>
      <w:r>
        <w:rPr>
          <w:noProof/>
        </w:rPr>
        <w:t>Η πρόταση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Έτη</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noProof/>
              </w:rPr>
              <w:t xml:space="preserve"> Θέσεις απασχόλησης του πίνακα προσωπικού (θέσεις μόνιμων και έκτακτων υπαλλήλων)</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Έδρα και αντιπροσωπείες της Επιτροπής</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6</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Αντιπροσωπείες της ΕΕ</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Έρευνα</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noProof/>
              </w:rPr>
              <w:t xml:space="preserve"> Εξωτερικό προσωπικό (σε μονάδα ισοδυνάμου πλήρους απασχόλησης:</w:t>
            </w:r>
            <w:r>
              <w:rPr>
                <w:b/>
                <w:noProof/>
                <w:sz w:val="16"/>
              </w:rPr>
              <w:t xml:space="preserve"> ΜΙΠΑ) — AC, AL, END, INT και JED</w:t>
            </w:r>
            <w:r>
              <w:rPr>
                <w:rStyle w:val="FootnoteReference"/>
                <w:b/>
                <w:noProof/>
                <w:sz w:val="16"/>
              </w:rPr>
              <w:footnoteReference w:id="58"/>
            </w:r>
          </w:p>
          <w:p>
            <w:pPr>
              <w:pStyle w:val="Text1"/>
              <w:spacing w:before="0" w:after="0"/>
              <w:ind w:left="0"/>
              <w:jc w:val="left"/>
              <w:rPr>
                <w:noProof/>
                <w:sz w:val="16"/>
                <w:szCs w:val="16"/>
              </w:rPr>
            </w:pPr>
            <w:r>
              <w:rPr>
                <w:noProof/>
                <w:sz w:val="16"/>
                <w:szCs w:val="16"/>
              </w:rPr>
              <w:t>Τομέας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Χρηματοδοτούμενο από τον ΤΟΜΕΑ 7 του πολυετούς δημοσιονομικού πλαισίου</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4</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1</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1</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σε αντιπροσωπείες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Χρηματοδοτούμενο από το κονδύλιο του προγράμματος</w:t>
            </w:r>
            <w:r>
              <w:rPr>
                <w:rStyle w:val="FootnoteReference"/>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Έρευνα</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Άλλα (να προσδιοριστούν)</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ΣΥΝΟΛΟ</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1,5</w:t>
            </w:r>
          </w:p>
        </w:tc>
      </w:tr>
    </w:tbl>
    <w:p>
      <w:pPr>
        <w:pStyle w:val="Text1"/>
        <w:ind w:left="0"/>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Μόνιμοι και έκτακτοι υπάλληλοι</w:t>
            </w:r>
          </w:p>
        </w:tc>
        <w:tc>
          <w:tcPr>
            <w:tcW w:w="7392" w:type="dxa"/>
          </w:tcPr>
          <w:p>
            <w:pPr>
              <w:rPr>
                <w:noProof/>
              </w:rPr>
            </w:pPr>
            <w:r>
              <w:rPr>
                <w:noProof/>
              </w:rPr>
              <w:t xml:space="preserve">Οι αριθμοί αφορούν τόσο το προσωπικό που ασχολείται με την άμεση διαχείριση και εφαρμογή της πρωτοβουλίας όσο και το προσωπικό που απασχολείται σε τομείς πολιτικής οι οποίοι υποστηρίζονται από την πρωτοβουλία. </w:t>
            </w:r>
          </w:p>
        </w:tc>
      </w:tr>
      <w:tr>
        <w:tc>
          <w:tcPr>
            <w:tcW w:w="3240" w:type="dxa"/>
          </w:tcPr>
          <w:p>
            <w:pPr>
              <w:spacing w:before="60" w:after="60"/>
              <w:rPr>
                <w:noProof/>
                <w:sz w:val="20"/>
              </w:rPr>
            </w:pPr>
            <w:r>
              <w:rPr>
                <w:noProof/>
                <w:sz w:val="20"/>
              </w:rPr>
              <w:t>Εξωτερικό προσωπικό</w:t>
            </w:r>
          </w:p>
        </w:tc>
        <w:tc>
          <w:tcPr>
            <w:tcW w:w="7392" w:type="dxa"/>
          </w:tcPr>
          <w:p>
            <w:pPr>
              <w:rPr>
                <w:noProof/>
              </w:rPr>
            </w:pPr>
            <w:r>
              <w:rPr>
                <w:noProof/>
              </w:rPr>
              <w:t>Οι αριθμοί αφορούν τόσο το προσωπικό που ασχολείται με την άμεση διαχείριση και εφαρμογή της πρωτοβουλίας όσο και το προσωπικό που απασχολείται σε τομείς πολιτικής οι οποίοι υποστηρίζονται από την πρωτοβουλία.</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Συμμετοχή τρίτων στη χρηματοδότηση</w:t>
      </w:r>
    </w:p>
    <w:p>
      <w:pPr>
        <w:pStyle w:val="Text1"/>
        <w:rPr>
          <w:noProof/>
        </w:rPr>
      </w:pPr>
      <w:r>
        <w:rPr>
          <w:noProof/>
        </w:rPr>
        <w:t>Η πρόταση/πρωτοβουλία:</w:t>
      </w:r>
    </w:p>
    <w:p>
      <w:pPr>
        <w:pStyle w:val="ListDash1"/>
        <w:rPr>
          <w:noProof/>
        </w:rPr>
      </w:pPr>
      <w:r>
        <w:rPr>
          <w:noProof/>
        </w:rPr>
        <w:t>δεν προβλέπει συγχρηματοδότηση από τρίτους</w:t>
      </w:r>
    </w:p>
    <w:p>
      <w:pPr>
        <w:pStyle w:val="ManualHeading2"/>
        <w:rPr>
          <w:bCs/>
          <w:noProof/>
          <w:szCs w:val="24"/>
        </w:rPr>
      </w:pPr>
      <w:r>
        <w:t>3.3.</w:t>
      </w:r>
      <w:r>
        <w:tab/>
      </w:r>
      <w:r>
        <w:rPr>
          <w:noProof/>
        </w:rPr>
        <w:t>Εκτιμώμενες επιπτώσεις στα έσοδα</w:t>
      </w:r>
    </w:p>
    <w:p>
      <w:pPr>
        <w:pStyle w:val="ListDash1"/>
        <w:rPr>
          <w:noProof/>
        </w:rPr>
      </w:pPr>
      <w:r>
        <w:rPr>
          <w:noProof/>
        </w:rPr>
        <w:t>Η πρόταση/πρωτοβουλία έχει τις δημοσιονομικές επιπτώσεις που περιγράφονται κατωτέρω:</w:t>
      </w:r>
    </w:p>
    <w:p>
      <w:pPr>
        <w:pStyle w:val="Point0number"/>
        <w:numPr>
          <w:ilvl w:val="0"/>
          <w:numId w:val="16"/>
        </w:numPr>
        <w:rPr>
          <w:noProof/>
          <w:sz w:val="16"/>
        </w:rPr>
      </w:pPr>
      <w:r>
        <w:rPr>
          <w:noProof/>
        </w:rPr>
        <w:t>Έσοδα Φ.Π.Α.</w:t>
      </w:r>
    </w:p>
    <w:p>
      <w:pPr>
        <w:jc w:val="right"/>
        <w:rPr>
          <w:noProof/>
        </w:rPr>
      </w:pPr>
      <w:r>
        <w:rPr>
          <w:noProof/>
        </w:rPr>
        <w:t>σε εκατ. EUR (με τρία δεκαδικά ψηφία)</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Άρθρο ………….</w:t>
            </w:r>
          </w:p>
        </w:tc>
        <w:tc>
          <w:tcPr>
            <w:tcW w:w="1080" w:type="dxa"/>
          </w:tcPr>
          <w:p>
            <w:pPr>
              <w:spacing w:beforeLines="40" w:before="96" w:afterLines="40" w:after="96"/>
              <w:jc w:val="center"/>
              <w:rPr>
                <w:noProof/>
                <w:sz w:val="18"/>
              </w:rPr>
            </w:pPr>
            <w:r>
              <w:rPr>
                <w:noProof/>
                <w:sz w:val="16"/>
                <w:szCs w:val="16"/>
              </w:rPr>
              <w:t>ά.α</w:t>
            </w:r>
          </w:p>
        </w:tc>
        <w:tc>
          <w:tcPr>
            <w:tcW w:w="900" w:type="dxa"/>
          </w:tcPr>
          <w:p>
            <w:pPr>
              <w:spacing w:beforeLines="40" w:before="96" w:afterLines="40" w:after="96"/>
              <w:jc w:val="center"/>
              <w:rPr>
                <w:noProof/>
                <w:sz w:val="18"/>
              </w:rPr>
            </w:pPr>
            <w:r>
              <w:rPr>
                <w:noProof/>
                <w:sz w:val="16"/>
                <w:szCs w:val="16"/>
              </w:rPr>
              <w:t>ά.α</w:t>
            </w:r>
          </w:p>
        </w:tc>
        <w:tc>
          <w:tcPr>
            <w:tcW w:w="900" w:type="dxa"/>
          </w:tcPr>
          <w:p>
            <w:pPr>
              <w:spacing w:beforeLines="40" w:before="96" w:afterLines="40" w:after="96"/>
              <w:jc w:val="center"/>
              <w:rPr>
                <w:noProof/>
                <w:sz w:val="18"/>
              </w:rPr>
            </w:pPr>
            <w:r>
              <w:rPr>
                <w:noProof/>
                <w:sz w:val="16"/>
                <w:szCs w:val="16"/>
              </w:rPr>
              <w:t>ά.α</w:t>
            </w:r>
          </w:p>
        </w:tc>
        <w:tc>
          <w:tcPr>
            <w:tcW w:w="1080" w:type="dxa"/>
          </w:tcPr>
          <w:p>
            <w:pPr>
              <w:spacing w:beforeLines="40" w:before="96" w:afterLines="40" w:after="96"/>
              <w:jc w:val="center"/>
              <w:rPr>
                <w:noProof/>
                <w:sz w:val="18"/>
              </w:rPr>
            </w:pPr>
            <w:r>
              <w:rPr>
                <w:noProof/>
                <w:sz w:val="16"/>
                <w:szCs w:val="16"/>
              </w:rPr>
              <w:t>ά.α</w:t>
            </w:r>
          </w:p>
        </w:tc>
        <w:tc>
          <w:tcPr>
            <w:tcW w:w="1080" w:type="dxa"/>
          </w:tcPr>
          <w:p>
            <w:pPr>
              <w:spacing w:beforeLines="40" w:before="96" w:afterLines="40" w:after="96"/>
              <w:jc w:val="center"/>
              <w:rPr>
                <w:noProof/>
                <w:sz w:val="18"/>
              </w:rPr>
            </w:pPr>
            <w:r>
              <w:rPr>
                <w:noProof/>
                <w:sz w:val="16"/>
                <w:szCs w:val="16"/>
              </w:rPr>
              <w:t>ά.α</w:t>
            </w:r>
          </w:p>
        </w:tc>
        <w:tc>
          <w:tcPr>
            <w:tcW w:w="1080" w:type="dxa"/>
          </w:tcPr>
          <w:p>
            <w:pPr>
              <w:spacing w:beforeLines="40" w:before="96" w:afterLines="40" w:after="96"/>
              <w:jc w:val="center"/>
              <w:rPr>
                <w:noProof/>
                <w:sz w:val="18"/>
              </w:rPr>
            </w:pPr>
            <w:r>
              <w:rPr>
                <w:noProof/>
                <w:sz w:val="16"/>
                <w:szCs w:val="16"/>
              </w:rPr>
              <w:t>ά.α</w:t>
            </w:r>
          </w:p>
        </w:tc>
        <w:tc>
          <w:tcPr>
            <w:tcW w:w="1080" w:type="dxa"/>
          </w:tcPr>
          <w:p>
            <w:pPr>
              <w:spacing w:beforeLines="40" w:before="96" w:afterLines="40" w:after="96"/>
              <w:jc w:val="center"/>
              <w:rPr>
                <w:noProof/>
                <w:sz w:val="18"/>
              </w:rPr>
            </w:pPr>
            <w:r>
              <w:rPr>
                <w:noProof/>
                <w:sz w:val="16"/>
                <w:szCs w:val="16"/>
              </w:rPr>
              <w:t>ά.α</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EL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Ανακοίνωση της Επιτροπής προς το Ευρωπαϊκό Κοινοβούλιο, το Συμβούλιο και την Ευρωπαϊκή Οικονομική και Κοινωνική Επιτροπή σχετικά με τη συνέχεια που δίνεται στο σχέδιο δράσης για τον ΦΠΑ – Προς έναν ενιαίο χώρο ΦΠΑ στην ΕΕ – Η ώρα των αποφάσεων (COM(2017) 566 final), σημείο 2.1.1, σ. 3. Βλ. επίσης σημείο 6 των 20 μέτρων για την κάλυψη του ελλείμματος ΦΠΑ, παράρτημα στο σχέδιο δράσης για τον ΦΠΑ, το οποίο διατίθεται στη διεύθυνση:</w:t>
      </w:r>
    </w:p>
    <w:p>
      <w:pPr>
        <w:pStyle w:val="FootnoteText"/>
        <w:ind w:firstLine="0"/>
      </w:pPr>
      <w:hyperlink r:id="rId1" w:history="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Οδηγία (ΕΕ) 2017/2455 του Συμβουλίου, της 5ης Δεκεμβρίου 2017, για την τροποποίηση της οδηγίας 2006/112/ΕΚ και της οδηγίας 2009/132/ΕΚ όσον αφορά ορισμένες υποχρεώσεις που απορρέουν από τον φόρο προστιθέμενης αξίας για παροχές υπηρεσιών και πωλήσεις αγαθών εξ αποστάσεως (ΕΕ L 348 της 29.12.2017, σ. 7).</w:t>
      </w:r>
    </w:p>
  </w:footnote>
  <w:footnote w:id="4">
    <w:p>
      <w:pPr>
        <w:pStyle w:val="FootnoteText"/>
        <w:jc w:val="left"/>
      </w:pPr>
      <w:r>
        <w:rPr>
          <w:rStyle w:val="FootnoteReference"/>
        </w:rPr>
        <w:footnoteRef/>
      </w:r>
      <w:r>
        <w:tab/>
        <w:t xml:space="preserve">Συμβούλιο της Ευρωπαϊκής Ένωσης 14769/1/17 REV 1, 30 Νοεμβρίου 2017, </w:t>
      </w:r>
      <w:hyperlink r:id="rId2" w:history="1">
        <w:r>
          <w:rPr>
            <w:rStyle w:val="Hyperlink"/>
          </w:rPr>
          <w:t>http://data.consilium.europa.eu/doc/document/ST-14769-2017-REV-1/EL/pdf</w:t>
        </w:r>
      </w:hyperlink>
    </w:p>
  </w:footnote>
  <w:footnote w:id="5">
    <w:p>
      <w:pPr>
        <w:pStyle w:val="FootnoteText"/>
        <w:jc w:val="left"/>
      </w:pPr>
      <w:r>
        <w:rPr>
          <w:rStyle w:val="FootnoteReference"/>
        </w:rPr>
        <w:footnoteRef/>
      </w:r>
      <w:r>
        <w:tab/>
        <w:t xml:space="preserve">Εφαρμογή της στρατηγικής για την ψηφιακή ενιαία αγορά (COM(2017) 228 final, 10.5.2017) βλ.: </w:t>
      </w:r>
    </w:p>
    <w:p>
      <w:pPr>
        <w:pStyle w:val="FootnoteText"/>
        <w:ind w:firstLine="0"/>
        <w:jc w:val="left"/>
      </w:pPr>
      <w:r>
        <w:rPr>
          <w:rStyle w:val="Hyperlink"/>
        </w:rPr>
        <w:t>https://eur-lex.europa.eu/legal-content/EL/TXT/?qid=1496330315823&amp;uri=CELEX:52017DC0228</w:t>
      </w:r>
    </w:p>
  </w:footnote>
  <w:footnote w:id="6">
    <w:p>
      <w:pPr>
        <w:pStyle w:val="FootnoteText"/>
      </w:pPr>
      <w:r>
        <w:rPr>
          <w:rStyle w:val="FootnoteReference"/>
        </w:rPr>
        <w:footnoteRef/>
      </w:r>
      <w:r>
        <w:tab/>
        <w:t>Με βάση το άρθρο 14α της οδηγίας 2006/112/ΕΚ του Συμβουλίου, οι ηλεκτρονικές αγορές, οι πλατφόρμες και οι διαδικτυακές πύλες θα θεωρούνται πλέον προμηθευτές όσον αφορά τις πωλήσεις αγαθών που διευκολύνονται μέσω των ηλεκτρονικών διεπαφών τους. Οι προμηθευτές αυτοί θα θεωρείται ότι έχουν οι ίδιοι παραλάβει και παραδώσει τα εν λόγω αγαθά για α) εξ αποστάσεως πωλήσεις αγαθών εισαγόμενων από τρίτα εδάφη ή τρίτες χώρες με αξία που δεν υπερβαίνει τα 150 EUR και β) παραδόσεις από επιχειρήσεις σε πελάτες (B2C) αγαθών που βρίσκονται ήδη στην ΕΕ (για την ακρίβεια σε εγκαταστάσεις διεκπεραίωσης), από υποκείμενους στον φόρο μη εγκατεστημένους στην ΕΕ, οι οποίες διευκολύνονται μέσω αυτών των πλατφορμών.</w:t>
      </w:r>
    </w:p>
  </w:footnote>
  <w:footnote w:id="7">
    <w:p>
      <w:pPr>
        <w:pStyle w:val="FootnoteText"/>
      </w:pPr>
      <w:r>
        <w:rPr>
          <w:rStyle w:val="FootnoteReference"/>
        </w:rPr>
        <w:footnoteRef/>
      </w:r>
      <w:r>
        <w:tab/>
        <w:t>Ευρωπαϊκό Ελεγκτικό Συνέδριο, Έγγραφο εργασίας, Είσπραξη ΦΠΑ και δασμών στο διασυνοριακό ηλεκτρονικό εμπόριο, Ιούλιος 2018.</w:t>
      </w:r>
    </w:p>
  </w:footnote>
  <w:footnote w:id="8">
    <w:p>
      <w:pPr>
        <w:pStyle w:val="FootnoteText"/>
      </w:pPr>
      <w:r>
        <w:rPr>
          <w:rStyle w:val="FootnoteReference"/>
        </w:rPr>
        <w:footnoteRef/>
      </w:r>
      <w:r>
        <w:tab/>
        <w:t>Στην κατηγορία αυτή εντάσσονται και τα τρίτα εδάφη που αναφέρονται στο άρθρο 6.</w:t>
      </w:r>
    </w:p>
  </w:footnote>
  <w:footnote w:id="9">
    <w:p>
      <w:pPr>
        <w:pStyle w:val="FootnoteText"/>
      </w:pPr>
      <w:r>
        <w:rPr>
          <w:rStyle w:val="FootnoteReference"/>
        </w:rPr>
        <w:footnoteRef/>
      </w:r>
      <w:r>
        <w:tab/>
        <w:t xml:space="preserve">Βλ. πρόταση οδηγίας του Συμβουλίου για την τροποποίηση της οδηγίας 2006/112/ΕΚ και της οδηγίας 2009/132/ΕΚ όσον αφορά ορισμένες υποχρεώσεις που απορρέουν από τον φόρο προστιθέμενης αξίας για παροχές υπηρεσιών και πωλήσεις αγαθών εξ αποστάσεως (COM(2016) 757 final), σ. 2. </w:t>
      </w:r>
    </w:p>
  </w:footnote>
  <w:footnote w:id="10">
    <w:p>
      <w:pPr>
        <w:pStyle w:val="FootnoteText"/>
      </w:pPr>
      <w:r>
        <w:rPr>
          <w:rStyle w:val="FootnoteReference"/>
        </w:rPr>
        <w:footnoteRef/>
      </w:r>
      <w:r>
        <w:tab/>
        <w:t xml:space="preserve">Ο όγκος των παράνομων τηλεοπτικών εκπομπών στη Λετονία το 2015, Stockholm school of economics, Nelegālās maksas TV apraides apjoms Latvijā 2015, έγγραφο διαθέσιμο στον ιστότοπο: </w:t>
      </w:r>
      <w:r>
        <w:tab/>
        <w:t xml:space="preserve"> </w:t>
      </w:r>
      <w:hyperlink r:id="rId3" w:history="1">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Ευρωπόλ και Γραφείο Διανοητικής Ιδιοκτησίας της Ευρωπαϊκής Ένωσης: Έρευνα για την κατάσταση της παραχάραξης και της πειρατείας στην Ευρωπαϊκή Ένωση το 2017, διαθέσιμη στον ιστότοπο </w:t>
      </w:r>
      <w:hyperlink r:id="rId4" w:history="1">
        <w:r>
          <w:rPr>
            <w:rStyle w:val="Hyperlink"/>
          </w:rPr>
          <w:t>www.europol.europa.eu/publications-documents/2017-situation-report-counterfeiting-and-piracy-in-european-union</w:t>
        </w:r>
      </w:hyperlink>
    </w:p>
  </w:footnote>
  <w:footnote w:id="12">
    <w:p>
      <w:pPr>
        <w:pStyle w:val="FootnoteText"/>
      </w:pPr>
      <w:r>
        <w:rPr>
          <w:rStyle w:val="FootnoteReference"/>
        </w:rPr>
        <w:footnoteRef/>
      </w:r>
      <w:r>
        <w:tab/>
        <w:t xml:space="preserve">Nordic Content Protection: Έκθεση για τις τάσεις του 2017, διαθέσιμη στον ιστότοπο: </w:t>
      </w:r>
      <w:hyperlink r:id="rId5" w:history="1">
        <w:r>
          <w:rPr>
            <w:rStyle w:val="Hyperlink"/>
          </w:rPr>
          <w:t>www.ncprotection.com/wp-content/uploads/2017/03/Trend-Report-2017.pdf</w:t>
        </w:r>
      </w:hyperlink>
    </w:p>
  </w:footnote>
  <w:footnote w:id="13">
    <w:p>
      <w:pPr>
        <w:pStyle w:val="FootnoteText"/>
      </w:pPr>
      <w:r>
        <w:rPr>
          <w:rStyle w:val="FootnoteReference"/>
        </w:rPr>
        <w:footnoteRef/>
      </w:r>
      <w:r>
        <w:tab/>
        <w:t xml:space="preserve">Βλ.: </w:t>
      </w:r>
      <w:hyperlink r:id="rId6" w:history="1">
        <w:r>
          <w:rPr>
            <w:rStyle w:val="Hyperlink"/>
          </w:rPr>
          <w:t>www.ofcom.org.uk/__data/assets/pdf_file/0027/95661/ICMR-2016-4.pdf</w:t>
        </w:r>
      </w:hyperlink>
    </w:p>
  </w:footnote>
  <w:footnote w:id="14">
    <w:p>
      <w:pPr>
        <w:pStyle w:val="FootnoteText"/>
      </w:pPr>
      <w:r>
        <w:rPr>
          <w:rStyle w:val="FootnoteReference"/>
        </w:rPr>
        <w:footnoteRef/>
      </w:r>
      <w:r>
        <w:tab/>
        <w:t>Τα ποσά έχουν υπολογιστεί με τους κανονικούς φορολογικούς συντελεστές, χωρίς να ληφθούν υπόψη οι μειωμένοι συντελεστές</w:t>
      </w:r>
    </w:p>
  </w:footnote>
  <w:footnote w:id="15">
    <w:p>
      <w:pPr>
        <w:pStyle w:val="FootnoteText"/>
      </w:pPr>
      <w:r>
        <w:rPr>
          <w:rStyle w:val="FootnoteReference"/>
        </w:rPr>
        <w:footnoteRef/>
      </w:r>
      <w:r>
        <w:tab/>
        <w:t>Στην ειδική διαβούλευση που διενεργήθηκε για την εκπόνηση της παρούσας πρότασης, μόνο τρεις φορολογικές αρχές παρείχαν πρόχειρες εκτιμήσεις για τις απώλειες εσόδων από τον ΦΠΑ που επιβάλλεται στις ενδοενωσιακές παραδόσεις αγαθών από επιχειρήσεις σε πελάτες (B2C), στις ενδοενωσιακές παροχές υπηρεσιών από επιχειρήσεις σε πελάτες (B2C) και στις εισαγωγές αγαθών όσον αφορά τα έτη 2015, 2016 και 2017.</w:t>
      </w:r>
    </w:p>
  </w:footnote>
  <w:footnote w:id="16">
    <w:p>
      <w:pPr>
        <w:pStyle w:val="FootnoteText"/>
        <w:jc w:val="left"/>
      </w:pPr>
      <w:r>
        <w:rPr>
          <w:rStyle w:val="FootnoteReference"/>
        </w:rPr>
        <w:footnoteRef/>
      </w:r>
      <w:r>
        <w:tab/>
        <w:t xml:space="preserve">Βαρόμετρο ηλεκτρονικού εμπορίου 2017 (όμιλος DPD), διαθέσιμο στον ιστότοπο: </w:t>
      </w:r>
      <w:hyperlink r:id="rId7" w:history="1">
        <w:r>
          <w:rPr>
            <w:rStyle w:val="Hyperlink"/>
          </w:rPr>
          <w:t>https://www.dpd.com/be_en/business_customers/dpd_insights/e_shopper_barometer_2017</w:t>
        </w:r>
      </w:hyperlink>
      <w:r>
        <w:t xml:space="preserve"> και International Post Corporation, εφοδιαστική και παράδοση στο ηλεκτρονικό εμπόριο, eCom21 2016.</w:t>
      </w:r>
    </w:p>
  </w:footnote>
  <w:footnote w:id="17">
    <w:p>
      <w:pPr>
        <w:pStyle w:val="FootnoteText"/>
      </w:pPr>
      <w:r>
        <w:rPr>
          <w:rStyle w:val="FootnoteReference"/>
        </w:rPr>
        <w:footnoteRef/>
      </w:r>
      <w:r>
        <w:tab/>
        <w:t xml:space="preserve">Βλ.: </w:t>
      </w:r>
      <w:hyperlink r:id="rId8" w:history="1">
        <w:r>
          <w:rPr>
            <w:rStyle w:val="Hyperlink"/>
          </w:rPr>
          <w:t>https://www.atkearney.com/documents/10192/1448080/Winning+the+Growth+Challenge+in+Payments.pdf/b9da93a5-9687-419e-b166-0b25daf585ff</w:t>
        </w:r>
      </w:hyperlink>
      <w:r>
        <w:t>, σ. 5.</w:t>
      </w:r>
    </w:p>
  </w:footnote>
  <w:footnote w:id="18">
    <w:p>
      <w:pPr>
        <w:pStyle w:val="FootnoteText"/>
      </w:pPr>
      <w:r>
        <w:rPr>
          <w:rStyle w:val="FootnoteReference"/>
        </w:rPr>
        <w:footnoteRef/>
      </w:r>
      <w:r>
        <w:tab/>
        <w:t>Πιο συγκεκριμένα, η φινλανδική φορολογική αρχή μπόρεσε να εισπράξει 16 εκατ. EUR το 2016 χάρη στη συνεργασία της με τους παρόχους υπηρεσιών πληρωμών.</w:t>
      </w:r>
    </w:p>
  </w:footnote>
  <w:footnote w:id="19">
    <w:p>
      <w:pPr>
        <w:pStyle w:val="FootnoteText"/>
      </w:pPr>
      <w:r>
        <w:rPr>
          <w:rStyle w:val="FootnoteReference"/>
        </w:rPr>
        <w:footnoteRef/>
      </w:r>
      <w:r>
        <w:tab/>
        <w:t>Βλέπε παράρτημα 11 της εκτίμησης επιπτώσεων, «Τρίτες χώρες που χρησιμοποιούν δεδομένα για πληρωμές ως μέσο ελέγχου του ΦΠΑ».</w:t>
      </w:r>
    </w:p>
  </w:footnote>
  <w:footnote w:id="20">
    <w:p>
      <w:pPr>
        <w:pStyle w:val="FootnoteText"/>
        <w:jc w:val="left"/>
      </w:pPr>
      <w:r>
        <w:rPr>
          <w:rStyle w:val="FootnoteReference"/>
        </w:rPr>
        <w:footnoteRef/>
      </w:r>
      <w:r>
        <w:tab/>
        <w:t xml:space="preserve">Βλ.: </w:t>
      </w:r>
      <w:r>
        <w:rPr>
          <w:rStyle w:val="Hyperlink"/>
        </w:rPr>
        <w:t>https://ec.europa.eu/commission/sites/beta-political/files/juncker-political-guidelines-speech_el.pdf</w:t>
      </w:r>
    </w:p>
  </w:footnote>
  <w:footnote w:id="21">
    <w:p>
      <w:pPr>
        <w:pStyle w:val="FootnoteText"/>
      </w:pPr>
      <w:r>
        <w:rPr>
          <w:rStyle w:val="FootnoteReference"/>
        </w:rPr>
        <w:footnoteRef/>
      </w:r>
      <w:r>
        <w:tab/>
        <w:t xml:space="preserve">Βλ.: </w:t>
      </w:r>
      <w:hyperlink r:id="rId9" w:history="1">
        <w:r>
          <w:rPr>
            <w:rStyle w:val="Hyperlink"/>
          </w:rPr>
          <w:t>https://ec.europa.eu/commission/sites/beta-political/files/soteu2018-brochure_en.pdf</w:t>
        </w:r>
      </w:hyperlink>
      <w:r>
        <w:t xml:space="preserve"> </w:t>
      </w:r>
    </w:p>
  </w:footnote>
  <w:footnote w:id="22">
    <w:p>
      <w:pPr>
        <w:pStyle w:val="FootnoteText"/>
      </w:pPr>
      <w:r>
        <w:rPr>
          <w:rStyle w:val="FootnoteReference"/>
        </w:rPr>
        <w:footnoteRef/>
      </w:r>
      <w:r>
        <w:rPr>
          <w:sz w:val="16"/>
        </w:rPr>
        <w:tab/>
      </w:r>
      <w:r>
        <w:t>Κανονισμός (ΕΕ) 2018/1541 του Συμβουλίου, της 2ας Οκτωβρίου 2018, για την τροποποίηση των κανονισμών (ΕΕ) αριθ. 904/2010 και (ΕΕ) 2017/2454 σχετικά με μέτρα ενίσχυσης της διοικητικής συνεργασίας στον τομέα του φόρου προστιθέμενης αξίας (ΕΕ L 259 της 16.10.2018, σ. 1).</w:t>
      </w:r>
    </w:p>
  </w:footnote>
  <w:footnote w:id="23">
    <w:p>
      <w:pPr>
        <w:pStyle w:val="FootnoteText"/>
      </w:pPr>
      <w:r>
        <w:rPr>
          <w:rStyle w:val="FootnoteReference"/>
        </w:rPr>
        <w:footnoteRef/>
      </w:r>
      <w:r>
        <w:tab/>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(ΕΕ L 268 της 12.10.2010, σ. 1).</w:t>
      </w:r>
    </w:p>
  </w:footnote>
  <w:footnote w:id="24">
    <w:p>
      <w:pPr>
        <w:pStyle w:val="FootnoteText"/>
      </w:pPr>
      <w:r>
        <w:rPr>
          <w:rStyle w:val="FootnoteReference"/>
        </w:rPr>
        <w:footnoteRef/>
      </w:r>
      <w:r>
        <w:tab/>
        <w:t>Το φόρουμ της ΕΕ για τον ΦΠΑ αποτελεί ομάδα εμπειρογνωμόνων της Επιτροπής που προσφέρει βήμα συζήτησης στις επιχειρήσεις και στις αρμόδιες για τον ΦΠΑ αρχές σχετικά με τον τρόπο με τον οποίο μπορεί να βελτιωθεί στην πράξη η εφαρμογή της νομοθεσίας περί ΦΠΑ. Βλέπε απόφαση της Επιτροπής της 3ης Ιουλίου 2012 για τη σύσταση του φόρουμ της ΕΕ για τον ΦΠΑ (ΕΕ C 198 της 6.7.2012, σ. 4).</w:t>
      </w:r>
    </w:p>
  </w:footnote>
  <w:footnote w:id="25">
    <w:p>
      <w:pPr>
        <w:pStyle w:val="FootnoteText"/>
      </w:pPr>
      <w:r>
        <w:rPr>
          <w:rStyle w:val="FootnoteReference"/>
        </w:rPr>
        <w:footnoteRef/>
      </w:r>
      <w:r>
        <w:tab/>
        <w:t xml:space="preserve">Ενοποιημένη έκθεση για τη συνεργασία μεταξύ των κρατών μελών και των επιχειρήσεων στον τομέα του ηλεκτρονικού εμπορίου/σύγχρονου εμπορίου, σ. 5. Βλ.: </w:t>
      </w:r>
      <w:hyperlink r:id="rId10" w:history="1">
        <w:r>
          <w:rPr>
            <w:rStyle w:val="Hyperlink"/>
          </w:rPr>
          <w:t>https://ec.europa.eu/taxation_customs/business/vat/vat-reports-published_en</w:t>
        </w:r>
      </w:hyperlink>
    </w:p>
  </w:footnote>
  <w:footnote w:id="26">
    <w:p>
      <w:pPr>
        <w:pStyle w:val="FootnoteText"/>
      </w:pPr>
      <w:r>
        <w:rPr>
          <w:rStyle w:val="FootnoteReference"/>
        </w:rPr>
        <w:footnoteRef/>
      </w:r>
      <w:r>
        <w:tab/>
        <w:t xml:space="preserve">Βλ.: </w:t>
      </w:r>
      <w:hyperlink r:id="rId11" w:history="1">
        <w:r>
          <w:rPr>
            <w:rStyle w:val="Hyperlink"/>
          </w:rPr>
          <w:t>https://www.consilium.europa.eu/el/press/press-releases/2018/02/06/eu-norway-agreement-signed-strengthening-the-prevention-of-vat-fraud/</w:t>
        </w:r>
      </w:hyperlink>
    </w:p>
  </w:footnote>
  <w:footnote w:id="27">
    <w:p>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ΕΕ L 119 της 4.5.2016, σ. 1.</w:t>
      </w:r>
    </w:p>
  </w:footnote>
  <w:footnote w:id="28">
    <w:p>
      <w:pPr>
        <w:pStyle w:val="FootnoteText"/>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29">
    <w:p>
      <w:pPr>
        <w:pStyle w:val="FootnoteText"/>
      </w:pPr>
      <w:r>
        <w:rPr>
          <w:rStyle w:val="FootnoteReference"/>
        </w:rPr>
        <w:footnoteRef/>
      </w:r>
      <w:r>
        <w:tab/>
        <w:t>Χάρτης Θεμελιωδών Δικαιωμάτων της Ευρωπαϊκής Ένωσης (ΕΕ C 326 της 26.10.2012, σ. 391).</w:t>
      </w:r>
    </w:p>
  </w:footnote>
  <w:footnote w:id="30">
    <w:p>
      <w:pPr>
        <w:pStyle w:val="FootnoteText"/>
      </w:pPr>
      <w:r>
        <w:rPr>
          <w:rStyle w:val="FootnoteReference"/>
        </w:rPr>
        <w:footnoteRef/>
      </w:r>
      <w:r>
        <w:tab/>
        <w:t xml:space="preserve">Η Επιτροπή δημοσίευσε άλλωστε τον χάρτη πορείας σε συνδυασμό με την αρχική εκτίμηση επιπτώσεων (βλ.: </w:t>
      </w:r>
      <w:hyperlink r:id="rId12" w:history="1">
        <w:r>
          <w:rPr>
            <w:rStyle w:val="Hyperlink"/>
          </w:rPr>
          <w:t>http://ec.europa.eu/info/law/better-regulation/initiatives/ares-2018-899238_en</w:t>
        </w:r>
      </w:hyperlink>
      <w:r>
        <w:t>) «Ανταλλαγή δεδομένων για πληρωμές σχετικές με ΦΠΑ», προκειμένου να εισακούσει τις πρώτες παρατηρήσεις για την πρωτοβουλία. Κατά τη διάρκεια της περιόδου υποβολής παρατηρήσεων (15 Φεβρουαρίου 2018 - 15 Μαρτίου 2018), η Επιτροπή έλαβε μόνο τρεις απαντήσεις. Οι δύο από αυτές υποστήριζαν την πρωτοβουλία και η τρίτη δεν ήταν συναφής με το περιεχόμενο της πρωτοβουλίας.</w:t>
      </w:r>
    </w:p>
  </w:footnote>
  <w:footnote w:id="31">
    <w:p>
      <w:pPr>
        <w:pStyle w:val="FootnoteText"/>
        <w:rPr>
          <w:rFonts w:eastAsia="Arial Unicode MS"/>
        </w:rPr>
      </w:pPr>
      <w:r>
        <w:rPr>
          <w:rStyle w:val="FootnoteReference"/>
        </w:rPr>
        <w:footnoteRef/>
      </w:r>
      <w:r>
        <w:tab/>
        <w:t>Το δελτίο συνοπτικής παρουσίασης είναι διαθέσιμο στην ακόλουθη σελίδα:</w:t>
      </w:r>
    </w:p>
    <w:p>
      <w:pPr>
        <w:pStyle w:val="FootnoteText"/>
        <w:ind w:firstLine="0"/>
      </w:pPr>
      <w:hyperlink r:id="rId13" w:history="1">
        <w:r>
          <w:rPr>
            <w:rStyle w:val="Hyperlink"/>
          </w:rPr>
          <w:t>http://ec.europa.eu/transparency/regdoc/index.cfm?fuseaction=list&amp;coteId=10102&amp;version=ALL&amp;p=1&amp;</w:t>
        </w:r>
      </w:hyperlink>
      <w:r>
        <w:rPr>
          <w:rStyle w:val="Hyperlink"/>
        </w:rPr>
        <w:t>http://ec.europa.eu/transparency/regdoc/index.cfm?fuseaction=list&amp;coteId=10102&amp;version=ALL&amp;p=1&amp;</w:t>
      </w:r>
    </w:p>
  </w:footnote>
  <w:footnote w:id="32">
    <w:p>
      <w:pPr>
        <w:pStyle w:val="FootnoteText"/>
      </w:pPr>
      <w:r>
        <w:rPr>
          <w:rStyle w:val="FootnoteReference"/>
        </w:rPr>
        <w:footnoteRef/>
      </w:r>
      <w:r>
        <w:tab/>
        <w:t>Είναι δυνατό να επιβάλλονται περιορισμοί στο δικαίωμα ενημέρωσης με διαφανή τρόπο σχετικά με: την επεξεργασία δεδομένων (άρθρα 12, 13 και 14)· την πρόσβαση σε δεδομένα (άρθρο 15)· τη διόρθωση δεδομένων (άρθρο 16)· τη διαγραφή δεδομένων (άρθρο 17)· τον περιορισμό της επεξεργασίας δεδομένων (άρθρο 18)· τη γνωστοποίηση όσον αφορά τη διόρθωση ή τη διαγραφή δεδομένων (άρθρο 19)· την παραλαβή δεδομένων σε δομημένο και κοινό μορφότυπο - φορητότητα δεδομένων (άρθρο 20)· το δικαίωμα εναντίωσης (άρθρο 21)· το δικαίωμα του υποκειμένου των δεδομένων να μην υπόκειται σε αυτοματοποιημένη επεξεργασία και κατάρτιση προφίλ (άρθρο 22).</w:t>
      </w:r>
    </w:p>
  </w:footnote>
  <w:footnote w:id="33">
    <w:p>
      <w:pPr>
        <w:pStyle w:val="FootnoteText"/>
      </w:pPr>
      <w:r>
        <w:rPr>
          <w:rStyle w:val="FootnoteReference"/>
        </w:rPr>
        <w:footnoteRef/>
      </w:r>
      <w:r>
        <w:tab/>
        <w:t>Άρθρο 23 του ΓΚΠΔ και άρθρο 25 του κανονισμού (ΕΕ) 2018/1725.</w:t>
      </w:r>
    </w:p>
  </w:footnote>
  <w:footnote w:id="34">
    <w:p>
      <w:pPr>
        <w:pStyle w:val="FootnoteText"/>
      </w:pPr>
      <w:r>
        <w:rPr>
          <w:rStyle w:val="FootnoteReference"/>
        </w:rPr>
        <w:footnoteRef/>
      </w:r>
      <w:r>
        <w:tab/>
        <w:t xml:space="preserve">Οι υπάλληλοι-σύνδεσμοι του Eurofisc είναι εμπειρογνώμονες των φορολογικών αρχών που ειδικεύονται στην καταπολέμηση της απάτης και διορίζονται από τα κράτη μέλη ως αρμόδιοι υπάλληλοι για την ανταλλαγή σημάτων έγκαιρης προειδοποίησης με σκοπό την καταπολέμηση της απάτης στον τομέα του ΦΠΑ. Κανονισμός (ΕΕ) αριθ. 904/2010, κεφάλαιο X. </w:t>
      </w:r>
    </w:p>
  </w:footnote>
  <w:footnote w:id="35">
    <w:p>
      <w:pPr>
        <w:pStyle w:val="FootnoteText"/>
      </w:pPr>
      <w:r>
        <w:rPr>
          <w:rStyle w:val="FootnoteReference"/>
        </w:rPr>
        <w:footnoteRef/>
      </w:r>
      <w:r>
        <w:tab/>
        <w:t>Η οργάνωση E-commerce Europe εκτίμησε ότι το 2017 ο κύκλος εργασιών του ηλεκτρονικού εμπορίου ανήλθε σε 602 δισ. EUR στις βόρειες, ανατολικές και νότιες περιφέρειες της Ευρώπης.</w:t>
      </w:r>
    </w:p>
  </w:footnote>
  <w:footnote w:id="36">
    <w:p>
      <w:pPr>
        <w:pStyle w:val="FootnoteText"/>
      </w:pPr>
      <w:r>
        <w:rPr>
          <w:rStyle w:val="FootnoteReference"/>
        </w:rPr>
        <w:footnoteRef/>
      </w:r>
      <w:r>
        <w:tab/>
        <w:t>Η μόνιμη επιτροπή διοικητικής συνεργασίας (SCAC) αποτελείται από εκπροσώπους των κρατών μελών και η προεδρία της ασκείται από την Επιτροπή. Η SCAC είναι υπεύθυνη για την εφαρμογή του κανονισμού (ΕΕ) αριθ. 904/2010.</w:t>
      </w:r>
    </w:p>
  </w:footnote>
  <w:footnote w:id="37">
    <w:p>
      <w:pPr>
        <w:pStyle w:val="FootnoteText"/>
      </w:pPr>
      <w:r>
        <w:rPr>
          <w:rStyle w:val="FootnoteReference"/>
        </w:rPr>
        <w:footnoteRef/>
      </w:r>
      <w:r>
        <w:tab/>
        <w:t>Πρόταση κανονισμού του Ευρωπαϊκού Κοινοβουλίου και του Συμβουλίου σχετικά με τη θέσπιση του προγράμματος «Fiscalis» για τη συνεργασία στον τομέα της φορολογίας (COM(2018) 443 final), άρθρο 18.</w:t>
      </w:r>
    </w:p>
  </w:footnote>
  <w:footnote w:id="38">
    <w:p>
      <w:pPr>
        <w:pStyle w:val="FootnoteText"/>
      </w:pPr>
      <w:r>
        <w:rPr>
          <w:rStyle w:val="FootnoteReference"/>
        </w:rPr>
        <w:footnoteRef/>
      </w:r>
      <w:r>
        <w:tab/>
        <w:t>Οδηγία (ΕΕ) 2015/2366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2013/36/ΕΕ και του κανονισμού (ΕΕ) αριθ. 1093/2010 και την κατάργηση της οδηγίας 2007/64/ΕΚ (Κείμενο που παρουσιάζει ενδιαφέρον για τον ΕΟΧ) (ΕΕ L 337 της 23.12.2015, σ. 35).</w:t>
      </w:r>
    </w:p>
  </w:footnote>
  <w:footnote w:id="39">
    <w:p>
      <w:pPr>
        <w:pStyle w:val="FootnoteText"/>
      </w:pPr>
      <w:r>
        <w:rPr>
          <w:rStyle w:val="FootnoteReference"/>
        </w:rPr>
        <w:footnoteRef/>
      </w:r>
      <w:r>
        <w:tab/>
        <w:t>«Δικαιούχος»: το φυσικό ή νομικό πρόσωπο που είναι ο τελικός αποδέκτης των χρηματικών ποσών τα οποία αποτελούν αντικείμενο της πράξης πληρωμής (άρθρο 4 σημείο 9 της οδηγίας PSD2).</w:t>
      </w:r>
    </w:p>
  </w:footnote>
  <w:footnote w:id="40">
    <w:p>
      <w:pPr>
        <w:pStyle w:val="FootnoteText"/>
      </w:pPr>
      <w:r>
        <w:rPr>
          <w:rStyle w:val="FootnoteReference"/>
        </w:rPr>
        <w:footnoteRef/>
      </w:r>
      <w:r>
        <w:tab/>
        <w:t>«Πληρωτής»: το φυσικό ή νομικό πρόσωπο το οποίο διατηρεί λογαριασμό πληρωμών και επιτρέπει εντολή πληρωμής από αυτό τον λογαριασμό ή, εάν δεν υπάρχει λογαριασμός πληρωμών, το φυσικό ή νομικό πρόσωπο που δίνει εντολή πληρωμής (άρθρο 9 παράγραφος 8 της οδηγίας PSD2).</w:t>
      </w:r>
    </w:p>
  </w:footnote>
  <w:footnote w:id="41">
    <w:p>
      <w:pPr>
        <w:pStyle w:val="FootnoteText"/>
      </w:pPr>
      <w:r>
        <w:rPr>
          <w:rStyle w:val="FootnoteReference"/>
        </w:rPr>
        <w:footnoteRef/>
      </w:r>
      <w:r>
        <w:tab/>
      </w:r>
      <w:hyperlink r:id="rId14" w:history="1">
        <w:r>
          <w:rPr>
            <w:rStyle w:val="Hyperlink"/>
          </w:rPr>
          <w:t>https://www.statista.com/statistics/239247/global-online-shopping-order-values-by-device</w:t>
        </w:r>
      </w:hyperlink>
    </w:p>
  </w:footnote>
  <w:footnote w:id="42">
    <w:p>
      <w:pPr>
        <w:pStyle w:val="FootnoteText"/>
      </w:pPr>
      <w:r>
        <w:rPr>
          <w:rStyle w:val="FootnoteReference"/>
        </w:rPr>
        <w:footnoteRef/>
      </w:r>
      <w:r>
        <w:tab/>
        <w:t>Κανονισμός (ΕΕ) αριθ. 260/2012 του Ευρωπαϊκού Κοινοβουλίου και του Συμβουλίου, της 14ης Μαρτίου 2012, σχετικά με την καθιέρωση τεχνικών απαιτήσεων και επιχειρηματικών κανόνων για τις μεταφορές πίστωσης και τις άμεσες χρεώσεις σε ευρώ (ΕΕ L 94 της 30.3.2012, σ. 22), ο οποίος αποκαλείται και κανονισμός για τον ενιαίο χώρο πληρωμών σε ευρώ (SEPA).</w:t>
      </w:r>
    </w:p>
  </w:footnote>
  <w:footnote w:id="43">
    <w:p>
      <w:pPr>
        <w:pStyle w:val="FootnoteText"/>
      </w:pPr>
      <w:r>
        <w:rPr>
          <w:rStyle w:val="FootnoteReference"/>
        </w:rPr>
        <w:footnoteRef/>
      </w:r>
      <w:r>
        <w:tab/>
        <w:t>ΕΕ C της , σ. .</w:t>
      </w:r>
    </w:p>
  </w:footnote>
  <w:footnote w:id="44">
    <w:p>
      <w:pPr>
        <w:pStyle w:val="FootnoteText"/>
      </w:pPr>
      <w:r>
        <w:rPr>
          <w:rStyle w:val="FootnoteReference"/>
        </w:rPr>
        <w:footnoteRef/>
      </w:r>
      <w:r>
        <w:tab/>
        <w:t>ΕΕ C της , σ. .</w:t>
      </w:r>
    </w:p>
  </w:footnote>
  <w:footnote w:id="45">
    <w:p>
      <w:pPr>
        <w:pStyle w:val="FootnoteText"/>
      </w:pPr>
      <w:r>
        <w:rPr>
          <w:rStyle w:val="FootnoteReference"/>
        </w:rPr>
        <w:footnoteRef/>
      </w:r>
      <w:r>
        <w:tab/>
        <w:t>Οδηγία 2006/112/ΕΚ του Συμβουλίου, της 28ης Νοεμβρίου 2006, σχετικά με το κοινό σύστημα φόρου προστιθέμενης αξίας (ΕΕ L 347 της 11.12.2006, σ. 1).</w:t>
      </w:r>
    </w:p>
  </w:footnote>
  <w:footnote w:id="46">
    <w:p>
      <w:pPr>
        <w:pStyle w:val="FootnoteText"/>
      </w:pPr>
      <w:r>
        <w:rPr>
          <w:rStyle w:val="FootnoteReference"/>
        </w:rPr>
        <w:footnoteRef/>
      </w:r>
      <w:r>
        <w:tab/>
        <w:t>Εκτελεστικός κανονισμός (ΕΕ) αριθ. 282/2011 του Συμβουλίου, της 15ης Μαρτίου 2011, για τη θέσπιση μέτρων εφαρμογής της οδηγίας 2006/112/ΕΚ σχετικά με το κοινό σύστημα φόρου προστιθέμενης αξίας (ΕΕ L 77 της 23.3.2011, σ. 1).</w:t>
      </w:r>
    </w:p>
  </w:footnote>
  <w:footnote w:id="47">
    <w:p>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48">
    <w:p>
      <w:pPr>
        <w:pStyle w:val="FootnoteText"/>
      </w:pPr>
      <w:r>
        <w:rPr>
          <w:rStyle w:val="FootnoteReference"/>
        </w:rPr>
        <w:footnoteRef/>
      </w:r>
      <w:r>
        <w:tab/>
        <w:t>Κανονισμός (ΕΕ) αριθ. 904/2010 του Συμβουλίου, της 7ης Οκτωβρίου 2010, για τη διοικητική συνεργασία και την καταπολέμηση της απάτης στον τομέα του φόρου προστιθέμενης αξίας (ΕΕ L 268 της 12.10.2010, σ. 1).</w:t>
      </w:r>
    </w:p>
  </w:footnote>
  <w:footnote w:id="49">
    <w:p>
      <w:pPr>
        <w:pStyle w:val="FootnoteText"/>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50">
    <w:p>
      <w:pPr>
        <w:pStyle w:val="FootnoteText"/>
      </w:pPr>
      <w:r>
        <w:rPr>
          <w:rStyle w:val="FootnoteReference"/>
        </w:rPr>
        <w:footnoteRef/>
      </w:r>
      <w:r>
        <w:tab/>
        <w:t>ΕΕ C […] της […], σ. […].</w:t>
      </w:r>
    </w:p>
  </w:footnote>
  <w:footnote w:id="51">
    <w:p>
      <w:pPr>
        <w:pStyle w:val="FootnoteText"/>
        <w:rPr>
          <w:szCs w:val="24"/>
        </w:rPr>
      </w:pPr>
      <w:r>
        <w:rPr>
          <w:rStyle w:val="FootnoteReference"/>
        </w:rPr>
        <w:footnoteRef/>
      </w:r>
      <w:r>
        <w:tab/>
        <w:t>Όπως αναφέρεται στο άρθρο 58 παράγραφος 2 στοιχείο α) ή β) του δημοσιονομικού κανονισμού.</w:t>
      </w:r>
    </w:p>
  </w:footnote>
  <w:footnote w:id="52">
    <w:p>
      <w:pPr>
        <w:pStyle w:val="FootnoteText"/>
        <w:jc w:val="lef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της ΓΔ BUDG: </w:t>
      </w:r>
      <w:hyperlink r:id="rId15" w:history="1">
        <w:r>
          <w:rPr>
            <w:rStyle w:val="Hyperlink"/>
          </w:rPr>
          <w:t>https://myintracomm.ec.europa.eu/budgweb/EN/man/budgmanag/Pages/budgmanag.aspx</w:t>
        </w:r>
      </w:hyperlink>
    </w:p>
  </w:footnote>
  <w:footnote w:id="53">
    <w:p>
      <w:pPr>
        <w:pStyle w:val="FootnoteText"/>
        <w:rPr>
          <w:szCs w:val="24"/>
        </w:rPr>
      </w:pPr>
      <w:r>
        <w:rPr>
          <w:rStyle w:val="FootnoteReference"/>
        </w:rPr>
        <w:footnoteRef/>
      </w:r>
      <w:r>
        <w:tab/>
        <w:t>ΔΠ = Διαχωριζόμενες πιστώσεις / ΜΔΠ = Μη διαχωριζόμενες πιστώσεις.</w:t>
      </w:r>
    </w:p>
  </w:footnote>
  <w:footnote w:id="54">
    <w:p>
      <w:pPr>
        <w:pStyle w:val="FootnoteText"/>
        <w:rPr>
          <w:szCs w:val="24"/>
        </w:rPr>
      </w:pPr>
      <w:r>
        <w:rPr>
          <w:rStyle w:val="FootnoteReference"/>
        </w:rPr>
        <w:footnoteRef/>
      </w:r>
      <w:r>
        <w:tab/>
        <w:t>ΕΖΕΣ: Ευρωπαϊκή Ζώνη Ελεύθερων Συναλλαγών.</w:t>
      </w:r>
    </w:p>
  </w:footnote>
  <w:footnote w:id="55">
    <w:p>
      <w:pPr>
        <w:pStyle w:val="FootnoteText"/>
      </w:pPr>
      <w:r>
        <w:rPr>
          <w:rStyle w:val="FootnoteReference"/>
        </w:rPr>
        <w:footnoteRef/>
      </w:r>
      <w:r>
        <w:tab/>
        <w:t>Υποψήφιες χώρες και, κατά περίπτωση, δυνάμει υποψήφιες για ένταξη χώρες των Δυτικών Βαλκανίων.</w:t>
      </w:r>
    </w:p>
  </w:footnote>
  <w:footnote w:id="56">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57">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58">
    <w:p>
      <w:pPr>
        <w:pStyle w:val="FootnoteText"/>
        <w:rPr>
          <w:szCs w:val="24"/>
        </w:rPr>
      </w:pPr>
      <w:r>
        <w:rPr>
          <w:rStyle w:val="FootnoteReference"/>
        </w:rPr>
        <w:footnoteRef/>
      </w:r>
      <w:r>
        <w:tab/>
        <w:t>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w:t>
      </w:r>
    </w:p>
  </w:footnote>
  <w:footnote w:id="59">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60">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20 %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22"/>
  </w:num>
  <w:num w:numId="25">
    <w:abstractNumId w:val="11"/>
  </w:num>
  <w:num w:numId="26">
    <w:abstractNumId w:val="13"/>
  </w:num>
  <w:num w:numId="27">
    <w:abstractNumId w:val="9"/>
  </w:num>
  <w:num w:numId="28">
    <w:abstractNumId w:val="21"/>
  </w:num>
  <w:num w:numId="29">
    <w:abstractNumId w:val="8"/>
  </w:num>
  <w:num w:numId="30">
    <w:abstractNumId w:val="14"/>
  </w:num>
  <w:num w:numId="31">
    <w:abstractNumId w:val="18"/>
  </w:num>
  <w:num w:numId="32">
    <w:abstractNumId w:val="19"/>
  </w:num>
  <w:num w:numId="33">
    <w:abstractNumId w:val="10"/>
  </w:num>
  <w:num w:numId="34">
    <w:abstractNumId w:val="17"/>
  </w:num>
  <w:num w:numId="35">
    <w:abstractNumId w:val="23"/>
  </w:num>
  <w:num w:numId="36">
    <w:abstractNumId w:val="20"/>
  </w:num>
  <w:num w:numId="37">
    <w:abstractNumId w:val="12"/>
  </w:num>
  <w:num w:numId="38">
    <w:abstractNumId w:val="22"/>
  </w:num>
  <w:num w:numId="39">
    <w:abstractNumId w:val="11"/>
  </w:num>
  <w:num w:numId="40">
    <w:abstractNumId w:val="13"/>
  </w:num>
  <w:num w:numId="41">
    <w:abstractNumId w:val="9"/>
  </w:num>
  <w:num w:numId="42">
    <w:abstractNumId w:val="21"/>
  </w:num>
  <w:num w:numId="43">
    <w:abstractNumId w:val="8"/>
  </w:num>
  <w:num w:numId="44">
    <w:abstractNumId w:val="14"/>
  </w:num>
  <w:num w:numId="45">
    <w:abstractNumId w:val="18"/>
  </w:num>
  <w:num w:numId="46">
    <w:abstractNumId w:val="19"/>
  </w:num>
  <w:num w:numId="47">
    <w:abstractNumId w:val="10"/>
  </w:num>
  <w:num w:numId="48">
    <w:abstractNumId w:val="17"/>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6:16: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D5C974B-DC7D-4E22-8CF8-9E57D03BE725"/>
    <w:docVar w:name="LW_COVERPAGE_TYPE" w:val="1"/>
    <w:docVar w:name="LW_CROSSREFERENCE" w:val="{COM(2018) 813 final} - {SEC(2018) 495 final} - {SWD(2018) 487 final} - {SWD(2018) 488 final}"/>
    <w:docVar w:name="LW_DocType" w:val="COM"/>
    <w:docVar w:name="LW_EMISSION" w:val="12.12.2018"/>
    <w:docVar w:name="LW_EMISSION_ISODATE" w:val="2018-12-12"/>
    <w:docVar w:name="LW_EMISSION_LOCATION" w:val="BRX"/>
    <w:docVar w:name="LW_EMISSION_PREFIX" w:val="Βρυξέλλες,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59?\u948?\u951?\u947?\u943?\u945?\u962? 2006/112/\u917?\u922? \u972?\u963?\u959?\u957? \u945?\u966?\u959?\u961?\u940? \u964?\u951? \u952?\u941?\u963?\u960?\u953?\u963?\u951? \u959?\u961?\u953?\u963?\u956?\u941?\u957?\u969?\u957? \u945?\u960?\u945?\u953?\u964?\u942?\u963?\u949?\u969?\u957? \u947?\u953?\u945? \u964?\u959?\u965?\u962? \u960?\u945?\u961?\u972?\u967?\u959?\u965?\u962? \u965?\u960?\u951?\u961?\u949?\u963?\u953?\u974?\u957? \u960?\u955?\u951?\u961?\u969?\u956?\u974?\u957?"/>
    <w:docVar w:name="LW_TYPE.DOC.CP" w:val="\u927?\u916?\u919?\u915?\u921?\u91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l-GR"/>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l-GR"/>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_en/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EL/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s://www.consilium.europa.eu/el/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EN/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en.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484A-EB53-4AB1-B35A-1F9A87E8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36</Pages>
  <Words>11523</Words>
  <Characters>67414</Characters>
  <Application>Microsoft Office Word</Application>
  <DocSecurity>0</DocSecurity>
  <Lines>1567</Lines>
  <Paragraphs>607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78330</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2018-10-10T09:04:00Z</cp:lastPrinted>
  <dcterms:created xsi:type="dcterms:W3CDTF">2018-12-10T15:40:00Z</dcterms:created>
  <dcterms:modified xsi:type="dcterms:W3CDTF">2018-12-11T15:16:00Z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