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val="sk-SK"/>
        </w:rPr>
      </w:pPr>
      <w:bookmarkStart w:id="0" w:name="LW_BM_COVERPAGE"/>
      <w:r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BF8A77AA-A096-4F0F-9021-498E51FDA93E" style="width:450.8pt;height:486.45pt">
            <v:imagedata r:id="rId11" o:title=""/>
          </v:shape>
        </w:pict>
      </w:r>
    </w:p>
    <w:bookmarkEnd w:id="0"/>
    <w:p>
      <w:pPr>
        <w:pStyle w:val="Pagedecouverture"/>
        <w:rPr>
          <w:noProof/>
          <w:lang w:val="sk-SK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rPr>
          <w:noProof/>
          <w:lang w:val="sk-SK"/>
        </w:rPr>
      </w:pPr>
      <w:bookmarkStart w:id="1" w:name="_GoBack"/>
      <w:bookmarkEnd w:id="1"/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k-SK"/>
              </w:rPr>
            </w:pPr>
            <w:r>
              <w:rPr>
                <w:rFonts w:ascii="Tahoma" w:hAnsi="Tahoma"/>
                <w:b/>
                <w:noProof/>
                <w:sz w:val="22"/>
                <w:lang w:val="sk-SK"/>
              </w:rPr>
              <w:t>Súhrnný prehľad</w:t>
            </w:r>
          </w:p>
        </w:tc>
      </w:tr>
      <w:t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>
            <w:pPr>
              <w:spacing w:before="120" w:after="120"/>
              <w:jc w:val="both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noProof/>
                <w:color w:val="FFFFFF" w:themeColor="background1"/>
                <w:sz w:val="20"/>
                <w:lang w:val="sk-SK"/>
              </w:rPr>
              <w:t>Posúdenie vplyvu týkajúce sa návrhu povinného prenosu a výmeny údajov o platbách súvisiacich s DPH</w:t>
            </w:r>
          </w:p>
          <w:p>
            <w:pPr>
              <w:spacing w:before="120" w:after="120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k-SK"/>
              </w:rPr>
            </w:pPr>
            <w:r>
              <w:rPr>
                <w:rFonts w:ascii="Tahoma" w:hAnsi="Tahoma"/>
                <w:b/>
                <w:noProof/>
                <w:sz w:val="22"/>
                <w:lang w:val="sk-SK"/>
              </w:rPr>
              <w:t>A. Potreba konať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 xml:space="preserve">Prečo? Aký problém sa rieši?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Problémom sú podvody v oblasti DPH v elektronickom obchode. Straty na DPH z cezhraničných dodávok tovaru medzi podnikmi a koncovými spotrebiteľmi sa na úrovni celej EÚ odhadujú približne na 5 miliárd EUR ročne. Na úrovní EÚ neexistujú odhady podvodov v oblasti DPH, ktoré súvisia s cezhraničným poskytovaním služieb medzi podnikmi a koncovými zákazníkmi, iba sektorovo zdokumentované dôkazy o vysielaní a online hrách. Bez zásahu EÚ sa budú s rozvojom elektronického obchodu tieto straty pravdepodobne ešte prehlbovať. Podvody v oblasti DPH v elektronickom obchode predstavujú pre daňové správy členských štátoch skutočnú výzvu, pretože majú málo informácií na identifikovanie online podnikov, a to najmä tých, ktoré sú usídlené v inej krajine. Potrebné informácie na posúdenie povinností v oblasti DPH majú k dispozícii tretie strany (napríklad poskytovatelia platobných služieb), ktoré sú tiež často usadené v inej jurisdikcii. Daňové správy nemajú administratívnu kapacitu na vzájomné udržiavanie kontaktov a výmenu obrovského objemu informácií potrebných na kontrolu a boj proti podvodom v oblasti DPH v elektronickom obchode. Podvody v oblasti DPH v elektronickom obchode ovplyvňujú rozpočty členských štátov a EÚ, legitímne podniky v EÚ, ktoré sú poškodené nekalou súťažou, a občanov EÚ, pretože znižujú prostriedky investované do verejných služieb.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 xml:space="preserve">Čo sa od tejto iniciatívy očakáva?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Všeobecnými cieľmi iniciatívy je znížiť straty členských štátov na DPH, a tým prispieť k fiškálnej konsolidácii v rámci EÚ, ako aj zabezpečiť rovnaké podmienky pre legitímne podniky v EÚ, ktoré sú poškodené nekalou súťažou podvodníkov. Osobitným cieľom je obmedziť podvody v oblasti DPH v elektronickom obchode tým, že sa správcom dane poskytnú účinné a efektívne nástroje na odhaľovanie podnikov, ktoré nedodržiavajú predpisy.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>Aká je pridaná hodnota opatrení na úrovni EÚ?</w:t>
            </w:r>
            <w:r>
              <w:rPr>
                <w:rFonts w:ascii="Tahoma" w:hAnsi="Tahoma"/>
                <w:noProof/>
                <w:sz w:val="20"/>
                <w:lang w:val="sk-SK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Samotné členské štáty nemajú prostriedky na boj proti podvodom v oblasti DPH v elektronickom obchode, keďže tie majú vo svojej podstate cezhraničný rozmer. Pravidlá administratívnej spolupráce v EÚ v oblasti DPH sa uvádzajú v nariadení Rady (EÚ) č. 904/2010 o administratívnej spolupráci a boji proti podvodom v oblasti dane z pridanej hodnoty, preto by mala byť ďalšia iniciatíva v tejto oblasti vymedzená v kontexte toho istého nariadenia.</w:t>
            </w:r>
          </w:p>
        </w:tc>
      </w:tr>
    </w:tbl>
    <w:p>
      <w:pPr>
        <w:rPr>
          <w:noProof/>
          <w:lang w:val="sk-SK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k-SK"/>
              </w:rPr>
            </w:pPr>
            <w:r>
              <w:rPr>
                <w:rFonts w:ascii="Tahoma" w:hAnsi="Tahoma"/>
                <w:b/>
                <w:noProof/>
                <w:sz w:val="22"/>
                <w:lang w:val="sk-SK"/>
              </w:rPr>
              <w:t>B. Riešenia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>Aké legislatívne a nelegislatívne možnosti politiky sa zvažovali? Je niektorá z možností uprednostňovaná? Prečo?</w:t>
            </w:r>
            <w:r>
              <w:rPr>
                <w:rFonts w:ascii="Tahoma" w:hAnsi="Tahoma"/>
                <w:noProof/>
                <w:sz w:val="20"/>
                <w:lang w:val="sk-SK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Vo východiskovom scenári (1. možnosť) majú členské štáty EÚ rozdielne prístupy k boju proti podvodom v oblasti DPH v elektronickom obchode a iba niektoré z nich získavajú údaje od online sprostredkovateľov.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Podľa možnosti bez regulačných opatrení (2. možnosť) bude Európska komisia pomáhať správcom dane rozvíjať ich administratívnu kapacitu na boj proti podvodom v oblasti DPH v elektronickom obchode a uverejňovať usmernenia s cieľom posilňovať spoluprácu medzi správcami dane a platobnými sprostredkovateľmi.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Regulačná možnosť (3. možnosť) znamená zmenu právneho rámca EÚ pre poskytovateľov platobných služieb tak, aby relevantné údaje o platbách poskytovali správcom dane. Pre správcov dane táto možnosť znamená 1. získavanie údajov o platbách a uskutočňovanie analýzy rizika na odhaľovanie dodávateľov na diaľku, ktorí si neplnia povinnosti v oblasti DPH, a 2. výmenu týchto údajov so správcami dane iných členských štátov a ich spoločné využívanie. V rámci regulačnej možnosti sa predpokladajú rôzne alternatívne technické riešenia nato, aby mohli správcovia dane uskutočňovať výmenu relevantných údajov o platbách alebo ich spoločne využívať. V jednom z riešení sa predpokladá automatizovaný prístup k databázam ostatných členských štátov, zatiaľ čo v ďalších troch riešeniach sa počíta s centrálnym registrom údajov o platbách na úrovni EÚ, ku ktorému by mali prístup úradníci členských štátov na boj proti podvodom. Uprednostňovanou možnosťou je regulačná možnosť, ktorej súčasťou je centrálny register EÚ.</w:t>
            </w:r>
          </w:p>
          <w:p>
            <w:pPr>
              <w:spacing w:before="60"/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shd w:val="clear" w:color="auto" w:fill="CCCCCC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lastRenderedPageBreak/>
              <w:t>Kto podporuje ktorú možnosť?</w:t>
            </w:r>
            <w:r>
              <w:rPr>
                <w:rFonts w:ascii="Tahoma" w:hAnsi="Tahoma"/>
                <w:noProof/>
                <w:sz w:val="20"/>
                <w:lang w:val="sk-SK"/>
              </w:rPr>
              <w:t xml:space="preserve"> 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/>
                <w:noProof/>
                <w:sz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Regulačnú možnosť, a najmä centrálny register, podporuje 18 správcov dane (z 23 respondentov). Poskytovatelia platobných služieb (3 z 3) podporujú regulačnú možnosť.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38 respondentov z otvorenej verejnej konzultácie (z 52) podporuje regulačnú možnosť.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k-SK"/>
              </w:rPr>
            </w:pPr>
            <w:r>
              <w:rPr>
                <w:rFonts w:ascii="Tahoma" w:hAnsi="Tahoma"/>
                <w:b/>
                <w:noProof/>
                <w:sz w:val="22"/>
                <w:lang w:val="sk-SK"/>
              </w:rPr>
              <w:t>C. Vplyvy uprednostňovanej možnosti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>Aké sú výhody uprednostňovanej možnosti (prípadne hlavných možností, ak sa žiadna konkrétna možnosť neuprednostňuje)?</w:t>
            </w:r>
            <w:r>
              <w:rPr>
                <w:rFonts w:ascii="Tahoma" w:hAnsi="Tahoma"/>
                <w:noProof/>
                <w:sz w:val="20"/>
                <w:lang w:val="sk-SK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Boj proti podvodom v oblasti DPH v elektronickom obchode bude prínosný pre rozpočty členských štátov a EÚ, pretože sa zvýšia príjmy z DPH. Vyššie príjmy z DPH sú prínosom aj pre občanov EÚ, keďže do verejných služieb možno investovať ďalšie verejné príjmy. Európskym legitímnym podnikom prinesie výhodu rovnakých podmienok. Konzultácie s hlavnými zainteresovanými stranami však, žiaľ, nepriniesli potrebné kvantitatívne dôkazy.</w:t>
            </w:r>
          </w:p>
          <w:p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  <w:lang w:val="sk-SK"/>
              </w:rPr>
            </w:pPr>
          </w:p>
        </w:tc>
      </w:tr>
    </w:tbl>
    <w:p>
      <w:pPr>
        <w:widowControl w:val="0"/>
        <w:rPr>
          <w:noProof/>
          <w:lang w:val="sk-SK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0188"/>
      </w:tblGrid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>Aké sú náklady na uprednostňovanú možnosť (ak existuje, inak na hlavné možnosti)?</w:t>
            </w:r>
            <w:r>
              <w:rPr>
                <w:rFonts w:ascii="Tahoma" w:hAnsi="Tahoma"/>
                <w:noProof/>
                <w:sz w:val="20"/>
                <w:lang w:val="sk-SK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/>
                <w:noProof/>
                <w:sz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Poskytovatelia platobných služieb budú musieť znášať administratívne zaťaženie a náklady na predkladanie údajov o platbách správcom dane. Všetky daňové správy budú znášať jednorazové náklady vo výške 7,5 milióna EUR a bežné náklady vo výške 2,9 milióna EUR ročne. Európska komisia bude znášať jednorazové náklady vo výške 11,8 milióna EUR a bežné náklady vo výške 4,5 milióna EUR ročne.</w:t>
            </w:r>
          </w:p>
          <w:p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 w:after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 xml:space="preserve">Aký bude vplyv na podniky, MSP a mikropodniky?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Harmonizácia požiadaviek na predkladanie správ bude prínosná pre všetky MSP poskytujúce platobné služby, ktoré by inak čelili rôznym pravidlám podávania správ a postupom správcov dane v jednotlivých členských štátoch. A napokon, MSP v oblasti elektronického obchodu a tradičného hospodárstva budú využívať výhody rovnakých podmienok, zatiaľ čo správcovia dane členských štátov budú schopní odhaľovať podvodníkov v oblasti DPH v elektronickom obchode.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b/>
                <w:i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>Očakáva sa významný vplyv na štátne rozpočty a verejnú správu?</w:t>
            </w:r>
          </w:p>
        </w:tc>
      </w:tr>
      <w:tr>
        <w:tc>
          <w:tcPr>
            <w:tcW w:w="10188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Údaje o platbách umožnia správcom dane vybrať dodatočnú DPH v rámci boja proti podvodom v oblasti DPH v elektronickom obchode. Očakáva sa, že tento pozitívny vplyv na štátne rozpočty sa dostaví v krátkom čase.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>Očakávajú sa iné významné vplyvy?</w:t>
            </w:r>
            <w:r>
              <w:rPr>
                <w:rFonts w:ascii="Tahoma" w:hAnsi="Tahoma"/>
                <w:noProof/>
                <w:sz w:val="20"/>
                <w:lang w:val="sk-SK"/>
              </w:rPr>
              <w:t xml:space="preserve">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/>
                <w:noProof/>
                <w:sz w:val="20"/>
                <w:lang w:val="sk-SK"/>
              </w:rPr>
            </w:pPr>
            <w:r>
              <w:rPr>
                <w:rFonts w:ascii="Arial" w:hAnsi="Arial"/>
                <w:noProof/>
                <w:sz w:val="20"/>
                <w:lang w:val="sk-SK"/>
              </w:rPr>
              <w:t>Osobné údaje budú do istej miery spracúvať vnútroštátne orgány na účely boja proti podvodom v oblasti DPH v elektronickom obchode v súlade so všeobecným nariadením o ochrane údajov.</w:t>
            </w:r>
          </w:p>
          <w:p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sk-SK"/>
              </w:rPr>
            </w:pP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C0C0C0"/>
          </w:tcPr>
          <w:p>
            <w:pPr>
              <w:spacing w:before="60" w:after="60"/>
              <w:jc w:val="center"/>
              <w:rPr>
                <w:rFonts w:ascii="Tahoma" w:hAnsi="Tahoma" w:cs="Tahoma"/>
                <w:b/>
                <w:noProof/>
                <w:sz w:val="22"/>
                <w:szCs w:val="22"/>
                <w:lang w:val="sk-SK"/>
              </w:rPr>
            </w:pPr>
            <w:r>
              <w:rPr>
                <w:rFonts w:ascii="Tahoma" w:hAnsi="Tahoma"/>
                <w:b/>
                <w:noProof/>
                <w:sz w:val="22"/>
                <w:lang w:val="sk-SK"/>
              </w:rPr>
              <w:t>D. Následné činnosti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E6E6E6"/>
          </w:tcPr>
          <w:p>
            <w:pPr>
              <w:spacing w:before="60"/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b/>
                <w:noProof/>
                <w:sz w:val="20"/>
                <w:lang w:val="sk-SK"/>
              </w:rPr>
              <w:t xml:space="preserve">Kedy sa táto politika preskúma? </w:t>
            </w:r>
          </w:p>
        </w:tc>
      </w:tr>
      <w:tr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sk-SK"/>
              </w:rPr>
            </w:pPr>
            <w:r>
              <w:rPr>
                <w:rFonts w:ascii="Tahoma" w:hAnsi="Tahoma"/>
                <w:noProof/>
                <w:sz w:val="20"/>
                <w:lang w:val="sk-SK"/>
              </w:rPr>
              <w:t xml:space="preserve">Komisia bude monitorovať uplatňovanie nového systému výmeny údajov o platbách prostredníctvom výročných správ Eurofiscu a výročných štatistík o výmene informácií, ktoré predkladajú členské štáty. Po piatich rokoch od nadobudnutia účinnosti Komisia napokon predloží správu Európskemu parlamentu a Rade o uplatňovaní systému. </w:t>
            </w:r>
          </w:p>
        </w:tc>
      </w:tr>
    </w:tbl>
    <w:p>
      <w:pPr>
        <w:rPr>
          <w:noProof/>
          <w:lang w:val="sk-SK"/>
        </w:rPr>
      </w:pPr>
    </w:p>
    <w:sectPr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7599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6E5"/>
    <w:multiLevelType w:val="hybridMultilevel"/>
    <w:tmpl w:val="7E4E12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Sprievodný dokument"/>
    <w:docVar w:name="LW_CORRIGENDUM" w:val="&lt;UNUSED&gt;"/>
    <w:docVar w:name="LW_COVERPAGE_EXISTS" w:val="True"/>
    <w:docVar w:name="LW_COVERPAGE_GUID" w:val="BF8A77AA-A096-4F0F-9021-498E51FDA93E"/>
    <w:docVar w:name="LW_COVERPAGE_TYPE" w:val="1"/>
    <w:docVar w:name="LW_CROSSREFERENCE" w:val="{COM(2018) 812 final} - {COM(2018) 813 final} - {SEC(2018) 495 final} - {SWD(2018) 488 final}"/>
    <w:docVar w:name="LW_DocType" w:val="NORMAL"/>
    <w:docVar w:name="LW_EMISSION" w:val="12. 12. 2018"/>
    <w:docVar w:name="LW_EMISSION_ISODATE" w:val="2018-12-12"/>
    <w:docVar w:name="LW_EMISSION_LOCATION" w:val="BRX"/>
    <w:docVar w:name="LW_EMISSION_PREFIX" w:val="V Bruseli"/>
    <w:docVar w:name="LW_EMISSION_SUFFIX" w:val=" "/>
    <w:docVar w:name="LW_ID_DOCTYPE_NONLW" w:val="CP-027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&lt;UNUSED&gt;"/>
    <w:docVar w:name="LW_PART_NBR" w:val="1"/>
    <w:docVar w:name="LW_PART_NBR_TOTAL" w:val="1"/>
    <w:docVar w:name="LW_REF.INST.NEW" w:val="SWD"/>
    <w:docVar w:name="LW_REF.INST.NEW_ADOPTED" w:val="final"/>
    <w:docVar w:name="LW_REF.INST.NEW_TEXT" w:val="(2018) 48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&lt;UNUSED&gt;"/>
    <w:docVar w:name="LW_TYPE.DOC.CP" w:val="PRACOVNÝ DOKUMENT ÚTVAROV KOMISIE_x000b__x000b_ZHRNUTIE POSÚDENIA VPLYVU_x000b_"/>
    <w:docVar w:name="LW_TYPEACTEPRINCIPAL.CP" w:val="Návrh smernice Rady, ktorou sa mení smernica 2006/112/ES, pokia\u318? ide o zavedenie ur\u269?itých po\u382?iadaviek na poskytovate\u318?ov platobných slu\u382?ieb_x000b__x000b_a_x000b__x000b_Návrh nariadenia Rady, ktorým sa mení nariadenie  (EÚ) \u269?. 904/2010, pokia\u318? ide o opatrenia na posilnenie administratívnej spolupráce v záujme boja proti podvodom v oblasti DPH_x000b__x000b_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after="120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/>
      <w:ind w:left="-850" w:right="-850"/>
    </w:pPr>
    <w:rPr>
      <w:rFonts w:eastAsia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/>
      <w:jc w:val="both"/>
    </w:p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classification">
    <w:name w:val="Declassification"/>
    <w:basedOn w:val="Normal"/>
    <w:next w:val="Normal"/>
    <w:pPr>
      <w:jc w:val="both"/>
    </w:pPr>
    <w:rPr>
      <w:rFonts w:eastAsiaTheme="minorHAnsi"/>
      <w:szCs w:val="22"/>
      <w:lang w:eastAsia="en-US"/>
    </w:r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eastAsia="en-US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113" w:right="113"/>
      <w:jc w:val="center"/>
    </w:pPr>
    <w:rPr>
      <w:b/>
      <w:sz w:val="32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Theme="minorHAnsi"/>
      <w:szCs w:val="22"/>
      <w:lang w:eastAsia="en-US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ind w:left="113" w:right="113"/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DCF41F10D214DBDDF7E1F5EB8F7C1" ma:contentTypeVersion="1" ma:contentTypeDescription="Create a new document." ma:contentTypeScope="" ma:versionID="4d11a2104eb79e191fab213970d36f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CE80E-734A-4297-8D0E-984F7E32D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228E3-FEEC-429F-8C93-CFCC37DE565D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588CBB-D78F-412D-9B35-4671E1A4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977</Words>
  <Characters>5882</Characters>
  <Application>Microsoft Office Word</Application>
  <DocSecurity>0</DocSecurity>
  <Lines>98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WES PDFC Administrator</cp:lastModifiedBy>
  <cp:revision>20</cp:revision>
  <dcterms:created xsi:type="dcterms:W3CDTF">2018-12-07T10:53:00Z</dcterms:created>
  <dcterms:modified xsi:type="dcterms:W3CDTF">2018-12-11T15:18:00Z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Order">
    <vt:r8>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NewReviewCycle">
    <vt:lpwstr/>
  </property>
  <property fmtid="{D5CDD505-2E9C-101B-9397-08002B2CF9AE}" pid="9" name="ContentTypeId">
    <vt:lpwstr>0x010100AB6DCF41F10D214DBDDF7E1F5EB8F7C1</vt:lpwstr>
  </property>
  <property fmtid="{D5CDD505-2E9C-101B-9397-08002B2CF9AE}" pid="10" name="TemplateUrl">
    <vt:lpwstr/>
  </property>
  <property fmtid="{D5CDD505-2E9C-101B-9397-08002B2CF9AE}" pid="11" name="Level of sensitivity">
    <vt:lpwstr>Standard treatment</vt:lpwstr>
  </property>
  <property fmtid="{D5CDD505-2E9C-101B-9397-08002B2CF9AE}" pid="12" name="Last edited using">
    <vt:lpwstr>LW 6.0.1, Build 20180503</vt:lpwstr>
  </property>
  <property fmtid="{D5CDD505-2E9C-101B-9397-08002B2CF9AE}" pid="13" name="Created using">
    <vt:lpwstr>LW 6.0.1, Build 20180503</vt:lpwstr>
  </property>
</Properties>
</file>