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A04A539-BB1B-4BD6-B204-7EF39BF8F227"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ΑΝΤΙΚΕIΜΕΝΟ ΤΗΣ ΠΡOΤΑΣΗΣ</w:t>
      </w:r>
    </w:p>
    <w:p>
      <w:pPr>
        <w:rPr>
          <w:noProof/>
        </w:rPr>
      </w:pPr>
      <w:r>
        <w:rPr>
          <w:noProof/>
        </w:rPr>
        <w:t>Η παρούσα πρόταση αφορά την απόφαση σχετικά με τη θέση που πρέπει να ληφθεί εξ ονόματος της Ευρωπαϊκής Ένωσης στην Περιφερειακή Διοικούσα Επιτροπή που έχει συσταθεί δυνάμει της Συνθήκης ίδρυσης Κοινότητας Μεταφορών («ΣΚΜ») όσον αφορά τις προβλεπόμενες αποφάσεις επί ορισμένων θεμάτων προϋπολογισμού και προσωπικού σε σχέση με την εφαρμογή της ΣΚΜ, τα οποία συνδέονται με την έναρξη των εργασιών της Μόνιμης Γραμματείας της Κοινότητας Μεταφορών.</w:t>
      </w:r>
    </w:p>
    <w:p>
      <w:pPr>
        <w:pStyle w:val="ManualHeading1"/>
        <w:rPr>
          <w:noProof/>
        </w:rPr>
      </w:pPr>
      <w:r>
        <w:rPr>
          <w:noProof/>
        </w:rPr>
        <w:t>2.</w:t>
      </w:r>
      <w:r>
        <w:rPr>
          <w:noProof/>
        </w:rPr>
        <w:tab/>
        <w:t>ΠΛΑΙΣΙΟ ΤΗΣ ΠΡΟΤΑΣΗΣ</w:t>
      </w:r>
    </w:p>
    <w:p>
      <w:pPr>
        <w:pStyle w:val="ManualHeading2"/>
        <w:rPr>
          <w:noProof/>
        </w:rPr>
      </w:pPr>
      <w:r>
        <w:rPr>
          <w:noProof/>
          <w:color w:val="000000"/>
          <w:u w:color="000000"/>
          <w:bdr w:val="nil"/>
        </w:rPr>
        <w:t>2.1</w:t>
      </w:r>
      <w:r>
        <w:rPr>
          <w:noProof/>
        </w:rPr>
        <w:tab/>
        <w:t>Η Συνθήκη ίδρυσης Κοινότητας Μεταφορών</w:t>
      </w:r>
    </w:p>
    <w:p>
      <w:pPr>
        <w:rPr>
          <w:bCs/>
          <w:noProof/>
          <w:szCs w:val="24"/>
        </w:rPr>
      </w:pPr>
      <w:r>
        <w:rPr>
          <w:noProof/>
        </w:rPr>
        <w:t xml:space="preserve"> Μετά την υπογραφή της, η ΣΚΜ εφαρμόζεται προσωρινά σύμφωνα με το άρθρο 41 παράγραφος 3 αυτής. Έως την 25η Οκτωβρίου 2018, η ΣΚΜ είχε επικυρωθεί από την Αλβανία, τη Βοσνία-Ερζεγοβίνη, την πρώην Γιουγκοσλαβική Δημοκρατία της Μακεδονίας, το Κοσσυφοπέδιο* (εφεξής: το Κοσσυφοπέδιο), το Μαυροβούνιο και τη Σερβία. Για την Ένωση, η προσωρινή εφαρμογή προβλέπεται από την απόφαση του Συμβουλίου για την υπογραφή, εξ ονόματος της Ευρωπαϊκής Ένωσης, και την προσωρινή εφαρμογή της Συνθήκης για την ίδρυση Κοινότητας Μεταφορών</w:t>
      </w:r>
      <w:r>
        <w:rPr>
          <w:rStyle w:val="FootnoteReference"/>
          <w:noProof/>
        </w:rPr>
        <w:footnoteReference w:id="1"/>
      </w:r>
      <w:r>
        <w:rPr>
          <w:noProof/>
        </w:rPr>
        <w:t>.</w:t>
      </w:r>
    </w:p>
    <w:p>
      <w:pPr>
        <w:rPr>
          <w:bCs/>
          <w:noProof/>
          <w:szCs w:val="24"/>
        </w:rPr>
      </w:pPr>
      <w:r>
        <w:rPr>
          <w:noProof/>
        </w:rPr>
        <w:footnoteReference w:customMarkFollows="1" w:id="2"/>
        <w:t xml:space="preserve">Η Ευρωπαϊκή Ένωση είναι συμβαλλόμενο μέρος της ΣΚΜ.  </w:t>
      </w:r>
    </w:p>
    <w:p>
      <w:pPr>
        <w:pStyle w:val="ManualHeading2"/>
        <w:rPr>
          <w:noProof/>
        </w:rPr>
      </w:pPr>
      <w:r>
        <w:rPr>
          <w:noProof/>
          <w:color w:val="000000"/>
          <w:u w:color="000000"/>
          <w:bdr w:val="nil"/>
        </w:rPr>
        <w:t>2.2</w:t>
      </w:r>
      <w:r>
        <w:rPr>
          <w:noProof/>
        </w:rPr>
        <w:tab/>
        <w:t>Η Περιφερειακή Διοικούσα Επιτροπή</w:t>
      </w:r>
    </w:p>
    <w:p>
      <w:pPr>
        <w:pBdr>
          <w:top w:val="nil"/>
          <w:left w:val="nil"/>
          <w:bottom w:val="nil"/>
          <w:right w:val="nil"/>
          <w:between w:val="nil"/>
          <w:bar w:val="nil"/>
        </w:pBdr>
        <w:spacing w:before="0" w:after="240"/>
        <w:rPr>
          <w:noProof/>
        </w:rPr>
      </w:pPr>
      <w:r>
        <w:rPr>
          <w:noProof/>
        </w:rPr>
        <w:t>Η Περιφερειακή Διοικούσα Επιτροπή συστήνεται με το άρθρο 24 της ΣΚΜ και είναι αρμόδια για τη διαχείριση της ΣΚΜ και την εξασφάλιση της ομαλής εφαρμογής της. Προς τον σκοπό αυτό, προβαίνει σε συστάσεις και λαμβάνει αποφάσεις στις περιπτώσεις που προβλέπει η ΣΚΜ. Η Περιφερειακή Διοικούσα Επιτροπή:</w:t>
      </w:r>
    </w:p>
    <w:p>
      <w:pPr>
        <w:spacing w:before="0" w:after="200" w:line="276" w:lineRule="auto"/>
        <w:jc w:val="left"/>
        <w:rPr>
          <w:noProof/>
        </w:rPr>
      </w:pPr>
      <w:r>
        <w:rPr>
          <w:noProof/>
        </w:rPr>
        <w:t>α) προετοιμάζει τις εργασίες του Συμβουλίου Υπουργών·</w:t>
      </w:r>
    </w:p>
    <w:p>
      <w:pPr>
        <w:spacing w:before="0" w:after="200" w:line="276" w:lineRule="auto"/>
        <w:jc w:val="left"/>
        <w:rPr>
          <w:noProof/>
        </w:rPr>
      </w:pPr>
      <w:r>
        <w:rPr>
          <w:noProof/>
        </w:rPr>
        <w:t>β) αποφασίζει σχετικά με τη σύσταση τεχνικών επιτροπών·</w:t>
      </w:r>
    </w:p>
    <w:p>
      <w:pPr>
        <w:spacing w:before="0" w:after="200" w:line="276" w:lineRule="auto"/>
        <w:jc w:val="left"/>
        <w:rPr>
          <w:noProof/>
        </w:rPr>
      </w:pPr>
      <w:r>
        <w:rPr>
          <w:noProof/>
        </w:rPr>
        <w:t>γ) διατυπώνει συστάσεις και λαμβάνει αποφάσεις σύμφωνα με τη ΣΚΜ·</w:t>
      </w:r>
    </w:p>
    <w:p>
      <w:pPr>
        <w:spacing w:before="0" w:after="200" w:line="276" w:lineRule="auto"/>
        <w:jc w:val="left"/>
        <w:rPr>
          <w:noProof/>
        </w:rPr>
      </w:pPr>
      <w:r>
        <w:rPr>
          <w:noProof/>
        </w:rPr>
        <w:t>δ) όσον αφορά νεοεκδοθείσες πράξεις της ΕΕ, λαμβάνει κατάλληλα μέτρα, ιδίως μέσω της αναθεώρησης του παραρτήματος I της ΣΚΜ·</w:t>
      </w:r>
    </w:p>
    <w:p>
      <w:pPr>
        <w:spacing w:before="0" w:after="200" w:line="276" w:lineRule="auto"/>
        <w:jc w:val="left"/>
        <w:rPr>
          <w:noProof/>
        </w:rPr>
      </w:pPr>
      <w:r>
        <w:rPr>
          <w:noProof/>
        </w:rPr>
        <w:t>ε) διορίζει τον διευθυντή της Μόνιμης Γραμματείας μετά από διαβούλευση με το Συμβούλιο Υπουργών·</w:t>
      </w:r>
    </w:p>
    <w:p>
      <w:pPr>
        <w:spacing w:before="0" w:after="200" w:line="276" w:lineRule="auto"/>
        <w:jc w:val="left"/>
        <w:rPr>
          <w:noProof/>
        </w:rPr>
      </w:pPr>
      <w:r>
        <w:rPr>
          <w:noProof/>
        </w:rPr>
        <w:t>στ) μπορεί να διορίζει έναν ή περισσότερους αναπληρωτές διευθυντές της Μόνιμης Γραμματείας·</w:t>
      </w:r>
    </w:p>
    <w:p>
      <w:pPr>
        <w:spacing w:before="0" w:after="200" w:line="276" w:lineRule="auto"/>
        <w:jc w:val="left"/>
        <w:rPr>
          <w:noProof/>
        </w:rPr>
      </w:pPr>
      <w:r>
        <w:rPr>
          <w:noProof/>
        </w:rPr>
        <w:t>ζ) καθορίζει τον εσωτερικό κανονισμό της Μόνιμης Γραμματείας·</w:t>
      </w:r>
    </w:p>
    <w:p>
      <w:pPr>
        <w:spacing w:before="0" w:after="200" w:line="276" w:lineRule="auto"/>
        <w:jc w:val="left"/>
        <w:rPr>
          <w:noProof/>
        </w:rPr>
      </w:pPr>
      <w:r>
        <w:rPr>
          <w:noProof/>
        </w:rPr>
        <w:t>η) μπορεί να επανεξετάσει, με σχετική απόφαση, το ύψος των συνεισφορών στον προϋπολογισμό·</w:t>
      </w:r>
    </w:p>
    <w:p>
      <w:pPr>
        <w:spacing w:before="0" w:after="200" w:line="276" w:lineRule="auto"/>
        <w:jc w:val="left"/>
        <w:rPr>
          <w:noProof/>
        </w:rPr>
      </w:pPr>
      <w:r>
        <w:rPr>
          <w:noProof/>
        </w:rPr>
        <w:t>θ) εγκρίνει τον ετήσιο προϋπολογισμό της ΣΚΜ·</w:t>
      </w:r>
    </w:p>
    <w:p>
      <w:pPr>
        <w:spacing w:before="0" w:after="200" w:line="276" w:lineRule="auto"/>
        <w:jc w:val="left"/>
        <w:rPr>
          <w:noProof/>
        </w:rPr>
      </w:pPr>
      <w:r>
        <w:rPr>
          <w:noProof/>
        </w:rPr>
        <w:t>ι) εκδίδει απόφαση με την οποία καθορίζεται η διαδικασία για την εκτέλεση του προϋπολογισμού, την παρουσίαση και τον έλεγχο των λογαριασμών και για την επιθεώρηση·</w:t>
      </w:r>
    </w:p>
    <w:p>
      <w:pPr>
        <w:spacing w:before="0" w:after="200" w:line="276" w:lineRule="auto"/>
        <w:jc w:val="left"/>
        <w:rPr>
          <w:noProof/>
        </w:rPr>
      </w:pPr>
      <w:r>
        <w:rPr>
          <w:noProof/>
        </w:rPr>
        <w:t>ια) λαμβάνει αποφάσεις επί των διαφορών που υποβάλλονται από τα συμβαλλόμενα μέρη·</w:t>
      </w:r>
    </w:p>
    <w:p>
      <w:pPr>
        <w:spacing w:before="0" w:after="200" w:line="276" w:lineRule="auto"/>
        <w:jc w:val="left"/>
        <w:rPr>
          <w:noProof/>
        </w:rPr>
      </w:pPr>
      <w:r>
        <w:rPr>
          <w:noProof/>
        </w:rPr>
        <w:t>ιβ) θεσπίζει τις γενικές αρχές στον τομέα της πρόσβασης στα έγγραφα, όσον αφορά έγγραφα που βρίσκονται στην κατοχή οργάνων που συστήνονται από τη ΣΚΜ ή δυνάμει αυτής·</w:t>
      </w:r>
    </w:p>
    <w:p>
      <w:pPr>
        <w:rPr>
          <w:noProof/>
        </w:rPr>
      </w:pPr>
      <w:r>
        <w:rPr>
          <w:noProof/>
        </w:rPr>
        <w:t>ιγ) εγκρίνει τις ετήσιες εκθέσεις που υποβάλλονται στο Συμβούλιο Υπουργών σχετικά με την υλοποίηση του εκτεταμένου δικτύου·</w:t>
      </w:r>
    </w:p>
    <w:p>
      <w:pPr>
        <w:rPr>
          <w:noProof/>
        </w:rPr>
      </w:pPr>
      <w:r>
        <w:rPr>
          <w:noProof/>
        </w:rPr>
        <w:t xml:space="preserve"> ιδ) όσον αφορά ορισμένες πράξεις της Ένωσης, καθορίζει τις προθεσμίες και τους τρόπους για τη μεταφορά τους στο δίκαιο των συμβαλλόμενων μερών της Νοτιοανατολικής Ευρώπης.</w:t>
      </w:r>
    </w:p>
    <w:p>
      <w:pPr>
        <w:rPr>
          <w:noProof/>
        </w:rPr>
      </w:pPr>
      <w:r>
        <w:rPr>
          <w:noProof/>
        </w:rPr>
        <w:t>Η Περιφερειακή Διοικούσα Επιτροπή απαρτίζεται από έναν εκπρόσωπο και έναν αναπληρωματικό εκπρόσωπο του κάθε συμβαλλόμενου μέρους. Η συμμετοχή με την ιδιότητα του παρατηρητή είναι ανοικτή σε όλα τα κράτη μέλη της ΕΕ. Η Περιφερειακή Διοικούσα Επιτροπή αποφασίζει με ομοφωνία.</w:t>
      </w:r>
    </w:p>
    <w:p>
      <w:pPr>
        <w:pStyle w:val="ManualHeading2"/>
        <w:rPr>
          <w:noProof/>
        </w:rPr>
      </w:pPr>
      <w:r>
        <w:rPr>
          <w:noProof/>
          <w:color w:val="000000"/>
          <w:u w:color="000000"/>
          <w:bdr w:val="nil"/>
        </w:rPr>
        <w:t>2.3</w:t>
      </w:r>
      <w:r>
        <w:rPr>
          <w:noProof/>
        </w:rPr>
        <w:tab/>
        <w:t>Οι προβλεπόμενες πράξεις της Περιφερειακής Διοικούσας Επιτροπής</w:t>
      </w:r>
    </w:p>
    <w:p>
      <w:pPr>
        <w:pBdr>
          <w:top w:val="nil"/>
          <w:left w:val="nil"/>
          <w:bottom w:val="nil"/>
          <w:right w:val="nil"/>
          <w:between w:val="nil"/>
          <w:bar w:val="nil"/>
        </w:pBdr>
        <w:spacing w:before="0" w:after="240"/>
        <w:rPr>
          <w:noProof/>
          <w:szCs w:val="24"/>
        </w:rPr>
      </w:pPr>
      <w:r>
        <w:rPr>
          <w:noProof/>
        </w:rPr>
        <w:t xml:space="preserve">Το σχέδιο απόφασης του Συμβουλίου αφορά την έκδοση αποφάσεων από την Περιφερειακή Διοικούσα Επιτροπή επί ορισμένων θεμάτων προϋπολογισμού και προσωπικού σε σχέση με την εφαρμογή της ΣΚΜ, τα οποία συνδέονται με την έναρξη των εργασιών της Μόνιμης Γραμματείας της Κοινότητας Μεταφορών. </w:t>
      </w:r>
    </w:p>
    <w:p>
      <w:pPr>
        <w:pBdr>
          <w:top w:val="nil"/>
          <w:left w:val="nil"/>
          <w:bottom w:val="nil"/>
          <w:right w:val="nil"/>
          <w:between w:val="nil"/>
          <w:bar w:val="nil"/>
        </w:pBdr>
        <w:spacing w:before="0" w:after="240"/>
        <w:rPr>
          <w:noProof/>
        </w:rPr>
      </w:pPr>
      <w:r>
        <w:rPr>
          <w:noProof/>
        </w:rPr>
        <w:t>Οι προβλεπόμενες αποφάσεις θα καταστούν νομικά δεσμευτικές για τα συμβαλλόμενα μέρη δυνάμει του άρθρου 24 παράγραφος 1 σε συνδυασμό με τα άρθρα 30 και 35 της ΣΚΜ.</w:t>
      </w:r>
    </w:p>
    <w:p>
      <w:pPr>
        <w:pBdr>
          <w:top w:val="nil"/>
          <w:left w:val="nil"/>
          <w:bottom w:val="nil"/>
          <w:right w:val="nil"/>
          <w:between w:val="nil"/>
          <w:bar w:val="nil"/>
        </w:pBdr>
        <w:spacing w:before="0" w:after="240"/>
        <w:rPr>
          <w:b/>
          <w:noProof/>
        </w:rPr>
      </w:pPr>
      <w:r>
        <w:rPr>
          <w:b/>
          <w:noProof/>
        </w:rPr>
        <w:t>Προϋπολογισμός</w:t>
      </w:r>
    </w:p>
    <w:p>
      <w:pPr>
        <w:pBdr>
          <w:top w:val="nil"/>
          <w:left w:val="nil"/>
          <w:bottom w:val="nil"/>
          <w:right w:val="nil"/>
          <w:between w:val="nil"/>
          <w:bar w:val="nil"/>
        </w:pBdr>
        <w:spacing w:before="0" w:after="240"/>
        <w:rPr>
          <w:noProof/>
        </w:rPr>
      </w:pPr>
      <w:r>
        <w:rPr>
          <w:noProof/>
        </w:rPr>
        <w:t>Η συνεισφορά στον προϋπολογισμό της Κοινότητας Μεταφορών καθορίζεται στο παράρτημα V της ΣΚΜ. Το μερίδιο της Ένωσης ανέρχεται στο 80 % του προϋπολογισμού, ενώ το υπόλοιπο 20 % παρέχεται από τα συμβαλλόμενα μέρη των Δυτικών Βαλκανίων.</w:t>
      </w:r>
    </w:p>
    <w:p>
      <w:pPr>
        <w:pBdr>
          <w:top w:val="nil"/>
          <w:left w:val="nil"/>
          <w:bottom w:val="nil"/>
          <w:right w:val="nil"/>
          <w:between w:val="nil"/>
          <w:bar w:val="nil"/>
        </w:pBdr>
        <w:spacing w:before="0" w:after="240"/>
        <w:rPr>
          <w:noProof/>
        </w:rPr>
      </w:pPr>
      <w:r>
        <w:rPr>
          <w:noProof/>
        </w:rPr>
        <w:t xml:space="preserve">Η ΕΕ έχει διαθέσει χρηματοδότηση για τη στήριξη της Μόνιμης Γραμματείας της Κοινότητας Μεταφορών με δύο αποφάσεις: το 2017 για ποσό ύψους </w:t>
      </w:r>
      <w:r>
        <w:rPr>
          <w:b/>
          <w:noProof/>
        </w:rPr>
        <w:t>1,0 εκατ. EUR</w:t>
      </w:r>
      <w:r>
        <w:rPr>
          <w:noProof/>
        </w:rPr>
        <w:t xml:space="preserve"> [απόφαση C(2017) 5343 final, της 27.7.2017, για την έγκριση πολυεθνικού προγράμματος δράσεων για το 2017] και το 2018 για ποσό ύψους </w:t>
      </w:r>
      <w:r>
        <w:rPr>
          <w:b/>
          <w:noProof/>
        </w:rPr>
        <w:t>2,0 εκατ. EUR</w:t>
      </w:r>
      <w:r>
        <w:rPr>
          <w:noProof/>
        </w:rPr>
        <w:t xml:space="preserve"> [απόφαση C(2018) 5074 final, της 31.7.2018, για την έγκριση πολυεθνικού προγράμματος δράσεων για το 2018]. Το ποσό της χρηματοδότησης που διατέθηκε από την Ένωση ανέρχεται σε </w:t>
      </w:r>
      <w:r>
        <w:rPr>
          <w:b/>
          <w:noProof/>
        </w:rPr>
        <w:t>3,0 εκατ. EUR</w:t>
      </w:r>
      <w:r>
        <w:rPr>
          <w:noProof/>
        </w:rPr>
        <w:t>.</w:t>
      </w:r>
    </w:p>
    <w:p>
      <w:pPr>
        <w:pBdr>
          <w:top w:val="nil"/>
          <w:left w:val="nil"/>
          <w:bottom w:val="nil"/>
          <w:right w:val="nil"/>
          <w:between w:val="nil"/>
          <w:bar w:val="nil"/>
        </w:pBdr>
        <w:spacing w:before="0" w:after="240"/>
        <w:rPr>
          <w:noProof/>
        </w:rPr>
      </w:pPr>
      <w:r>
        <w:rPr>
          <w:noProof/>
        </w:rPr>
        <w:t xml:space="preserve">Ελλείψει διορισμένου διευθυντή, ο προϋπολογισμός για το έτος 2019 καταρτίστηκε κατά τρόπο ώστε να λαμβάνεται υπόψη ο σταδιακός διορισμός του προσωπικού της Μόνιμης Γραμματείας. Ο προϋπολογισμός θα πρέπει να καλύπτει τις δαπάνες σύστασης της Μόνιμης Γραμματείας καθώς και τις δαπάνες λειτουργίας της. Αξίζει να σημειωθεί ότι, σύμφωνα με το παράρτημα I της συμφωνίας για την έδρα μεταξύ της Κοινότητας Μεταφορών και της Σερβίας, η Σερβία, ως χώρα υποδοχής, παρέχει δωρεάν τα γραφεία, τα έπιπλα και την ασφάλεια της Μόνιμης Γραμματείας. Για να καλυφθούν οι δαπάνες πρόσληψης του διευθυντή και του αναπληρωτή διευθυντή, καθώς και ορισμένες δαπάνες που σχετίζονται με τη σύσταση της Μόνιμης Γραμματείας, οι οποίες δεν ρυθμίζονται στη συμφωνία για την έδρα με τη χώρα υποδοχής, προτείνεται να ανατεθεί προσωρινά η εκτέλεση του προϋπολογισμού στην Επιτροπή. Το σχέδιο απόφασης της Περιφερειακής Διοικούσας Επιτροπής σχετικά με τον προϋπολογισμό της Κοινότητας Μεταφορών για το έτος 2019, καθώς και η εξουσιοδότηση της Επιτροπής ως αρμόδιας για τον προϋπολογισμό αρχής παρατίθενται στο παράρτημα I του σχεδίου απόφασης του Συμβουλίου. </w:t>
      </w:r>
    </w:p>
    <w:p>
      <w:pPr>
        <w:pBdr>
          <w:top w:val="nil"/>
          <w:left w:val="nil"/>
          <w:bottom w:val="nil"/>
          <w:right w:val="nil"/>
          <w:between w:val="nil"/>
          <w:bar w:val="nil"/>
        </w:pBdr>
        <w:spacing w:before="0" w:after="240"/>
        <w:rPr>
          <w:b/>
          <w:noProof/>
        </w:rPr>
      </w:pPr>
      <w:r>
        <w:rPr>
          <w:b/>
          <w:noProof/>
        </w:rPr>
        <w:t>Κανονισμός σχετικά με τις προσλήψεις, τις συνθήκες εργασίας και τη γεωγραφική ισορροπία</w:t>
      </w:r>
    </w:p>
    <w:p>
      <w:pPr>
        <w:pBdr>
          <w:top w:val="nil"/>
          <w:left w:val="nil"/>
          <w:bottom w:val="nil"/>
          <w:right w:val="nil"/>
          <w:between w:val="nil"/>
          <w:bar w:val="nil"/>
        </w:pBdr>
        <w:spacing w:before="0" w:after="240"/>
        <w:rPr>
          <w:noProof/>
        </w:rPr>
      </w:pPr>
      <w:r>
        <w:rPr>
          <w:noProof/>
        </w:rPr>
        <w:t>Ο κανονισμός σχετικά με τις προσλήψεις, τις συνθήκες εργασίας και τη γεωγραφική ισορροπία του προσωπικού της Μόνιμης Γραμματείας ορίζει τους βασικούς κανόνες πρόσληψης του συνόλου του προσωπικού, συμπεριλαμβανομένων των ανώτερων διοικητικών στελεχών της Μόνιμης Γραμματείας (του διευθυντή και του αναπληρωτή διευθυντή). Ο κανονισμός βασίζεται στον σχετικό κανονισμό της Γραμματείας της Ενεργειακής Κοινότητας, κατά περίπτωση τροποποιημένου προκειμένου να ληφθούν υπόψη η πείρα που έχει αποκτηθεί από τη Γραμματεία της Ενεργειακής Κοινότητας και οι ιδιαιτερότητες της Κοινότητας Μεταφορών.</w:t>
      </w:r>
    </w:p>
    <w:p>
      <w:pPr>
        <w:pBdr>
          <w:top w:val="nil"/>
          <w:left w:val="nil"/>
          <w:bottom w:val="nil"/>
          <w:right w:val="nil"/>
          <w:between w:val="nil"/>
          <w:bar w:val="nil"/>
        </w:pBdr>
        <w:spacing w:before="0" w:after="240"/>
        <w:rPr>
          <w:noProof/>
        </w:rPr>
      </w:pPr>
      <w:r>
        <w:rPr>
          <w:noProof/>
        </w:rPr>
        <w:t>Το σχέδιο απόφασης της Περιφερειακής Διοικούσας Επιτροπής περί του κανονισμού σχετικά με τις προσλήψεις, τις συνθήκες εργασίας και τη γεωγραφική ισορροπία παρατίθεται στο παράρτημα II του σχεδίου απόφασης του Συμβουλίου.</w:t>
      </w:r>
    </w:p>
    <w:p>
      <w:pPr>
        <w:pBdr>
          <w:top w:val="nil"/>
          <w:left w:val="nil"/>
          <w:bottom w:val="nil"/>
          <w:right w:val="nil"/>
          <w:between w:val="nil"/>
          <w:bar w:val="nil"/>
        </w:pBdr>
        <w:spacing w:before="0" w:after="240"/>
        <w:rPr>
          <w:b/>
          <w:noProof/>
        </w:rPr>
      </w:pPr>
      <w:r>
        <w:rPr>
          <w:b/>
          <w:noProof/>
        </w:rPr>
        <w:t>Κανονισμός υπηρεσιακής κατάστασης του προσωπικού της Μόνιμης Γραμματείας</w:t>
      </w:r>
    </w:p>
    <w:p>
      <w:pPr>
        <w:pBdr>
          <w:top w:val="nil"/>
          <w:left w:val="nil"/>
          <w:bottom w:val="nil"/>
          <w:right w:val="nil"/>
          <w:between w:val="nil"/>
          <w:bar w:val="nil"/>
        </w:pBdr>
        <w:spacing w:before="0" w:after="240"/>
        <w:rPr>
          <w:noProof/>
        </w:rPr>
      </w:pPr>
      <w:r>
        <w:rPr>
          <w:noProof/>
        </w:rPr>
        <w:t xml:space="preserve">Ο κανονισμός υπηρεσιακής κατάστασης εκπονήθηκε κατά τρόπο ώστε η Γραμματεία να μπορεί να προσλαμβάνει υπαλλήλους που διαθέτουν τα υψηλά πρότυπα ικανότητας, αποτελεσματικότητας και ακεραιότητας τα οποία απαιτεί η Κοινότητα Μεταφορών. Ο κανονισμός υπηρεσιακής κατάστασης έχει σε μεγάλο βαθμό βασιστεί στον κανονισμό υπηρεσιακής κατάστασης της Γραμματείας της Ενεργειακής Κοινότητας, κατά περίπτωση τροποποιημένου προκειμένου να ληφθούν υπόψη η πείρα που έχει αποκτηθεί από τη Γραμματεία της Ενεργειακής Κοινότητας και οι ιδιαιτερότητες της Κοινότητας Μεταφορών. </w:t>
      </w:r>
    </w:p>
    <w:p>
      <w:pPr>
        <w:pBdr>
          <w:top w:val="nil"/>
          <w:left w:val="nil"/>
          <w:bottom w:val="nil"/>
          <w:right w:val="nil"/>
          <w:between w:val="nil"/>
          <w:bar w:val="nil"/>
        </w:pBdr>
        <w:spacing w:before="0" w:after="240"/>
        <w:rPr>
          <w:noProof/>
        </w:rPr>
      </w:pPr>
      <w:r>
        <w:rPr>
          <w:noProof/>
        </w:rPr>
        <w:t>Το σχέδιο απόφασης της Περιφερειακής Διοικούσας Επιτροπής περί κανονισμού υπηρεσιακής κατάστασης της Γραμματείας παρατίθεται στο παράρτημα III του σχεδίου απόφασης του Συμβουλίου.</w:t>
      </w:r>
    </w:p>
    <w:p>
      <w:pPr>
        <w:pBdr>
          <w:top w:val="nil"/>
          <w:left w:val="nil"/>
          <w:bottom w:val="nil"/>
          <w:right w:val="nil"/>
          <w:between w:val="nil"/>
          <w:bar w:val="nil"/>
        </w:pBdr>
        <w:spacing w:before="0" w:after="240"/>
        <w:rPr>
          <w:b/>
          <w:noProof/>
        </w:rPr>
      </w:pPr>
      <w:r>
        <w:rPr>
          <w:b/>
          <w:noProof/>
        </w:rPr>
        <w:t>Προκηρύξεις πλήρωσης θέσεων διευθυντή και αναπληρωτή διευθυντή της Μόνιμης Γραμματείας</w:t>
      </w:r>
    </w:p>
    <w:p>
      <w:pPr>
        <w:pBdr>
          <w:top w:val="nil"/>
          <w:left w:val="nil"/>
          <w:bottom w:val="nil"/>
          <w:right w:val="nil"/>
          <w:between w:val="nil"/>
          <w:bar w:val="nil"/>
        </w:pBdr>
        <w:spacing w:before="0" w:after="240"/>
        <w:rPr>
          <w:noProof/>
        </w:rPr>
      </w:pPr>
      <w:r>
        <w:rPr>
          <w:noProof/>
        </w:rPr>
        <w:t>Ο διευθυντής θα είναι υπεύθυνος για την εκτέλεση του προϋπολογισμού της ΣΚΜ, καθώς και για την ορθή λειτουργία της Μόνιμης Γραμματείας. Ο αναπληρωτής διευθυντής θα είναι υπεύθυνος για οικονομικά θέματα και για θέματα προσωπικού που σχετίζονται με τη Μόνιμη Γραμματεία. Είναι σημαντικό να διασφαλιστεί ότι και για τις δύο θέσεις θα υποβάλουν αιτήσεις υποψήφιοι με υψηλά προσόντα και πείρα. Οι προκηρύξεις πλήρωσης θέσεων καθορίζουν τις απαιτήσεις αναλόγως.</w:t>
      </w:r>
    </w:p>
    <w:p>
      <w:pPr>
        <w:pBdr>
          <w:top w:val="nil"/>
          <w:left w:val="nil"/>
          <w:bottom w:val="nil"/>
          <w:right w:val="nil"/>
          <w:between w:val="nil"/>
          <w:bar w:val="nil"/>
        </w:pBdr>
        <w:spacing w:before="0" w:after="240"/>
        <w:rPr>
          <w:noProof/>
        </w:rPr>
      </w:pPr>
      <w:r>
        <w:rPr>
          <w:noProof/>
        </w:rPr>
        <w:t>Τα σχέδια αποφάσεων της Περιφερειακής Διοικούσας Επιτροπής για τις προκηρύξεις πλήρωσης θέσεων διευθυντή και αναπληρωτή διευθυντή της Γραμματείας παρατίθενται στα παραρτήματα IV και V του σχεδίου απόφασης του Συμβουλίου.</w:t>
      </w:r>
    </w:p>
    <w:p>
      <w:pPr>
        <w:pBdr>
          <w:top w:val="nil"/>
          <w:left w:val="nil"/>
          <w:bottom w:val="nil"/>
          <w:right w:val="nil"/>
          <w:between w:val="nil"/>
          <w:bar w:val="nil"/>
        </w:pBdr>
        <w:spacing w:before="0" w:after="240"/>
        <w:rPr>
          <w:noProof/>
        </w:rPr>
      </w:pPr>
      <w:r>
        <w:rPr>
          <w:noProof/>
        </w:rPr>
        <w:t>Η δρομολόγηση της πρόσληψης του μόνιμου διευθυντή και του αναπληρωτή διευθυντή δεν αποκλείει τη δυνατότητα —εφόσον κριθεί αναγκαίο— να προταθεί, παράλληλα, ο διορισμός προσωρινού διευθυντή, αποστολή του οποίου θα είναι, μέχρι να αναλάβει καθήκοντα ο μόνιμος διευθυντής, να εξασφαλίσει την απρόσκοπτη μετάβαση από το Παρατηρητήριο μεταφορών νοτιοανατολικής Ευρώπης (SEETO), του οποίου η εντολή λήγει την 31η Δεκεμβρίου 2018, στην Κοινότητα Μεταφορών και να συγκροτήσει τεχνικά τη Μόνιμη Γραμματεία.</w:t>
      </w:r>
    </w:p>
    <w:p>
      <w:pPr>
        <w:pStyle w:val="ManualHeading1"/>
        <w:rPr>
          <w:noProof/>
        </w:rPr>
      </w:pPr>
      <w:r>
        <w:rPr>
          <w:noProof/>
        </w:rPr>
        <w:t>3.</w:t>
      </w:r>
      <w:r>
        <w:rPr>
          <w:noProof/>
        </w:rPr>
        <w:tab/>
        <w:t>ΘΕΣΗ ΠΟΥ ΠΡΕΠΕΙ ΝΑ ΛΗΦΘΕΙ ΕΞ ΟΝΟΜΑΤΟΣ ΤΗΣ ΕΝΩΣΗΣ</w:t>
      </w:r>
    </w:p>
    <w:p>
      <w:pPr>
        <w:rPr>
          <w:bCs/>
          <w:noProof/>
          <w:szCs w:val="24"/>
        </w:rPr>
      </w:pPr>
      <w:r>
        <w:rPr>
          <w:noProof/>
        </w:rPr>
        <w:t>Είναι σημαντικό η Περιφερειακή Διοικούσα Επιτροπή να εγκρίνει τις αποφάσεις που απαιτούνται για την εφαρμογή της ΣΚΜ, ιδίως όσες είναι αναγκαίες για την έναρξη των εργασιών της Μόνιμης Γραμματείας. Δεδομένου ότι η Ένωση είναι συμβαλλόμενο μέρος της ΣΚΜ, είναι αναγκαίο να καθοριστεί η θέση της Ένωσης.</w:t>
      </w:r>
    </w:p>
    <w:p>
      <w:pPr>
        <w:rPr>
          <w:bCs/>
          <w:noProof/>
          <w:szCs w:val="24"/>
        </w:rPr>
      </w:pPr>
      <w:r>
        <w:rPr>
          <w:noProof/>
        </w:rPr>
        <w:t xml:space="preserve">Εν προκειμένω, θα πρέπει να υπενθυμιστεί ότι η ΣΚΜ είναι στοιχείο ικανό να ενισχύσει την περιφερειακή συνεργασία στα Δυτικά Βαλκάνια, όπως εξηγείται περαιτέρω στην πρόταση της Επιτροπής για απόφαση του Συμβουλίου σχετικά με την υπογραφή της ΣΚΜ [COM(2017)324 final, ενότητα «Γενικό πλαίσιο»].  </w:t>
      </w:r>
    </w:p>
    <w:p>
      <w:pPr>
        <w:pStyle w:val="ManualHeading1"/>
        <w:rPr>
          <w:noProof/>
        </w:rPr>
      </w:pPr>
      <w:r>
        <w:rPr>
          <w:noProof/>
        </w:rPr>
        <w:t>4.</w:t>
      </w:r>
      <w:r>
        <w:rPr>
          <w:noProof/>
        </w:rPr>
        <w:tab/>
        <w:t>ΝΟΜΙΚΗ ΒΑΣΗ</w:t>
      </w:r>
      <w:r>
        <w:rPr>
          <w:noProof/>
        </w:rPr>
        <w:tab/>
      </w:r>
    </w:p>
    <w:p>
      <w:pPr>
        <w:pStyle w:val="ManualHeading2"/>
        <w:rPr>
          <w:noProof/>
          <w:u w:color="000000"/>
          <w:bdr w:val="nil"/>
        </w:rPr>
      </w:pPr>
      <w:r>
        <w:rPr>
          <w:noProof/>
        </w:rPr>
        <w:t>4.1</w:t>
      </w:r>
      <w:r>
        <w:rPr>
          <w:noProof/>
        </w:rPr>
        <w:tab/>
        <w:t>Διαδικαστική νομική βάση</w:t>
      </w:r>
    </w:p>
    <w:p>
      <w:pPr>
        <w:pStyle w:val="ManualHeading3"/>
        <w:rPr>
          <w:noProof/>
        </w:rPr>
      </w:pPr>
      <w:r>
        <w:rPr>
          <w:noProof/>
        </w:rPr>
        <w:t>4.1.1 Αρχές</w:t>
      </w:r>
    </w:p>
    <w:p>
      <w:pPr>
        <w:pBdr>
          <w:top w:val="nil"/>
          <w:left w:val="nil"/>
          <w:bottom w:val="nil"/>
          <w:right w:val="nil"/>
          <w:between w:val="nil"/>
          <w:bar w:val="nil"/>
        </w:pBdr>
        <w:spacing w:before="0" w:after="240"/>
        <w:rPr>
          <w:noProof/>
        </w:rPr>
      </w:pPr>
      <w:r>
        <w:rPr>
          <w:noProof/>
        </w:rPr>
        <w:t>Το άρθρο 218 παράγραφος 9 της Συνθήκης για τη λειτουργία της Ευρωπαϊκής Ένωσης (ΣΛΕΕ) προβλέπει την έκδοση αποφάσεων του Συμβουλίου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pBdr>
          <w:top w:val="nil"/>
          <w:left w:val="nil"/>
          <w:bottom w:val="nil"/>
          <w:right w:val="nil"/>
          <w:between w:val="nil"/>
          <w:bar w:val="nil"/>
        </w:pBdr>
        <w:spacing w:before="0" w:after="240"/>
        <w:rPr>
          <w:noProof/>
        </w:rPr>
      </w:pPr>
      <w:r>
        <w:rPr>
          <w:noProof/>
        </w:rPr>
        <w:t>Η έννοια των «</w:t>
      </w:r>
      <w:r>
        <w:rPr>
          <w:i/>
          <w:noProof/>
        </w:rPr>
        <w:t>πράξεων που παράγουν έννομα αποτελέσματα</w:t>
      </w:r>
      <w:r>
        <w:rPr>
          <w:noProof/>
        </w:rPr>
        <w:t>» περιλαμβάνει πράξεις που παράγουν έννομα αποτελέσματα δυνάμει των κανόνων του διεθνούς δικαίου που διέπουν το εν λόγω όργανο. Περιλαμβάνει επίσης πράξεις που δεν έχουν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3"/>
      </w:r>
      <w:r>
        <w:rPr>
          <w:noProof/>
        </w:rPr>
        <w:t>.</w:t>
      </w:r>
    </w:p>
    <w:p>
      <w:pPr>
        <w:pStyle w:val="ManualHeading3"/>
        <w:rPr>
          <w:noProof/>
        </w:rPr>
      </w:pPr>
      <w:r>
        <w:rPr>
          <w:noProof/>
        </w:rPr>
        <w:t>4.1.2 Εφαρμογή στην προκειμένη περίπτωση</w:t>
      </w:r>
    </w:p>
    <w:p>
      <w:pPr>
        <w:rPr>
          <w:noProof/>
        </w:rPr>
      </w:pPr>
      <w:r>
        <w:rPr>
          <w:noProof/>
        </w:rPr>
        <w:t>Η Περιφερειακή Διοικούσα Επιτροπή είναι όργανο που έχει συσταθεί με συμφωνία, συγκεκριμένα τη ΣΚΜ.</w:t>
      </w:r>
    </w:p>
    <w:p>
      <w:pPr>
        <w:rPr>
          <w:noProof/>
        </w:rPr>
      </w:pPr>
      <w:r>
        <w:rPr>
          <w:noProof/>
        </w:rPr>
        <w:t xml:space="preserve">Οι πράξεις τις οποίες καλείται να εκδώσει η Περιφερειακή Διοικούσα Επιτροπή είναι πράξεις που παράγουν έννομα αποτελέσματα. Η Περιφερειακή Διοικούσα Επιτροπή εξουσιοδοτείται να καθορίσει τον εσωτερικό κανονισμό της Μόνιμης Γραμματείας σύμφωνα με το άρθρο 30 της ΣΚΜ και να διορίσει τον διευθυντή και έναν ή περισσότερους αναπληρωτές διευθυντές. Επιπλέον, δυνάμει του άρθρου 35 της ΣΚΜ, η Περιφερειακή Διοικούσα Επιτροπή εξουσιοδοτείται να εγκρίνει τον προϋπολογισμό. Από τη φύση του, και ως ζήτημα διεθνούς δικαίου που διέπει την Περιφερειακή Διοικούσα Επιτροπή, ο εν λόγω εσωτερικός κανονισμός περιέχει στοιχεία που επηρεάζουν τη νομική θέση των συμβαλλομένων μερών της ΣΚΜ και, συνεπώς, και της Ένωσης. Κατά συνέπεια, πρέπει να θεωρείται ότι παράγει έννομα αποτελέσματα. </w:t>
      </w:r>
    </w:p>
    <w:p>
      <w:pPr>
        <w:rPr>
          <w:noProof/>
        </w:rPr>
      </w:pPr>
      <w:r>
        <w:rPr>
          <w:noProof/>
        </w:rPr>
        <w:t xml:space="preserve">Όσον αφορά τον διορισμό του διευθυντή και του αναπληρωτή διευθυντή, η προβλεπόμενη απόφαση της Περιφερειακής Διοικούσας Επιτροπής μέχρι στιγμής αφορά μόνο τις αντίστοιχες προκηρύξεις πλήρωσης θέσεων. Ωστόσο, οι προκηρύξεις επίσης παράγουν έννομα αποτελέσματα, καθόσον καθορίζουν τα κριτήρια που πρέπει να τηρούνται κατά τη διαδικασία διορισμού.  </w:t>
      </w:r>
    </w:p>
    <w:p>
      <w:pPr>
        <w:rPr>
          <w:noProof/>
        </w:rPr>
      </w:pPr>
      <w:r>
        <w:rPr>
          <w:noProof/>
        </w:rPr>
        <w:t>Οι προτεινόμενες πράξεις δεν συμπληρώνουν ούτε τροποποιούν το θεσμικό πλαίσιο της ΣΚΜ.</w:t>
      </w:r>
    </w:p>
    <w:p>
      <w:pPr>
        <w:rPr>
          <w:rFonts w:eastAsia="Arial Unicode MS"/>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u w:color="000000"/>
          <w:bdr w:val="nil"/>
        </w:rPr>
      </w:pPr>
      <w:r>
        <w:rPr>
          <w:noProof/>
        </w:rPr>
        <w:t>4.2</w:t>
      </w:r>
      <w:r>
        <w:rPr>
          <w:noProof/>
        </w:rPr>
        <w:tab/>
        <w:t>Ουσιαστική νομική βάση</w:t>
      </w:r>
    </w:p>
    <w:p>
      <w:pPr>
        <w:pStyle w:val="ManualHeading3"/>
        <w:rPr>
          <w:noProof/>
          <w:u w:color="000000"/>
          <w:bdr w:val="nil"/>
        </w:rPr>
      </w:pPr>
      <w:r>
        <w:rPr>
          <w:noProof/>
        </w:rPr>
        <w:t>4.2.1.</w:t>
      </w:r>
      <w:r>
        <w:rPr>
          <w:noProof/>
        </w:rPr>
        <w:tab/>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Εάν η προτεινόμενη πράξη επιδιώκει διττό σκοπό ή έχει δύο συνιστώσες και εάν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μόνο ουσιαστική νομική βάση, ήτοι εκείνη που επιβάλλει ο κύριος ή πρωτεύων σκοπός ή συνιστώσα.</w:t>
      </w:r>
    </w:p>
    <w:p>
      <w:pPr>
        <w:rPr>
          <w:noProof/>
        </w:rPr>
      </w:pPr>
      <w:r>
        <w:rPr>
          <w:noProof/>
        </w:rPr>
        <w:t>Όσον αφορά προβλεπόμενη πράξη που επιδιώκει συγχρόνως πολλούς σκοπούς ή έχει πολλαπλές συνιστώσες, άρρηκτα συνδεδεμένες μεταξύ τους χωρίς η μία να έχει παρεπόμενο χαρακτήρα ως προς άλλη, η ουσιαστική νομική βάση απόφασης βάσει του άρθρου 218 παράγραφος 9 της ΣΛΕΕ πρέπει να περιλαμβάνει, κατ’ εξαίρεση, τις αντίστοιχες διαφορετικές νομικές βάσεις.</w:t>
      </w:r>
    </w:p>
    <w:p>
      <w:pPr>
        <w:pStyle w:val="ManualHeading3"/>
        <w:rPr>
          <w:noProof/>
          <w:u w:color="000000"/>
          <w:bdr w:val="nil"/>
        </w:rPr>
      </w:pPr>
      <w:r>
        <w:rPr>
          <w:noProof/>
        </w:rPr>
        <w:t>4.2.2.</w:t>
      </w:r>
      <w:r>
        <w:rPr>
          <w:noProof/>
        </w:rPr>
        <w:tab/>
        <w:t>Εφαρμογή στην προκειμένη περίπτωση</w:t>
      </w:r>
    </w:p>
    <w:p>
      <w:pPr>
        <w:rPr>
          <w:noProof/>
        </w:rPr>
      </w:pPr>
      <w:r>
        <w:rPr>
          <w:noProof/>
        </w:rPr>
        <w:t>Οι προβλεπόμενες πράξεις είναι απαραίτητες για την εύρυθμη λειτουργία της ΣΚΜ. Οι στόχοι και οι συνιστώσες της ΣΚΜ, με τη σειρά τους, αφορούν τους τομείς των οδικών, σιδηροδρομικών και εσωτερικών πλωτών μεταφορών, οι οποίοι είναι τρόποι μεταφοράς που καλύπτονται από το άρθρο 91 της ΣΛΕΕ, καθώς και τον τομέα των θαλάσσιων μεταφορών, τρόπο μεταφοράς που καλύπτεται από το άρθρο 100 παράγραφος 2 της ΣΛΕΕ. Λόγω του οριζόντιου χαρακτήρα τους, οι προβλεπόμενες πράξεις αφορούν όλα τα εν λόγω στοιχεία. Όλα αυτά τα στοιχεία είναι άρρηκτα συνδεδεμένα μεταξύ τους, χωρίς το ένα να έχει παρεπόμενο χαρακτήρα ως προς άλλο.</w:t>
      </w:r>
    </w:p>
    <w:p>
      <w:pPr>
        <w:pBdr>
          <w:top w:val="nil"/>
          <w:left w:val="nil"/>
          <w:bottom w:val="nil"/>
          <w:right w:val="nil"/>
          <w:between w:val="nil"/>
          <w:bar w:val="nil"/>
        </w:pBdr>
        <w:spacing w:before="0" w:after="240"/>
        <w:rPr>
          <w:noProof/>
        </w:rPr>
      </w:pPr>
      <w:r>
        <w:rPr>
          <w:noProof/>
        </w:rPr>
        <w:t>Συνεπώς, η ουσιαστική νομική βάση της προτεινόμενης απόφασης συνίσταται στις ακόλουθες διατάξεις: άρθρο 91 και άρθρο 100 παράγραφος 2 της ΣΛΕΕ.</w:t>
      </w:r>
    </w:p>
    <w:p>
      <w:pPr>
        <w:pStyle w:val="ManualHeading2"/>
        <w:rPr>
          <w:noProof/>
        </w:rPr>
      </w:pPr>
      <w:r>
        <w:rPr>
          <w:noProof/>
        </w:rPr>
        <w:t>4.3</w:t>
      </w:r>
      <w:r>
        <w:rPr>
          <w:noProof/>
        </w:rPr>
        <w:tab/>
        <w:t>Συμπέρασμα</w:t>
      </w:r>
    </w:p>
    <w:p>
      <w:pPr>
        <w:pBdr>
          <w:top w:val="nil"/>
          <w:left w:val="nil"/>
          <w:bottom w:val="nil"/>
          <w:right w:val="nil"/>
          <w:between w:val="nil"/>
          <w:bar w:val="nil"/>
        </w:pBdr>
        <w:spacing w:before="0" w:after="240"/>
        <w:rPr>
          <w:noProof/>
        </w:rPr>
      </w:pPr>
      <w:r>
        <w:rPr>
          <w:noProof/>
        </w:rPr>
        <w:t>Το άρθρο 91 και το άρθρο 100 παράγραφος 2 της ΣΛΕΕ, σε συνδυασμό με το άρθρο 218 παράγραφος 9 της ΣΛΕΕ, θα πρέπει να αποτελέσουν τη νομική βάση της προτεινόμενης απόφασης.</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2018/0408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 xml:space="preserve">σχετικά με τη θέση που πρέπει να ληφθεί εξ ονόματος της Ευρωπαϊκής Ένωσης </w:t>
      </w:r>
      <w:r>
        <w:rPr>
          <w:noProof/>
        </w:rPr>
        <w:br/>
        <w:t xml:space="preserve">στην Περιφερειακή Διοικούσα Επιτροπή της Κοινότητας Μεταφορών </w:t>
      </w:r>
      <w:r>
        <w:rPr>
          <w:noProof/>
        </w:rPr>
        <w:br/>
        <w:t>όσον αφορά ορισμένα θέματα προϋπολογισμού και προσωπικού σε σχέση με την εφαρμογή της Συνθήκης ίδρυσης Κοινότητας Μεταφορών</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91 και το άρθρο 100 παράγραφος 2, σε συνδυασμό με το άρθρο 218 παράγραφος 9,</w:t>
      </w:r>
    </w:p>
    <w:p>
      <w:pPr>
        <w:spacing w:line="360" w:lineRule="auto"/>
        <w:jc w:val="left"/>
        <w:rPr>
          <w:noProof/>
        </w:rPr>
      </w:pPr>
      <w:r>
        <w:rPr>
          <w:noProof/>
        </w:rPr>
        <w:t>Έχοντας υπόψη την πρόταση της Ευρωπαϊκής Επιτροπής,</w:t>
      </w:r>
    </w:p>
    <w:p>
      <w:pPr>
        <w:spacing w:line="360" w:lineRule="auto"/>
        <w:jc w:val="left"/>
        <w:rPr>
          <w:noProof/>
        </w:rPr>
      </w:pPr>
      <w:r>
        <w:rPr>
          <w:noProof/>
        </w:rPr>
        <w:t>Εκτιμώντας τα ακόλουθα:</w:t>
      </w:r>
    </w:p>
    <w:p>
      <w:pPr>
        <w:pStyle w:val="ManualConsidrant"/>
        <w:rPr>
          <w:noProof/>
        </w:rPr>
      </w:pPr>
      <w:r>
        <w:t>(1)</w:t>
      </w:r>
      <w:r>
        <w:tab/>
      </w:r>
      <w:r>
        <w:rPr>
          <w:noProof/>
        </w:rPr>
        <w:t>Η Συνθήκη ίδρυσης Κοινότητας Μεταφορών (εφεξής: ΣΚΜ) υπογράφηκε από την Ένωση σύμφωνα με την απόφαση (ΕΕ) 2017/1937 του Συμβουλίου</w:t>
      </w:r>
      <w:r>
        <w:rPr>
          <w:rStyle w:val="FootnoteReference"/>
          <w:noProof/>
        </w:rPr>
        <w:footnoteReference w:id="4"/>
      </w:r>
      <w:r>
        <w:rPr>
          <w:noProof/>
        </w:rPr>
        <w:t>.</w:t>
      </w:r>
    </w:p>
    <w:p>
      <w:pPr>
        <w:pStyle w:val="ManualConsidrant"/>
        <w:rPr>
          <w:bCs/>
          <w:noProof/>
          <w:szCs w:val="24"/>
          <w:vertAlign w:val="superscript"/>
        </w:rPr>
      </w:pPr>
      <w:r>
        <w:t>(2)</w:t>
      </w:r>
      <w:r>
        <w:tab/>
      </w:r>
      <w:r>
        <w:rPr>
          <w:noProof/>
        </w:rPr>
        <w:t>Σύμφωνα με το άρθρο 41 παράγραφος 3 της ΣΚΜ, η ΣΚΜ εφαρμόζεται προσωρινά, από τις 9 Οκτωβρίου 2017, μεταξύ της Ένωσης, της Δημοκρατίας της Αλβανίας, της Βοσνίας-Ερζεγοβίνης, της πρώην Γιουγκοσλαβικής Δημοκρατίας της Μακεδονίας, του Κοσσυφοπεδίου</w:t>
      </w:r>
      <w:r>
        <w:rPr>
          <w:b/>
          <w:noProof/>
          <w:vertAlign w:val="superscript"/>
        </w:rPr>
        <w:footnoteReference w:customMarkFollows="1" w:id="5"/>
        <w:t>*</w:t>
      </w:r>
      <w:r>
        <w:rPr>
          <w:noProof/>
        </w:rPr>
        <w:t>,</w:t>
      </w:r>
      <w:r>
        <w:rPr>
          <w:noProof/>
          <w:vertAlign w:val="superscript"/>
        </w:rPr>
        <w:t xml:space="preserve"> </w:t>
      </w:r>
      <w:r>
        <w:rPr>
          <w:noProof/>
        </w:rPr>
        <w:t>του Μαυροβουνίου και της Δημοκρατίας της Σερβίας.</w:t>
      </w:r>
    </w:p>
    <w:p>
      <w:pPr>
        <w:pStyle w:val="ManualConsidrant"/>
        <w:rPr>
          <w:noProof/>
        </w:rPr>
      </w:pPr>
      <w:r>
        <w:t>(3)</w:t>
      </w:r>
      <w:r>
        <w:tab/>
      </w:r>
      <w:r>
        <w:rPr>
          <w:noProof/>
        </w:rPr>
        <w:t>Η Περιφερειακή Διοικούσα Επιτροπή της Κοινότητας Μεταφορών (εφεξής: η Διοικούσα Επιτροπή) πρέπει να εγκρίνει αποφάσεις επί ορισμένων θεμάτων προϋπολογισμού και προσωπικού για να εξασφαλιστεί η εφαρμογή της ΣΚΜ.</w:t>
      </w:r>
    </w:p>
    <w:p>
      <w:pPr>
        <w:pStyle w:val="ManualConsidrant"/>
        <w:rPr>
          <w:noProof/>
        </w:rPr>
      </w:pPr>
      <w:r>
        <w:t>(4)</w:t>
      </w:r>
      <w:r>
        <w:tab/>
      </w:r>
      <w:r>
        <w:rPr>
          <w:noProof/>
        </w:rPr>
        <w:t>Είναι σκόπιμο να καθοριστεί η θέση που πρέπει να ληφθεί εξ ονόματος της Ένωσης στη Διοικούσα Επιτροπή, δεδομένου ότι οι εν λόγω αποφάσεις είναι αναγκαίες για την έναρξη των εργασιών της Μόνιμης Γραμματείας της Κοινότητας Μεταφορών, και θα παράγουν έννομα αποτελέσματα έναντι της Ένωσης.</w:t>
      </w:r>
    </w:p>
    <w:p>
      <w:pPr>
        <w:pStyle w:val="ManualConsidrant"/>
        <w:rPr>
          <w:noProof/>
        </w:rPr>
      </w:pPr>
      <w:r>
        <w:t>(5)</w:t>
      </w:r>
      <w:r>
        <w:tab/>
      </w:r>
      <w:r>
        <w:rPr>
          <w:noProof/>
        </w:rPr>
        <w:t>Η σκοπούμενη εξουσιοδότηση της Επιτροπής να εκτελεί προσωρινά τον προϋπολογισμό της Κοινότητας Μεταφορών δεν μεταβάλλει τον ουσιώδη χαρακτήρα των εξουσιών που απονέμονται στο εν λόγω θεσμικό όργανο από τις Συνθήκες,</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Η θέση που πρέπει να ληφθεί εξ ονόματος της Ένωσης στη Περιφερειακή Διοικούσα Επιτροπή της Κοινότητας Μεταφορών βασίζεται στα σχέδια αποφάσεων της Περιφερειακής Διοικούσας Επιτροπής που επισυνάπτονται στην παρούσα απόφαση.</w:t>
      </w:r>
    </w:p>
    <w:p>
      <w:pPr>
        <w:jc w:val="left"/>
        <w:rPr>
          <w:noProof/>
        </w:rPr>
      </w:pPr>
      <w:r>
        <w:rPr>
          <w:noProof/>
        </w:rPr>
        <w:t xml:space="preserve">Οι εκπρόσωποι της Ένωσης στην </w:t>
      </w:r>
      <w:r>
        <w:rPr>
          <w:noProof/>
          <w:color w:val="000000"/>
        </w:rPr>
        <w:t>Περιφερειακή Δ</w:t>
      </w:r>
      <w:r>
        <w:rPr>
          <w:noProof/>
        </w:rPr>
        <w:t xml:space="preserve">ιοικούσα </w:t>
      </w:r>
      <w:r>
        <w:rPr>
          <w:noProof/>
          <w:color w:val="000000"/>
        </w:rPr>
        <w:t>Επιτροπή</w:t>
      </w:r>
      <w:r>
        <w:rPr>
          <w:noProof/>
        </w:rPr>
        <w:t xml:space="preserve"> </w:t>
      </w:r>
      <w:r>
        <w:rPr>
          <w:noProof/>
          <w:color w:val="000000"/>
        </w:rPr>
        <w:t>μπορούν να συμφωνήσουν σε ελάσσονες αλλαγές στα σχέδια αποφάσεων</w:t>
      </w:r>
      <w:r>
        <w:rPr>
          <w:noProof/>
        </w:rPr>
        <w:t xml:space="preserve"> χωρίς περαιτέρω απόφαση του Συμβουλίου.</w:t>
      </w:r>
    </w:p>
    <w:p>
      <w:pPr>
        <w:pStyle w:val="Titrearticle"/>
        <w:rPr>
          <w:noProof/>
        </w:rPr>
      </w:pPr>
      <w:r>
        <w:rPr>
          <w:noProof/>
        </w:rPr>
        <w:t>Άρθρο 2</w:t>
      </w:r>
    </w:p>
    <w:p>
      <w:pPr>
        <w:spacing w:line="360" w:lineRule="auto"/>
        <w:jc w:val="left"/>
        <w:rPr>
          <w:noProof/>
        </w:rPr>
      </w:pPr>
      <w:r>
        <w:rPr>
          <w:noProof/>
        </w:rPr>
        <w:t>Η παρούσα απόφαση απευθύνεται στην Επιτροπή.</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278 της 27.10.2017, σ. 1.</w:t>
      </w:r>
    </w:p>
    <w:p>
      <w:pPr>
        <w:pStyle w:val="FootnoteText"/>
      </w:pPr>
    </w:p>
    <w:p/>
    <w:p>
      <w:pPr>
        <w:ind w:left="720" w:hanging="720"/>
        <w:rPr>
          <w:sz w:val="20"/>
          <w:szCs w:val="20"/>
        </w:rPr>
      </w:pPr>
      <w:r>
        <w:rPr>
          <w:sz w:val="20"/>
        </w:rPr>
        <w:t>*</w:t>
      </w:r>
      <w:r>
        <w:tab/>
      </w:r>
      <w:r>
        <w:rPr>
          <w:sz w:val="20"/>
        </w:rPr>
        <w:t>Η ονομασία αυτή χρησιμοποιείται με επιφύλαξη των θέσεων ως προς το καθεστώς και συνάδει με την απόφαση 1244/1999 του Συμβουλίου Ασφαλείας των Ηνωμένων Εθνών και τη γνώμη του Διεθνούς Δικαστηρίου σχετικά με τη διακήρυξη της ανεξαρτησίας του Κοσσυφοπεδίου.</w:t>
      </w:r>
    </w:p>
  </w:footnote>
  <w:footnote w:id="2">
    <w:p/>
  </w:footnote>
  <w:footnote w:id="3">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4">
    <w:p>
      <w:pPr>
        <w:pStyle w:val="FootnoteText"/>
      </w:pPr>
      <w:r>
        <w:rPr>
          <w:rStyle w:val="FootnoteReference"/>
        </w:rPr>
        <w:footnoteRef/>
      </w:r>
      <w:r>
        <w:tab/>
        <w:t>Απόφαση (ΕΕ) 2017/1937 του Συμβουλίου, της 11ης Ιουλίου 2017, σχετικά με την υπογραφή, εξ ονόματος της Ευρωπαϊκής Ένωσης, και την προσωρινή εφαρμογή της Συνθήκης για την ίδρυση Κοινότητας Μεταφορών (ΕΕ L 278 της 27.10.2017, σ. 1).</w:t>
      </w:r>
    </w:p>
  </w:footnote>
  <w:footnote w:id="5">
    <w:p>
      <w:pPr>
        <w:pStyle w:val="FootnoteText"/>
        <w:rPr>
          <w:szCs w:val="24"/>
          <w:lang w:val="et-EE"/>
        </w:rPr>
      </w:pPr>
      <w:r>
        <w:rPr>
          <w:rStyle w:val="FootnoteReference"/>
        </w:rPr>
        <w:t>*</w:t>
      </w:r>
      <w:r>
        <w:t>Η ονομασία αυτή χρησιμοποιείται με επιφύλαξη των θέσεων ως προς το καθεστώς και συνάδει με την απόφαση 1244/1999 του Συμβουλίου Ασφαλείας των Ηνωμένων Εθνών και τη γνώμη του Διεθνούς Δικαστηρίου σχετικά με τη διακήρυξη της ανεξαρτησίας του Κοσσυφοπεδίου.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A84C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B486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C21D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A6F6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86EF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A4AA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D8E71DC"/>
    <w:lvl w:ilvl="0">
      <w:start w:val="1"/>
      <w:numFmt w:val="decimal"/>
      <w:pStyle w:val="ListNumber"/>
      <w:lvlText w:val="%1."/>
      <w:lvlJc w:val="left"/>
      <w:pPr>
        <w:tabs>
          <w:tab w:val="num" w:pos="360"/>
        </w:tabs>
        <w:ind w:left="360" w:hanging="360"/>
      </w:pPr>
    </w:lvl>
  </w:abstractNum>
  <w:abstractNum w:abstractNumId="7">
    <w:nsid w:val="FFFFFF89"/>
    <w:multiLevelType w:val="singleLevel"/>
    <w:tmpl w:val="AA54C8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3 11:00:11"/>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8A04A539-BB1B-4BD6-B204-7EF39BF8F227"/>
    <w:docVar w:name="LW_COVERPAGE_TYPE" w:val="1"/>
    <w:docVar w:name="LW_CROSSREFERENCE" w:val="&lt;UNUSED&gt;"/>
    <w:docVar w:name="LW_DocType" w:val="COM"/>
    <w:docVar w:name="LW_EMISSION" w:val="3.12.2018"/>
    <w:docVar w:name="LW_EMISSION_ISODATE" w:val="2018-12-03"/>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408"/>
    <w:docVar w:name="LW_REF.II.NEW.CP_YEAR" w:val="2018"/>
    <w:docVar w:name="LW_REF.INST.NEW" w:val="COM"/>
    <w:docVar w:name="LW_REF.INST.NEW_ADOPTED" w:val="final"/>
    <w:docVar w:name="LW_REF.INST.NEW_TEXT" w:val="(2018)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_x000b_\u963?\u964?\u951?\u957? \u928?\u949?\u961?\u953?\u966?\u949?\u961?\u949?\u953?\u945?\u954?\u942? \u916?\u953?\u959?\u953?\u954?\u959?\u973?\u963?\u945? \u917?\u960?\u953?\u964?\u961?\u959?\u960?\u942? \u964?\u951?\u962? \u922?\u959?\u953?\u957?\u972?\u964?\u951?\u964?\u945?\u962? \u924?\u949?\u964?\u945?\u966?\u959?\u961?\u974?\u957? _x000b_\u972?\u963?\u959?\u957? \u945?\u966?\u959?\u961?\u940? \u959?\u961?\u953?\u963?\u956?\u941?\u957?\u945? \u952?\u941?\u956?\u945?\u964?\u945? \u960?\u961?\u959?\u971?\u960?\u959?\u955?\u959?\u947?\u953?\u963?\u956?\u959?\u973? \u954?\u945?\u953? \u960?\u961?\u959?\u963?\u969?\u960?\u953?\u954?\u959?\u973? \u963?\u949? \u963?\u967?\u941?\u963?\u951? \u956?\u949? \u964?\u951?\u957? \u949?\u966?\u945?\u961?\u956?\u959?\u947?\u942? \u964?\u951?\u962? \u931?\u965?\u957?\u952?\u942?\u954?\u951?\u962? \u943?\u948?\u961?\u965?\u963?\u951?\u962? \u922?\u959?\u953?\u957?\u972?\u964?\u951?\u964?\u945?\u962? \u924?\u949?\u964?\u945?\u966?\u959?\u961?\u974?\u957?"/>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8</Pages>
  <Words>2286</Words>
  <Characters>13447</Characters>
  <Application>Microsoft Office Word</Application>
  <DocSecurity>0</DocSecurity>
  <Lines>244</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2018-12-12T14:44:00Z</dcterms:created>
  <dcterms:modified xsi:type="dcterms:W3CDTF">2018-12-13T10:00:00Z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