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3C747325-6447-4CB3-B754-415038F77537" style="width:450.45pt;height:410.7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ZAŁĄCZNIK I</w:t>
      </w:r>
    </w:p>
    <w:p>
      <w:pPr>
        <w:spacing w:before="360" w:after="0" w:line="360" w:lineRule="auto"/>
        <w:jc w:val="center"/>
        <w:rPr>
          <w:noProof/>
        </w:rPr>
      </w:pPr>
      <w:r>
        <w:rPr>
          <w:noProof/>
        </w:rPr>
        <w:t>PROJEKT</w:t>
      </w:r>
    </w:p>
    <w:p>
      <w:pPr>
        <w:spacing w:before="360" w:after="0" w:line="360" w:lineRule="auto"/>
        <w:jc w:val="center"/>
        <w:rPr>
          <w:b/>
          <w:noProof/>
        </w:rPr>
      </w:pPr>
      <w:r>
        <w:rPr>
          <w:b/>
          <w:noProof/>
        </w:rPr>
        <w:t>DECYZJA nr 2018/</w:t>
      </w:r>
      <w:r>
        <w:rPr>
          <w:b/>
          <w:noProof/>
        </w:rPr>
        <w:br/>
        <w:t>REGIONALNEGO KOMITETU STERUJĄCEGO WSPÓLNOTY TRANSPORTOWEJ</w:t>
      </w:r>
    </w:p>
    <w:p>
      <w:pPr>
        <w:spacing w:before="360"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z dnia [...] r.</w:t>
      </w:r>
    </w:p>
    <w:p>
      <w:pPr>
        <w:spacing w:before="0" w:after="200" w:line="276" w:lineRule="auto"/>
        <w:jc w:val="center"/>
        <w:rPr>
          <w:b/>
          <w:noProof/>
          <w:szCs w:val="24"/>
        </w:rPr>
      </w:pPr>
      <w:r>
        <w:rPr>
          <w:b/>
          <w:noProof/>
        </w:rPr>
        <w:t>w sprawie przyjęcia budżetu Wspólnoty Transportowej na rok 2019</w:t>
      </w:r>
    </w:p>
    <w:p>
      <w:pPr>
        <w:spacing w:before="360" w:after="360" w:line="360" w:lineRule="auto"/>
        <w:jc w:val="center"/>
        <w:rPr>
          <w:b/>
          <w:noProof/>
          <w:szCs w:val="24"/>
        </w:rPr>
      </w:pPr>
    </w:p>
    <w:p>
      <w:pPr>
        <w:keepNext/>
        <w:spacing w:before="600" w:line="360" w:lineRule="auto"/>
        <w:jc w:val="left"/>
        <w:rPr>
          <w:noProof/>
        </w:rPr>
      </w:pPr>
      <w:r>
        <w:rPr>
          <w:noProof/>
        </w:rPr>
        <w:t>REGIONALNY KOMITET STERUJĄCY WSPÓLNOTY TRANSPORTOWEJ,</w:t>
      </w:r>
    </w:p>
    <w:p>
      <w:pPr>
        <w:spacing w:line="360" w:lineRule="auto"/>
        <w:jc w:val="left"/>
        <w:rPr>
          <w:noProof/>
        </w:rPr>
      </w:pPr>
      <w:r>
        <w:rPr>
          <w:noProof/>
        </w:rPr>
        <w:t>uwzględniając Traktat ustanawiający Wspólnotę Transportową, w szczególności jego art. 24 ust. 1 oraz art. 30 i 35,</w:t>
      </w:r>
    </w:p>
    <w:p>
      <w:pPr>
        <w:keepNext/>
        <w:spacing w:line="360" w:lineRule="auto"/>
        <w:jc w:val="left"/>
        <w:rPr>
          <w:noProof/>
        </w:rPr>
      </w:pPr>
      <w:r>
        <w:rPr>
          <w:noProof/>
        </w:rPr>
        <w:t>STANOWI, CO NASTĘPUJE:</w:t>
      </w:r>
    </w:p>
    <w:p>
      <w:pPr>
        <w:keepNext/>
        <w:spacing w:before="360" w:line="360" w:lineRule="auto"/>
        <w:jc w:val="center"/>
        <w:rPr>
          <w:i/>
          <w:noProof/>
        </w:rPr>
      </w:pPr>
      <w:r>
        <w:rPr>
          <w:i/>
          <w:noProof/>
        </w:rPr>
        <w:t>Artykuł 1</w:t>
      </w:r>
    </w:p>
    <w:p>
      <w:pPr>
        <w:spacing w:line="360" w:lineRule="auto"/>
        <w:jc w:val="left"/>
        <w:rPr>
          <w:noProof/>
        </w:rPr>
      </w:pPr>
      <w:r>
        <w:rPr>
          <w:noProof/>
        </w:rPr>
        <w:t>Budżet Wspólnoty Transportowej na rok 2019, dołączony do niniejszej decyzji, zostaje niniejszym przyjęty.</w:t>
      </w:r>
    </w:p>
    <w:p>
      <w:pPr>
        <w:keepNext/>
        <w:spacing w:before="360" w:line="360" w:lineRule="auto"/>
        <w:jc w:val="center"/>
        <w:rPr>
          <w:i/>
          <w:noProof/>
        </w:rPr>
      </w:pPr>
      <w:r>
        <w:rPr>
          <w:i/>
          <w:noProof/>
        </w:rPr>
        <w:t>Artykuł 2</w:t>
      </w:r>
    </w:p>
    <w:p>
      <w:pPr>
        <w:spacing w:line="360" w:lineRule="auto"/>
        <w:jc w:val="left"/>
        <w:rPr>
          <w:noProof/>
        </w:rPr>
      </w:pPr>
      <w:r>
        <w:rPr>
          <w:noProof/>
        </w:rPr>
        <w:t>Komisja Europejska odpowiada za wykonanie budżetu i rozpoczęcie prac Stałego Sekretariatu Wspólnoty Transportowej zgodnie z art. 3.</w:t>
      </w:r>
    </w:p>
    <w:p>
      <w:pPr>
        <w:keepNext/>
        <w:spacing w:before="360" w:line="360" w:lineRule="auto"/>
        <w:jc w:val="center"/>
        <w:rPr>
          <w:i/>
          <w:noProof/>
        </w:rPr>
      </w:pPr>
      <w:r>
        <w:rPr>
          <w:i/>
          <w:noProof/>
        </w:rPr>
        <w:t>Artykuł 3</w:t>
      </w:r>
    </w:p>
    <w:p>
      <w:pPr>
        <w:keepNext/>
        <w:spacing w:after="0" w:line="360" w:lineRule="auto"/>
        <w:jc w:val="left"/>
        <w:rPr>
          <w:noProof/>
        </w:rPr>
      </w:pPr>
      <w:r>
        <w:rPr>
          <w:noProof/>
        </w:rPr>
        <w:t>Art. 2 stosuje się od dnia xx grudnia 2018 r. Przestaje obowiązywać w dniu poprzedzającym dzień, w którym powołanie Dyrektora Stałego Sekretariatu staje się skuteczne.</w:t>
      </w:r>
    </w:p>
    <w:p>
      <w:pPr>
        <w:keepNext/>
        <w:spacing w:after="0" w:line="360" w:lineRule="auto"/>
        <w:jc w:val="left"/>
        <w:rPr>
          <w:noProof/>
        </w:rPr>
      </w:pPr>
      <w:r>
        <w:rPr>
          <w:noProof/>
        </w:rPr>
        <w:t>Sporządzono w [...] dnia [...] 2018 r.</w:t>
      </w:r>
    </w:p>
    <w:p>
      <w:pPr>
        <w:keepNext/>
        <w:tabs>
          <w:tab w:val="left" w:pos="5669"/>
        </w:tabs>
        <w:spacing w:before="720" w:after="0" w:line="360" w:lineRule="auto"/>
        <w:jc w:val="left"/>
        <w:rPr>
          <w:i/>
          <w:noProof/>
        </w:rPr>
      </w:pPr>
      <w:r>
        <w:rPr>
          <w:noProof/>
        </w:rPr>
        <w:tab/>
      </w:r>
      <w:r>
        <w:rPr>
          <w:i/>
          <w:noProof/>
        </w:rPr>
        <w:t>W imieniu Regionalnego Komitetu Sterującego</w:t>
      </w:r>
    </w:p>
    <w:p>
      <w:pPr>
        <w:tabs>
          <w:tab w:val="left" w:pos="5669"/>
        </w:tabs>
        <w:spacing w:before="0" w:after="0" w:line="360" w:lineRule="auto"/>
        <w:jc w:val="left"/>
        <w:rPr>
          <w:i/>
          <w:noProof/>
        </w:rPr>
      </w:pPr>
      <w:r>
        <w:rPr>
          <w:noProof/>
        </w:rPr>
        <w:tab/>
      </w:r>
      <w:r>
        <w:rPr>
          <w:i/>
          <w:noProof/>
        </w:rPr>
        <w:t>Przewodniczący</w:t>
      </w:r>
    </w:p>
    <w:p>
      <w:pPr>
        <w:spacing w:line="360" w:lineRule="auto"/>
        <w:jc w:val="left"/>
        <w:rPr>
          <w:b/>
          <w:noProof/>
        </w:rPr>
        <w:sectPr>
          <w:footerReference w:type="default" r:id="rId16"/>
          <w:footerReference w:type="first" r:id="rId17"/>
          <w:footnotePr>
            <w:numRestart w:val="eachPage"/>
          </w:footnotePr>
          <w:endnotePr>
            <w:numRestart w:val="eachSect"/>
          </w:endnotePr>
          <w:pgSz w:w="11907" w:h="16839" w:code="9"/>
          <w:pgMar w:top="1134" w:right="1134" w:bottom="1134" w:left="1134" w:header="567" w:footer="567" w:gutter="0"/>
          <w:cols w:space="708"/>
          <w:docGrid w:linePitch="360"/>
        </w:sectPr>
      </w:pPr>
    </w:p>
    <w:p>
      <w:pPr>
        <w:spacing w:before="0" w:after="200" w:line="276" w:lineRule="auto"/>
        <w:rPr>
          <w:rFonts w:asciiTheme="minorHAnsi" w:hAnsiTheme="minorHAnsi" w:cstheme="minorBidi"/>
          <w:noProof/>
          <w:szCs w:val="24"/>
          <w:u w:val="single"/>
        </w:rPr>
      </w:pPr>
      <w:r>
        <w:rPr>
          <w:b/>
          <w:noProof/>
        </w:rPr>
        <w:lastRenderedPageBreak/>
        <w:t>DODATEK: Budżet Wspólnoty Transportowej na rok 2019</w:t>
      </w: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8897"/>
        <w:gridCol w:w="4819"/>
      </w:tblGrid>
      <w:tr>
        <w:tc>
          <w:tcPr>
            <w:tcW w:w="8897" w:type="dxa"/>
          </w:tcPr>
          <w:p>
            <w:pPr>
              <w:spacing w:before="0" w:after="200"/>
              <w:jc w:val="left"/>
              <w:rPr>
                <w:i/>
                <w:noProof/>
                <w:szCs w:val="24"/>
              </w:rPr>
            </w:pPr>
            <w:r>
              <w:rPr>
                <w:i/>
                <w:noProof/>
              </w:rPr>
              <w:t>Linia budżetowa</w:t>
            </w:r>
          </w:p>
        </w:tc>
        <w:tc>
          <w:tcPr>
            <w:tcW w:w="4819" w:type="dxa"/>
          </w:tcPr>
          <w:p>
            <w:pPr>
              <w:spacing w:before="0" w:after="200"/>
              <w:jc w:val="right"/>
              <w:rPr>
                <w:i/>
                <w:noProof/>
                <w:szCs w:val="24"/>
              </w:rPr>
            </w:pPr>
            <w:r>
              <w:rPr>
                <w:i/>
                <w:noProof/>
              </w:rPr>
              <w:t>Kwota</w:t>
            </w:r>
          </w:p>
        </w:tc>
      </w:tr>
      <w:tr>
        <w:tc>
          <w:tcPr>
            <w:tcW w:w="8897" w:type="dxa"/>
          </w:tcPr>
          <w:p>
            <w:pPr>
              <w:spacing w:before="0" w:after="20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Wynagrodzenia urzędników</w:t>
            </w:r>
          </w:p>
        </w:tc>
        <w:tc>
          <w:tcPr>
            <w:tcW w:w="4819" w:type="dxa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750 000</w:t>
            </w:r>
          </w:p>
        </w:tc>
      </w:tr>
      <w:tr>
        <w:tc>
          <w:tcPr>
            <w:tcW w:w="8897" w:type="dxa"/>
          </w:tcPr>
          <w:p>
            <w:pPr>
              <w:spacing w:before="0" w:after="20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Składka na ubezpieczenia zdrowotne/emerytalne dla urzędników</w:t>
            </w:r>
          </w:p>
        </w:tc>
        <w:tc>
          <w:tcPr>
            <w:tcW w:w="4819" w:type="dxa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200 000</w:t>
            </w:r>
          </w:p>
        </w:tc>
      </w:tr>
      <w:tr>
        <w:tc>
          <w:tcPr>
            <w:tcW w:w="8897" w:type="dxa"/>
          </w:tcPr>
          <w:p>
            <w:pPr>
              <w:spacing w:before="0" w:after="20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Koszty bieżące sekretariatu (w tym koszty stałe/koszty podróży/spotkań)</w:t>
            </w:r>
          </w:p>
        </w:tc>
        <w:tc>
          <w:tcPr>
            <w:tcW w:w="4819" w:type="dxa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330 000</w:t>
            </w:r>
          </w:p>
        </w:tc>
      </w:tr>
      <w:tr>
        <w:tc>
          <w:tcPr>
            <w:tcW w:w="8897" w:type="dxa"/>
          </w:tcPr>
          <w:p>
            <w:pPr>
              <w:spacing w:before="0" w:after="20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Biurowy sprzęt komputerowy i meble (nieobjęte umową w sprawie siedziby)</w:t>
            </w:r>
          </w:p>
        </w:tc>
        <w:tc>
          <w:tcPr>
            <w:tcW w:w="4819" w:type="dxa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100 000</w:t>
            </w:r>
          </w:p>
        </w:tc>
      </w:tr>
      <w:tr>
        <w:tc>
          <w:tcPr>
            <w:tcW w:w="8897" w:type="dxa"/>
          </w:tcPr>
          <w:p>
            <w:pPr>
              <w:spacing w:before="0" w:after="20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Koszty rekrutacji (publikacja i zwrot kosztów poniesionych przez kandydatów)</w:t>
            </w:r>
          </w:p>
        </w:tc>
        <w:tc>
          <w:tcPr>
            <w:tcW w:w="4819" w:type="dxa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100 000</w:t>
            </w:r>
          </w:p>
        </w:tc>
      </w:tr>
      <w:tr>
        <w:tc>
          <w:tcPr>
            <w:tcW w:w="8897" w:type="dxa"/>
            <w:shd w:val="clear" w:color="auto" w:fill="BFBFBF" w:themeFill="background1" w:themeFillShade="BF"/>
          </w:tcPr>
          <w:p>
            <w:pPr>
              <w:spacing w:before="0" w:after="20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Łącznie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1 480 000</w:t>
            </w:r>
          </w:p>
        </w:tc>
      </w:tr>
      <w:tr>
        <w:tc>
          <w:tcPr>
            <w:tcW w:w="8897" w:type="dxa"/>
          </w:tcPr>
          <w:p>
            <w:pPr>
              <w:spacing w:before="0" w:after="20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Rezerwa (ok. 10 %)</w:t>
            </w:r>
          </w:p>
        </w:tc>
        <w:tc>
          <w:tcPr>
            <w:tcW w:w="4819" w:type="dxa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150 000</w:t>
            </w:r>
          </w:p>
        </w:tc>
      </w:tr>
      <w:tr>
        <w:tc>
          <w:tcPr>
            <w:tcW w:w="8897" w:type="dxa"/>
            <w:shd w:val="clear" w:color="auto" w:fill="BFBFBF" w:themeFill="background1" w:themeFillShade="BF"/>
          </w:tcPr>
          <w:p>
            <w:pPr>
              <w:spacing w:before="0" w:after="20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Suma całkowita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1 630 000</w:t>
            </w:r>
          </w:p>
        </w:tc>
      </w:tr>
      <w:tr>
        <w:tc>
          <w:tcPr>
            <w:tcW w:w="8897" w:type="dxa"/>
          </w:tcPr>
          <w:p>
            <w:pPr>
              <w:spacing w:before="0" w:after="200"/>
              <w:jc w:val="left"/>
              <w:rPr>
                <w:b/>
                <w:noProof/>
                <w:szCs w:val="24"/>
              </w:rPr>
            </w:pPr>
            <w:r>
              <w:rPr>
                <w:b/>
                <w:i/>
                <w:noProof/>
              </w:rPr>
              <w:t xml:space="preserve">W tym: </w:t>
            </w:r>
            <w:r>
              <w:rPr>
                <w:b/>
                <w:noProof/>
              </w:rPr>
              <w:t>Wkład UE</w:t>
            </w:r>
            <w:r>
              <w:rPr>
                <w:noProof/>
              </w:rPr>
              <w:t xml:space="preserve"> </w:t>
            </w:r>
            <w:r>
              <w:rPr>
                <w:b/>
                <w:noProof/>
              </w:rPr>
              <w:t>(</w:t>
            </w:r>
            <w:r>
              <w:rPr>
                <w:i/>
                <w:noProof/>
              </w:rPr>
              <w:t>80 %)*</w:t>
            </w:r>
          </w:p>
        </w:tc>
        <w:tc>
          <w:tcPr>
            <w:tcW w:w="4819" w:type="dxa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1 304 000</w:t>
            </w:r>
          </w:p>
        </w:tc>
      </w:tr>
      <w:tr>
        <w:trPr>
          <w:trHeight w:val="273"/>
        </w:trPr>
        <w:tc>
          <w:tcPr>
            <w:tcW w:w="8897" w:type="dxa"/>
          </w:tcPr>
          <w:p>
            <w:pPr>
              <w:spacing w:before="0" w:after="20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Wkład</w:t>
            </w:r>
            <w:r>
              <w:rPr>
                <w:noProof/>
              </w:rPr>
              <w:t xml:space="preserve"> </w:t>
            </w:r>
            <w:r>
              <w:rPr>
                <w:b/>
                <w:noProof/>
              </w:rPr>
              <w:t>WB6 (</w:t>
            </w:r>
            <w:r>
              <w:rPr>
                <w:i/>
                <w:noProof/>
              </w:rPr>
              <w:t>20 %: załącznik V do TWT przewiduje dystrybucję w podziale na kraje).</w:t>
            </w:r>
          </w:p>
        </w:tc>
        <w:tc>
          <w:tcPr>
            <w:tcW w:w="4819" w:type="dxa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326 000</w:t>
            </w:r>
          </w:p>
        </w:tc>
      </w:tr>
    </w:tbl>
    <w:p>
      <w:pPr>
        <w:spacing w:before="0" w:after="200" w:line="276" w:lineRule="auto"/>
        <w:jc w:val="left"/>
        <w:rPr>
          <w:rFonts w:eastAsia="Times New Roman"/>
          <w:noProof/>
          <w:szCs w:val="24"/>
        </w:rPr>
      </w:pPr>
      <w:r>
        <w:rPr>
          <w:noProof/>
        </w:rPr>
        <w:t>* Kwota wkładu UE pozostaje bez uszczerbku dla przyjęcia budżetu UE na rok 2019.</w:t>
      </w:r>
    </w:p>
    <w:p>
      <w:pPr>
        <w:rPr>
          <w:noProof/>
        </w:rPr>
        <w:sectPr>
          <w:headerReference w:type="default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>
      <w:pPr>
        <w:rPr>
          <w:rFonts w:asciiTheme="minorHAnsi" w:hAnsiTheme="minorHAnsi" w:cstheme="minorBidi"/>
          <w:noProof/>
          <w:sz w:val="22"/>
        </w:rPr>
      </w:pPr>
    </w:p>
    <w:sectPr>
      <w:headerReference w:type="default" r:id="rId22"/>
      <w:footerReference w:type="default" r:id="rId23"/>
      <w:headerReference w:type="first" r:id="rId24"/>
      <w:footerReference w:type="first" r:id="rId25"/>
      <w:footnotePr>
        <w:numRestart w:val="eachPage"/>
      </w:footnotePr>
      <w:endnotePr>
        <w:numRestart w:val="eachSect"/>
      </w:endnotePr>
      <w:pgSz w:w="11907" w:h="16839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060F8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A6299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EAEE3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4465DB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48CE0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6BCBA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52426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61CAB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12-13 11:01:2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o "/>
    <w:docVar w:name="LW_ACCOMPAGNANT.CP" w:val="do 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3C747325-6447-4CB3-B754-415038F77537"/>
    <w:docVar w:name="LW_COVERPAGE_TYPE" w:val="1"/>
    <w:docVar w:name="LW_CROSSREFERENCE" w:val="&lt;UNUSED&gt;"/>
    <w:docVar w:name="LW_DocType" w:val="ANNEX"/>
    <w:docVar w:name="LW_EMISSION" w:val="3.12.2018"/>
    <w:docVar w:name="LW_EMISSION_ISODATE" w:val="2018-12-03"/>
    <w:docVar w:name="LW_EMISSION_LOCATION" w:val="BRX"/>
    <w:docVar w:name="LW_EMISSION_PREFIX" w:val="Bruksela, dnia "/>
    <w:docVar w:name="LW_EMISSION_SUFFIX" w:val=" r."/>
    <w:docVar w:name="LW_ID_DOCSTRUCTURE" w:val="COM/ANNEX"/>
    <w:docVar w:name="LW_ID_DOCTYPE" w:val="SG-017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" w:val="w sprawie stanowiska, jakie ma zosta\u263? zaj\u281?te w imieniu Unii Europejskiej _x000b_na forum Regionalnego Komitetu Steruj\u261?cego Wspólnoty Transportowej _x000b_w odniesieniu do niektórych spraw bud\u380?etowych i kadrowych w zwi\u261?zku z wdra\u380?aniem Traktatu ustanawiaj\u261?cego Wspólnot\u281? Transportow\u261?"/>
    <w:docVar w:name="LW_OBJETACTEPRINCIPAL.CP" w:val="w sprawie stanowiska, jakie ma zosta\u263? zaj\u281?te w imieniu Unii Europejskiej _x000b_na forum Regionalnego Komitetu Steruj\u261?cego Wspólnoty Transportowej _x000b_w odniesieniu do niektórych spraw bud\u380?etowych i kadrowych w zwi\u261?zku z wdra\u380?aniem Traktatu ustanawiaj\u261?cego Wspólnot\u281? Transportow\u261?"/>
    <w:docVar w:name="LW_PART_NBR" w:val="1"/>
    <w:docVar w:name="LW_PART_NBR_TOTAL" w:val="1"/>
    <w:docVar w:name="LW_REF.INST.NEW" w:val="COM"/>
    <w:docVar w:name="LW_REF.INST.NEW_ADOPTED" w:val="final"/>
    <w:docVar w:name="LW_REF.INST.NEW_TEXT" w:val="(2018) 79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ZA\u321?\u260?CZNIK"/>
    <w:docVar w:name="LW_TYPE.DOC.CP" w:val="ZA\u321?\u260?CZNIK"/>
    <w:docVar w:name="LW_TYPEACTEPRINCIPAL" w:val="wniosku dotycz\u261?cego decyzji Rady"/>
    <w:docVar w:name="LW_TYPEACTEPRINCIPAL.CP" w:val="wniosku dotycz\u261?cego decyzj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table" w:customStyle="1" w:styleId="TableGrid1">
    <w:name w:val="Table Grid1"/>
    <w:basedOn w:val="TableNormal"/>
    <w:next w:val="TableGri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table" w:customStyle="1" w:styleId="TableGrid1">
    <w:name w:val="Table Grid1"/>
    <w:basedOn w:val="TableNormal"/>
    <w:next w:val="TableGri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F4FB8-9A53-41CB-B82D-A080552B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4</Pages>
  <Words>235</Words>
  <Characters>1381</Characters>
  <Application>Microsoft Office Word</Application>
  <DocSecurity>0</DocSecurity>
  <Lines>53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BECUE Estelle (MOVE)</dc:creator>
  <cp:lastModifiedBy>WES PDFC Administrator</cp:lastModifiedBy>
  <cp:revision>8</cp:revision>
  <cp:lastPrinted>2018-10-22T12:06:00Z</cp:lastPrinted>
  <dcterms:created xsi:type="dcterms:W3CDTF">2018-12-10T11:00:00Z</dcterms:created>
  <dcterms:modified xsi:type="dcterms:W3CDTF">2018-12-13T10:01:00Z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0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