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6B" w:rsidRDefault="006128CF" w:rsidP="006128C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4342BDE-0EC4-41D1-9458-446BA0A4DF9A" style="width:450.75pt;height:428.25pt">
            <v:imagedata r:id="rId12" o:title=""/>
          </v:shape>
        </w:pict>
      </w:r>
    </w:p>
    <w:bookmarkEnd w:id="0"/>
    <w:p w:rsidR="00827E6B" w:rsidRDefault="00827E6B">
      <w:pPr>
        <w:pStyle w:val="Pagedecouverture"/>
        <w:rPr>
          <w:noProof/>
        </w:rPr>
        <w:sectPr w:rsidR="00827E6B" w:rsidSect="006128CF">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827E6B" w:rsidRDefault="006128CF">
      <w:pPr>
        <w:tabs>
          <w:tab w:val="center" w:pos="4536"/>
        </w:tabs>
        <w:spacing w:before="480" w:after="240"/>
        <w:ind w:left="567" w:hanging="567"/>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w:t>
      </w:r>
      <w:r>
        <w:rPr>
          <w:noProof/>
        </w:rPr>
        <w:tab/>
      </w:r>
      <w:r>
        <w:rPr>
          <w:rFonts w:ascii="Times New Roman" w:hAnsi="Times New Roman"/>
          <w:b/>
          <w:noProof/>
          <w:sz w:val="24"/>
        </w:rPr>
        <w:t>ΕΙΣΑΓΩΓΗ – Η ΕΥΡΩΠΑΪΚΗ ΣΤΡΑΤΗΓΙΚΗ ΓΙΑ ΤΗΝ ΤΕΧΝΗΤΗ ΝΟΗΜΟΣΥΝΗ</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b/>
          <w:noProof/>
          <w:sz w:val="24"/>
        </w:rPr>
        <w:t xml:space="preserve">Η τεχνητή νοημοσύνη (ΤΝ) αλλάζει τον κόσμο μας όπως ακριβώς η ηλεκτρική ενέργεια </w:t>
      </w:r>
      <w:r>
        <w:rPr>
          <w:rFonts w:ascii="Times New Roman" w:hAnsi="Times New Roman"/>
          <w:b/>
          <w:noProof/>
          <w:sz w:val="24"/>
        </w:rPr>
        <w:t>κατά το παρελθόν</w:t>
      </w:r>
      <w:r>
        <w:rPr>
          <w:rFonts w:ascii="Times New Roman" w:hAnsi="Times New Roman"/>
          <w:noProof/>
          <w:sz w:val="24"/>
        </w:rPr>
        <w:t>. Βρίσκεται παντού γύρω μας, για παράδειγμα όταν μεταφράζουμε κείμενα στο διαδίκτυο ή όταν χρησιμοποιούμε μια εφαρμογή στο κινητό για να βρούμε τον καλύτερο τρόπο να φθάσουμε στον επόμενο προορισμό μας. Στο σπίτι, ένας έξυπνος θερμοστάτης μ</w:t>
      </w:r>
      <w:r>
        <w:rPr>
          <w:rFonts w:ascii="Times New Roman" w:hAnsi="Times New Roman"/>
          <w:noProof/>
          <w:sz w:val="24"/>
        </w:rPr>
        <w:t>πορεί να συμβάλει στη μείωση των λογαριασμών ενέργειας έως 25 %, αναλύοντας τις συνήθειες των ενοίκων και ρυθμίζοντας τη θερμοκρασία ανάλογα με τις ανάγκες τους</w:t>
      </w:r>
      <w:r>
        <w:rPr>
          <w:rStyle w:val="FootnoteReference"/>
          <w:rFonts w:ascii="Times New Roman" w:hAnsi="Times New Roman"/>
          <w:noProof/>
          <w:sz w:val="24"/>
        </w:rPr>
        <w:footnoteReference w:id="2"/>
      </w:r>
      <w:r>
        <w:rPr>
          <w:rFonts w:ascii="Times New Roman" w:hAnsi="Times New Roman"/>
          <w:noProof/>
          <w:sz w:val="24"/>
        </w:rPr>
        <w:t>. Στον τομέα της υγείας, οι αλγόριθμοι μπορούν να βοηθούν τους δερματολόγους να κάνουν καλύτερη</w:t>
      </w:r>
      <w:r>
        <w:rPr>
          <w:rFonts w:ascii="Times New Roman" w:hAnsi="Times New Roman"/>
          <w:noProof/>
          <w:sz w:val="24"/>
        </w:rPr>
        <w:t xml:space="preserve"> διάγνωση, ανιχνεύοντας, για παράδειγμα, το 95 % των περιπτώσεων καρκίνου του δέρματος και μαθαίνοντας αυτόματα από μεγάλα σύνολα ιατρικών εικόνων</w:t>
      </w:r>
      <w:r>
        <w:rPr>
          <w:rStyle w:val="FootnoteReference"/>
          <w:rFonts w:ascii="Times New Roman" w:hAnsi="Times New Roman"/>
          <w:noProof/>
          <w:sz w:val="24"/>
        </w:rPr>
        <w:footnoteReference w:id="3"/>
      </w:r>
      <w:r>
        <w:rPr>
          <w:rFonts w:ascii="Times New Roman" w:hAnsi="Times New Roman"/>
          <w:noProof/>
          <w:sz w:val="24"/>
        </w:rPr>
        <w:t xml:space="preserve">. </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Με την αξιοποίηση μεγάλου όγκου δεδομένων για την παροχή αποδοτικών λύσεων, η ΤΝ συμβάλλει στη βελτίωση τω</w:t>
      </w:r>
      <w:r>
        <w:rPr>
          <w:rFonts w:ascii="Times New Roman" w:hAnsi="Times New Roman"/>
          <w:noProof/>
          <w:sz w:val="24"/>
        </w:rPr>
        <w:t>ν προϊόντων, των διαδικασιών και των επιχειρηματικών μοντέλων σε όλους τους οικονομικούς τομείς. Μπορεί να βοηθήσει τις εταιρείες να προσδιορίζουν ποια μηχανήματα χρειάζονται συντήρηση προτού προκληθεί βλάβη. Η ΤΝ μεταμορφώνει επίσης τις δημόσιες υπηρεσίες</w:t>
      </w:r>
      <w:r>
        <w:rPr>
          <w:rFonts w:ascii="Times New Roman" w:hAnsi="Times New Roman"/>
          <w:noProof/>
          <w:sz w:val="24"/>
        </w:rPr>
        <w:t>.</w:t>
      </w:r>
    </w:p>
    <w:p w:rsidR="00827E6B" w:rsidRDefault="006128CF">
      <w:pPr>
        <w:pBdr>
          <w:top w:val="single" w:sz="4" w:space="1" w:color="auto"/>
          <w:left w:val="single" w:sz="4" w:space="4" w:color="auto"/>
          <w:bottom w:val="single" w:sz="4" w:space="1" w:color="auto"/>
          <w:right w:val="single" w:sz="4" w:space="4" w:color="auto"/>
        </w:pBdr>
        <w:spacing w:before="360" w:after="120"/>
        <w:jc w:val="center"/>
        <w:rPr>
          <w:rFonts w:ascii="Times New Roman" w:hAnsi="Times New Roman" w:cs="Times New Roman"/>
          <w:i/>
          <w:noProof/>
          <w:sz w:val="24"/>
          <w:szCs w:val="24"/>
        </w:rPr>
      </w:pPr>
      <w:r>
        <w:rPr>
          <w:rFonts w:ascii="Times New Roman" w:hAnsi="Times New Roman"/>
          <w:i/>
          <w:noProof/>
          <w:sz w:val="24"/>
        </w:rPr>
        <w:t>Η ΤΝ αναφέρεται σε συστήματα που χαρακτηρίζονται από ευφυή συμπεριφορά, αναλύουν το περιβάλλον τους και ενεργουν —με κάποιο βαθμό αυτονομίας— για την επίτευξη συγκεκριμένων στόχων. Χρησιμοποιούμε την ΤΝ σε καθημερινή βάση, για παράδειγμα για να μπλοκάρουμε</w:t>
      </w:r>
      <w:r>
        <w:rPr>
          <w:rFonts w:ascii="Times New Roman" w:hAnsi="Times New Roman"/>
          <w:i/>
          <w:noProof/>
          <w:sz w:val="24"/>
        </w:rPr>
        <w:t xml:space="preserve"> κάποια ανεπιθύμητη ηλεκτρονική αλληλογραφία ή για να μιλήσουμε με ψηφιακούς βοηθούς. </w:t>
      </w:r>
    </w:p>
    <w:p w:rsidR="00827E6B" w:rsidRDefault="006128CF">
      <w:pPr>
        <w:pBdr>
          <w:top w:val="single" w:sz="4" w:space="1" w:color="auto"/>
          <w:left w:val="single" w:sz="4" w:space="4" w:color="auto"/>
          <w:bottom w:val="single" w:sz="4" w:space="1" w:color="auto"/>
          <w:right w:val="single" w:sz="4" w:space="4" w:color="auto"/>
        </w:pBdr>
        <w:spacing w:before="120" w:after="360"/>
        <w:jc w:val="center"/>
        <w:rPr>
          <w:rFonts w:ascii="Times New Roman" w:hAnsi="Times New Roman" w:cs="Times New Roman"/>
          <w:i/>
          <w:noProof/>
          <w:sz w:val="24"/>
          <w:szCs w:val="24"/>
        </w:rPr>
      </w:pPr>
      <w:r>
        <w:rPr>
          <w:rFonts w:ascii="Times New Roman" w:hAnsi="Times New Roman"/>
          <w:i/>
          <w:noProof/>
          <w:sz w:val="24"/>
        </w:rPr>
        <w:t xml:space="preserve">Η ανάπτυξη της υπολογιστικής ισχύος, η διαθεσιμότητα δεδομένων και η πρόοδος των αλγορίθμων έχουν μετατρέψει την ΤΝ σε μία από τις πλέον σημαντικές τεχνολογίες του 21ου </w:t>
      </w:r>
      <w:r>
        <w:rPr>
          <w:rFonts w:ascii="Times New Roman" w:hAnsi="Times New Roman"/>
          <w:i/>
          <w:noProof/>
          <w:sz w:val="24"/>
        </w:rPr>
        <w:t>αιώνα.</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Οι αλλαγές που φέρνει η ΤΝ δημιουργούν και ανησυχίες. Οι εργαζόμενοι φοβούνται ότι θα χάσουν τη θέση εργασίας τους λόγω του αυτοματισμού, οι καταναλωτές αναρωτιούνται ποιος ευθύνεται σε περίπτωση που ληφθεί λανθασμένη απόφαση από σύστημα που λειτουργεί βάσ</w:t>
      </w:r>
      <w:r>
        <w:rPr>
          <w:rFonts w:ascii="Times New Roman" w:hAnsi="Times New Roman"/>
          <w:noProof/>
          <w:sz w:val="24"/>
        </w:rPr>
        <w:t>ει ΤΝ, οι μικρές εταιρείες δεν γνωρίζουν πώς να εφαρμόσουν την ΤΝ στις επιχειρηματικές δραστηριότητές τους, οι νεοφυείς επιχειρήσεις ΤΝ δεν βρίσκουν τους πόρους και τα ταλέντα που χρειάζονται στην Ευρώπη και, με τις μαζικές επενδύσεις στις ΗΠΑ και την Κίνα</w:t>
      </w:r>
      <w:r>
        <w:rPr>
          <w:rFonts w:ascii="Times New Roman" w:hAnsi="Times New Roman"/>
          <w:noProof/>
          <w:sz w:val="24"/>
        </w:rPr>
        <w:t xml:space="preserve">, ο διεθνής ανταγωνισμός είναι πιο σκληρός από ποτέ. </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Για την αντιμετώπιση των εν λόγω προκλήσεων και τη βέλτιστη αξιοποίηση των ευκαιριών που παρέχει η ΤΝ, η Επιτροπή εξέδωσε ευρωπαϊκή στρατηγική</w:t>
      </w:r>
      <w:r>
        <w:rPr>
          <w:rStyle w:val="FootnoteReference"/>
          <w:rFonts w:ascii="Times New Roman" w:hAnsi="Times New Roman"/>
          <w:b/>
          <w:noProof/>
          <w:sz w:val="24"/>
        </w:rPr>
        <w:footnoteReference w:id="4"/>
      </w:r>
      <w:r>
        <w:rPr>
          <w:rFonts w:ascii="Times New Roman" w:hAnsi="Times New Roman"/>
          <w:b/>
          <w:noProof/>
          <w:sz w:val="24"/>
        </w:rPr>
        <w:t xml:space="preserve"> τον Απρίλιο του 2018. Η Επιτροπή πρότεινε μια προσέγγιση π</w:t>
      </w:r>
      <w:r>
        <w:rPr>
          <w:rFonts w:ascii="Times New Roman" w:hAnsi="Times New Roman"/>
          <w:b/>
          <w:noProof/>
          <w:sz w:val="24"/>
        </w:rPr>
        <w:t xml:space="preserve">ου τοποθετεί τον άνθρωπο στο επίκεντρο της ανάπτυξης ΤΝ </w:t>
      </w:r>
      <w:r>
        <w:rPr>
          <w:rFonts w:ascii="Times New Roman" w:hAnsi="Times New Roman"/>
          <w:noProof/>
          <w:sz w:val="24"/>
        </w:rPr>
        <w:t xml:space="preserve">(ανθρωποκεντρική προσέγγιση της ΤΝ) </w:t>
      </w:r>
      <w:r>
        <w:rPr>
          <w:rFonts w:ascii="Times New Roman" w:hAnsi="Times New Roman"/>
          <w:b/>
          <w:noProof/>
          <w:sz w:val="24"/>
        </w:rPr>
        <w:t>και προωθεί την αξιοποίηση της εν λόγω ισχυρής τεχνολογίας στην προσπάθεια επίλυσης των μεγαλύτερων προκλήσεων παγκοσμίως</w:t>
      </w:r>
      <w:r>
        <w:rPr>
          <w:rFonts w:ascii="Times New Roman" w:hAnsi="Times New Roman"/>
          <w:noProof/>
          <w:sz w:val="24"/>
        </w:rPr>
        <w:t>: από τη θεραπεία ασθενειών έως την καταπολ</w:t>
      </w:r>
      <w:r>
        <w:rPr>
          <w:rFonts w:ascii="Times New Roman" w:hAnsi="Times New Roman"/>
          <w:noProof/>
          <w:sz w:val="24"/>
        </w:rPr>
        <w:t>έμηση της κλιματικής αλλαγής και την πρόβλεψη των φυσικών καταστροφών, από την αύξηση της ασφάλειας των μεταφορών</w:t>
      </w:r>
      <w:r>
        <w:rPr>
          <w:rStyle w:val="FootnoteReference"/>
          <w:rFonts w:ascii="Times New Roman" w:hAnsi="Times New Roman"/>
          <w:noProof/>
          <w:sz w:val="24"/>
        </w:rPr>
        <w:footnoteReference w:id="5"/>
      </w:r>
      <w:r>
        <w:rPr>
          <w:rFonts w:ascii="Times New Roman" w:hAnsi="Times New Roman"/>
          <w:noProof/>
          <w:sz w:val="24"/>
        </w:rPr>
        <w:t xml:space="preserve"> έως την καταπολέμηση της εγκληματικότητας και τη βελτίωση της κυβερνοασφάλειας. </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Η εν λόγω στρατηγική υποστηρίζει μια δεοντολογική, ασφαλή κα</w:t>
      </w:r>
      <w:r>
        <w:rPr>
          <w:rFonts w:ascii="Times New Roman" w:hAnsi="Times New Roman"/>
          <w:noProof/>
          <w:sz w:val="24"/>
        </w:rPr>
        <w:t>ι προηγμένη «ΤΝ με τη σφραγίδα της Ευρώπης». Η στρατηγική αξιοποιεί τα επιστημονικά και βιομηχανικά πλεονεκτήματα της Ευρώπης</w:t>
      </w:r>
      <w:r>
        <w:rPr>
          <w:rStyle w:val="FootnoteReference"/>
          <w:rFonts w:ascii="Times New Roman" w:hAnsi="Times New Roman"/>
          <w:noProof/>
          <w:sz w:val="24"/>
        </w:rPr>
        <w:footnoteReference w:id="6"/>
      </w:r>
      <w:r>
        <w:rPr>
          <w:rFonts w:ascii="Times New Roman" w:hAnsi="Times New Roman"/>
          <w:noProof/>
          <w:sz w:val="24"/>
        </w:rPr>
        <w:t xml:space="preserve"> και βασίζεται σε τρεις πυλώνες: αύξηση των δημόσιων και ιδιωτικών επενδύσεων στον τομέα της ΤΝ, προετοιμασία για τις κοινωνικοοικ</w:t>
      </w:r>
      <w:r>
        <w:rPr>
          <w:rFonts w:ascii="Times New Roman" w:hAnsi="Times New Roman"/>
          <w:noProof/>
          <w:sz w:val="24"/>
        </w:rPr>
        <w:t xml:space="preserve">ονομικές αλλαγές και εξασφάλιση κατάλληλου δεοντολογικού και νομικού πλαισίου. </w:t>
      </w:r>
      <w:r>
        <w:rPr>
          <w:rFonts w:ascii="Times New Roman" w:hAnsi="Times New Roman"/>
          <w:b/>
          <w:noProof/>
          <w:sz w:val="24"/>
        </w:rPr>
        <w:t>Προκειμένου να διασφαλιστεί η επιτυχία της στρατηγικής, είναι απαραίτητος ο συντονισμός σε ευρωπαϊκό επίπεδο</w:t>
      </w:r>
      <w:r>
        <w:rPr>
          <w:rFonts w:ascii="Times New Roman" w:hAnsi="Times New Roman"/>
          <w:noProof/>
          <w:sz w:val="24"/>
        </w:rPr>
        <w:t>.</w:t>
      </w:r>
    </w:p>
    <w:p w:rsidR="00827E6B" w:rsidRDefault="006128CF">
      <w:pPr>
        <w:spacing w:before="48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 xml:space="preserve">ΤΟ ΣΥΝΤΟΝΙΣΜΕΝΟ ΣΧΕΔΙΟ ΓΙΑ ΤΗΝ ΤΕΧΝΗΤΗ ΝΟΗΜΟΣΥΝΗ – ΕΠΙΣΚΟΠΗΣΗ </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Η Επιτροπή, στη στρατηγική της «ΤΝ για την Ευρώπη», πρότεινε συνεργασία με τα κράτη μέλη για ένα συντονισμένο σχέδιο για την ΤΝ έως τα τέλη του 2018</w:t>
      </w:r>
      <w:r>
        <w:rPr>
          <w:rFonts w:ascii="Times New Roman" w:hAnsi="Times New Roman"/>
          <w:noProof/>
          <w:sz w:val="24"/>
        </w:rPr>
        <w:t>, με στόχο τη μεγιστοποίηση του αντίκτυπου των επενδύσεων σε εθνικό επίπεδο και σε επίπεδο ΕΕ, την ενθάρρυνσ</w:t>
      </w:r>
      <w:r>
        <w:rPr>
          <w:rFonts w:ascii="Times New Roman" w:hAnsi="Times New Roman"/>
          <w:noProof/>
          <w:sz w:val="24"/>
        </w:rPr>
        <w:t>η των συνεργειών και της συνεργασίας σε ολόκληρη την ΕΕ, την ανταλλαγή βέλτιστων πρακτικών και τον από κοινού προσδιορισμό της μελλοντικής πορείας, ώστε να εξασφαλιστεί ότι η ΕΕ στο σύνολό της μπορεί να είναι ανταγωνιστική σε παγκόσμιο επίπεδο. Η πρόταση γ</w:t>
      </w:r>
      <w:r>
        <w:rPr>
          <w:rFonts w:ascii="Times New Roman" w:hAnsi="Times New Roman"/>
          <w:noProof/>
          <w:sz w:val="24"/>
        </w:rPr>
        <w:t xml:space="preserve">ια συντονισμένο σχέδιο βασίστηκε στη </w:t>
      </w:r>
      <w:r>
        <w:rPr>
          <w:rFonts w:ascii="Times New Roman" w:hAnsi="Times New Roman"/>
          <w:b/>
          <w:noProof/>
          <w:sz w:val="24"/>
        </w:rPr>
        <w:t>δήλωση συνεργασίας για την ΤΝ</w:t>
      </w:r>
      <w:r>
        <w:rPr>
          <w:rFonts w:ascii="Times New Roman" w:hAnsi="Times New Roman"/>
          <w:noProof/>
          <w:sz w:val="24"/>
        </w:rPr>
        <w:t xml:space="preserve"> που δρομολογήθηκε τον Απρίλιο του 2018 στο πλαίσιο της ημερίδας για την ψηφιακή τεχνολογία, και υπογράφηκε από όλα τα κράτη μέλη και τη Νορβηγία</w:t>
      </w:r>
      <w:r>
        <w:rPr>
          <w:rStyle w:val="FootnoteReference"/>
          <w:rFonts w:ascii="Times New Roman" w:hAnsi="Times New Roman"/>
          <w:noProof/>
          <w:sz w:val="24"/>
        </w:rPr>
        <w:footnoteReference w:id="7"/>
      </w:r>
      <w:r>
        <w:rPr>
          <w:rFonts w:ascii="Times New Roman" w:hAnsi="Times New Roman"/>
          <w:noProof/>
          <w:sz w:val="24"/>
        </w:rPr>
        <w:t xml:space="preserve">. </w:t>
      </w:r>
      <w:r>
        <w:rPr>
          <w:rFonts w:ascii="Times New Roman" w:hAnsi="Times New Roman"/>
          <w:b/>
          <w:noProof/>
          <w:sz w:val="24"/>
        </w:rPr>
        <w:t>Εγκρίθηκε από το Ευρωπαϊκό Συμβούλιο τον Ι</w:t>
      </w:r>
      <w:r>
        <w:rPr>
          <w:rFonts w:ascii="Times New Roman" w:hAnsi="Times New Roman"/>
          <w:b/>
          <w:noProof/>
          <w:sz w:val="24"/>
        </w:rPr>
        <w:t>ούνιο του 2018</w:t>
      </w:r>
      <w:r>
        <w:rPr>
          <w:rStyle w:val="FootnoteReference"/>
          <w:rFonts w:ascii="Times New Roman" w:hAnsi="Times New Roman"/>
          <w:noProof/>
          <w:sz w:val="24"/>
        </w:rPr>
        <w:footnoteReference w:id="8"/>
      </w:r>
      <w:r>
        <w:rPr>
          <w:rFonts w:ascii="Times New Roman" w:hAnsi="Times New Roman"/>
          <w:noProof/>
          <w:sz w:val="24"/>
        </w:rPr>
        <w:t>.</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Τα κράτη μέλη (στο πλαίσιο της ομάδας για την ψηφιοποίηση της ευρωπαϊκής βιομηχανίας και την ΤΝ), η Νορβηγία, η Ελβετία και η Επιτροπή συνέταξαν το σχέδιο κατά τη διάρκεια διαφόρων συσκέψεων, μεταξύ Ιουνίου και Νοεμβρίου 2018. Ανταλλαγές π</w:t>
      </w:r>
      <w:r>
        <w:rPr>
          <w:rFonts w:ascii="Times New Roman" w:hAnsi="Times New Roman"/>
          <w:noProof/>
          <w:sz w:val="24"/>
        </w:rPr>
        <w:t>ραγματοποιήθηκαν επίσης κατά τη διάρκεια συνεδριάσεων του Συμβουλίου Ανταγωνιστικότητας στο πλαίσιο της αυστριακής προεδρίας της ΕΕ.</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Κατά τις εν λόγω συνεδριάσεις, τα κράτη μέλη και η Επιτροπή προσδιόρισαν μια σειρά κοινών δράσεων για την αύξηση των επενδύ</w:t>
      </w:r>
      <w:r>
        <w:rPr>
          <w:rFonts w:ascii="Times New Roman" w:hAnsi="Times New Roman"/>
          <w:noProof/>
          <w:sz w:val="24"/>
        </w:rPr>
        <w:t>σεων, τη συγκέντρωση δεδομένων (της πρώτης ύλης για την ΤΝ), την προαγωγή των ταλέντων και τη διασφάλιση της εμπιστοσύνης</w:t>
      </w:r>
      <w:r>
        <w:rPr>
          <w:rStyle w:val="FootnoteReference"/>
          <w:rFonts w:ascii="Times New Roman" w:hAnsi="Times New Roman"/>
          <w:noProof/>
          <w:sz w:val="24"/>
        </w:rPr>
        <w:footnoteReference w:id="9"/>
      </w:r>
      <w:r>
        <w:rPr>
          <w:rFonts w:ascii="Times New Roman" w:hAnsi="Times New Roman"/>
          <w:noProof/>
          <w:sz w:val="24"/>
        </w:rPr>
        <w:t>, με βάση την ευρωπαϊκή στρατηγική. Έθεσαν σε προτεραιότητα τομείς δημόσιου συμφέροντος, όπως η υγειονομική περίθαλψη, οι μεταφορές κα</w:t>
      </w:r>
      <w:r>
        <w:rPr>
          <w:rFonts w:ascii="Times New Roman" w:hAnsi="Times New Roman"/>
          <w:noProof/>
          <w:sz w:val="24"/>
        </w:rPr>
        <w:t xml:space="preserve">ι η κινητικότητα, η ασφάλεια, η προστασία και η ενέργεια, καθώς και σημαντικούς οικονομικούς τομείς, όπως οι κατασκευές και οι χρηματοπιστωτικές υπηρεσίες. </w:t>
      </w:r>
    </w:p>
    <w:p w:rsidR="00827E6B" w:rsidRDefault="006128CF">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Το αποτέλεσμα των εν λόγω κοινών εργασιών, ήτοι το συντονισμένο σχέδιο, αποτελεί το παράρτημα της π</w:t>
      </w:r>
      <w:r>
        <w:rPr>
          <w:rFonts w:ascii="Times New Roman" w:hAnsi="Times New Roman"/>
          <w:b/>
          <w:noProof/>
          <w:sz w:val="24"/>
        </w:rPr>
        <w:t xml:space="preserve">αρούσας ανακοίνωσης. Στο σχέδιο περιγράφονται αναλυτικά οι δράσεις που πρόκειται να δρομολογηθούν την περίοδο 2019-2020 και προετοιμάζεται το έδαφος για δραστηριότητες κατά τα επόμενα έτη. Το σχέδιο θα αναθεωρείται και θα επικαιροποιείται ετησίως. </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Στην πα</w:t>
      </w:r>
      <w:r>
        <w:rPr>
          <w:rFonts w:ascii="Times New Roman" w:hAnsi="Times New Roman"/>
          <w:noProof/>
          <w:sz w:val="24"/>
        </w:rPr>
        <w:t xml:space="preserve">ρούσα ανακοίνωση υπογραμμίζονται οι βασικοί στόχοι και πρωτοβουλίες του σχεδίου. </w:t>
      </w:r>
    </w:p>
    <w:p w:rsidR="00827E6B" w:rsidRDefault="006128CF">
      <w:pPr>
        <w:keepNext/>
        <w:spacing w:before="360" w:after="240" w:line="240" w:lineRule="auto"/>
        <w:jc w:val="both"/>
        <w:rPr>
          <w:rFonts w:ascii="Times New Roman" w:hAnsi="Times New Roman" w:cs="Times New Roman"/>
          <w:b/>
          <w:noProof/>
          <w:sz w:val="24"/>
          <w:szCs w:val="24"/>
        </w:rPr>
      </w:pPr>
      <w:r>
        <w:rPr>
          <w:rFonts w:ascii="Times New Roman" w:hAnsi="Times New Roman"/>
          <w:b/>
          <w:noProof/>
          <w:sz w:val="24"/>
        </w:rPr>
        <w:t xml:space="preserve">2.1. Κοινοί στόχοι και συμπληρωματικές προσπάθειες </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Στο συντονισμένο σχέδιο προβλέπεται ένα στρατηγικό πλαίσιο για τις εθνικές στρατηγικές για την ΤΝ. Μέχρι σήμερα, πέντε κρά</w:t>
      </w:r>
      <w:r>
        <w:rPr>
          <w:rFonts w:ascii="Times New Roman" w:hAnsi="Times New Roman"/>
          <w:noProof/>
          <w:sz w:val="24"/>
        </w:rPr>
        <w:t>τη μέλη έχουν ήδη θεσπίσει εθνική στρατηγική για την ΤΝ με ειδικό προϋπολογισμό</w:t>
      </w:r>
      <w:r>
        <w:rPr>
          <w:rStyle w:val="FootnoteReference"/>
          <w:rFonts w:ascii="Times New Roman" w:hAnsi="Times New Roman"/>
          <w:noProof/>
          <w:sz w:val="24"/>
        </w:rPr>
        <w:footnoteReference w:id="10"/>
      </w:r>
      <w:r>
        <w:rPr>
          <w:rFonts w:ascii="Times New Roman" w:hAnsi="Times New Roman"/>
          <w:noProof/>
          <w:sz w:val="24"/>
        </w:rPr>
        <w:t xml:space="preserve">. Όλα τα υπόλοιπα </w:t>
      </w:r>
      <w:r>
        <w:rPr>
          <w:rFonts w:ascii="Times New Roman" w:hAnsi="Times New Roman"/>
          <w:b/>
          <w:noProof/>
          <w:sz w:val="24"/>
        </w:rPr>
        <w:t xml:space="preserve">κράτη μέλη παροτρύνονται να αναπτύξουν την εθνική στρατηγική τους για την ΤΝ έως τα μέσα του 2019, με βάση τις εργασίες που έχουν πραγματοποιηθεί σε ευρωπαϊκό επίπεδο. </w:t>
      </w:r>
      <w:r>
        <w:rPr>
          <w:rFonts w:ascii="Times New Roman" w:hAnsi="Times New Roman"/>
          <w:noProof/>
          <w:sz w:val="24"/>
        </w:rPr>
        <w:t xml:space="preserve">Aναμένεται να καθορίσουν τα επίπεδα επενδύσεων και τα μέτρα εφαρμογής. </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Κατά το επόμενο </w:t>
      </w:r>
      <w:r>
        <w:rPr>
          <w:rFonts w:ascii="Times New Roman" w:hAnsi="Times New Roman"/>
          <w:noProof/>
          <w:sz w:val="24"/>
        </w:rPr>
        <w:t>έτος, τα κράτη μέλη και η Επιτροπή θα προχωρήσουν επίσης σε συμφωνία για κοινούς δείκτες παρακολούθησης της διάδοσης και ανάπτυξης της ΤΝ στην Ένωση και του ποσοστού επιτυχίας των εφαρμοζόμενων στρατηγικών, με την υποστήριξη του παρατηρητήριου για την ΤΝ (</w:t>
      </w:r>
      <w:r>
        <w:rPr>
          <w:rFonts w:ascii="Times New Roman" w:hAnsi="Times New Roman"/>
          <w:noProof/>
          <w:sz w:val="24"/>
        </w:rPr>
        <w:t>AI-Watch) το οποίο αναπτύχθηκε από το Κοινό Κέντρο Ερευνών της Επιτροπής</w:t>
      </w:r>
      <w:r>
        <w:rPr>
          <w:rStyle w:val="FootnoteReference"/>
          <w:rFonts w:ascii="Times New Roman" w:hAnsi="Times New Roman"/>
          <w:noProof/>
          <w:sz w:val="24"/>
        </w:rPr>
        <w:footnoteReference w:id="11"/>
      </w:r>
      <w:r>
        <w:rPr>
          <w:rFonts w:ascii="Times New Roman" w:hAnsi="Times New Roman"/>
          <w:noProof/>
          <w:sz w:val="24"/>
        </w:rPr>
        <w:t>.</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Η Ευρώπη υπολείπεται επί του παρόντος σε ιδιωτικές επενδύσεις στον τομέα της ΤΝ</w:t>
      </w:r>
      <w:r>
        <w:rPr>
          <w:rStyle w:val="FootnoteReference"/>
          <w:rFonts w:ascii="Times New Roman" w:hAnsi="Times New Roman"/>
          <w:noProof/>
          <w:sz w:val="24"/>
        </w:rPr>
        <w:footnoteReference w:id="12"/>
      </w:r>
      <w:r>
        <w:rPr>
          <w:rFonts w:ascii="Times New Roman" w:hAnsi="Times New Roman"/>
          <w:noProof/>
          <w:sz w:val="24"/>
        </w:rPr>
        <w:t>. Χωρίς σημαντικές προσπάθειες, η ΕΕ κινδυνεύει να χάσει τις ευκαιρίες που προσφέρει η ΤΝ, να βρεθεί αντιμέτωπη διαρροή εγκεφάλων και να καταστεί καταναλώτρια λύσεων που αναπτύχθηκαν αλλού. Γι’ αυτόν τον λόγο, η ευρωπαϊκή στρατηγική για την ΤΝ έχει θέσει φ</w:t>
      </w:r>
      <w:r>
        <w:rPr>
          <w:rFonts w:ascii="Times New Roman" w:hAnsi="Times New Roman"/>
          <w:noProof/>
          <w:sz w:val="24"/>
        </w:rPr>
        <w:t xml:space="preserve">ιλόδοξους, αλλά ρεαλιστικούς, στόχους: </w:t>
      </w:r>
      <w:r>
        <w:rPr>
          <w:rFonts w:ascii="Times New Roman" w:hAnsi="Times New Roman"/>
          <w:b/>
          <w:noProof/>
          <w:sz w:val="24"/>
        </w:rPr>
        <w:t>στην Ένωση, οι δημόσιες και ιδιωτικές επενδύσεις στον τομέα της ΤΝ πρέπει να προαχθούν, ώστε να επιτύχουν τον στόχο των 20 δισεκ. EUR ετησίως κατά την επόμενη δεκαετία</w:t>
      </w:r>
      <w:r>
        <w:rPr>
          <w:rFonts w:ascii="Times New Roman" w:hAnsi="Times New Roman"/>
          <w:noProof/>
          <w:sz w:val="24"/>
        </w:rPr>
        <w:t>. Ως πρώτο βήμα, η Επιτροπή αυξάνει τις επενδύσεις</w:t>
      </w:r>
      <w:r>
        <w:rPr>
          <w:rFonts w:ascii="Times New Roman" w:hAnsi="Times New Roman"/>
          <w:noProof/>
          <w:sz w:val="24"/>
        </w:rPr>
        <w:t xml:space="preserve"> στον τομέα της ΤΝ στο πλαίσιο του προγράμματος-πλαισίου για την έρευνα και την καινοτομία «Ορίζων 2020» σε περίπου 1,5 δισεκ. EUR κατά την περίοδο 2018-2020. Το εν λόγω ποσό αντιστοιχεί σε αύξηση 70 % σε σχέση με την περίοδο 2014-2017. Εάν τα κράτη μέλη κ</w:t>
      </w:r>
      <w:r>
        <w:rPr>
          <w:rFonts w:ascii="Times New Roman" w:hAnsi="Times New Roman"/>
          <w:noProof/>
          <w:sz w:val="24"/>
        </w:rPr>
        <w:t>αι ο ιδιωτικός τομέας καταβάλουν παρόμοιες προσπάθειες, οι συνολικές επενδύσεις στην Ένωση θα υπερβούν τα 20 δισεκ. EUR την περίοδο 2018-2020</w:t>
      </w:r>
      <w:r>
        <w:rPr>
          <w:rStyle w:val="FootnoteReference"/>
          <w:rFonts w:ascii="Times New Roman" w:hAnsi="Times New Roman"/>
          <w:noProof/>
          <w:sz w:val="24"/>
        </w:rPr>
        <w:footnoteReference w:id="13"/>
      </w:r>
      <w:r>
        <w:rPr>
          <w:rFonts w:ascii="Times New Roman" w:hAnsi="Times New Roman"/>
          <w:noProof/>
          <w:sz w:val="24"/>
        </w:rPr>
        <w:t>. Mε τον τρόπο αυτό, η Ένωση θα μπορέσει να εντείνει περισσότερο τις προσπάθειες κατά την προσεχή δεκαετία, αυξάνο</w:t>
      </w:r>
      <w:r>
        <w:rPr>
          <w:rFonts w:ascii="Times New Roman" w:hAnsi="Times New Roman"/>
          <w:noProof/>
          <w:sz w:val="24"/>
        </w:rPr>
        <w:t xml:space="preserve">ντας σταδιακά τις επενδύσεις έως 20 δισεκ. EUR ετησίως. Το ποσό αυτό αντιστοιχεί σε ετήσιες επενδύσεις ύψους 7 δισεκ. EUR από τον δημόσιο τομέα (κράτη μέλη και Επιτροπή), όπως ακριβώς και στις άλλες ηπείρους. </w:t>
      </w:r>
      <w:r>
        <w:rPr>
          <w:rFonts w:ascii="Times New Roman" w:hAnsi="Times New Roman"/>
          <w:b/>
          <w:noProof/>
          <w:sz w:val="24"/>
        </w:rPr>
        <w:t>Η Επιτροπή πρότεινε, στο πλαίσιο της επόμενης π</w:t>
      </w:r>
      <w:r>
        <w:rPr>
          <w:rFonts w:ascii="Times New Roman" w:hAnsi="Times New Roman"/>
          <w:b/>
          <w:noProof/>
          <w:sz w:val="24"/>
        </w:rPr>
        <w:t>εριόδου προγραμματισμού 2021-2027, να επενδύει η Ένωση τουλάχιστον 1 δισεκ. EUR ετησίως από τα προγράμματα «Ορίζων Ευρώπη» και «Ψηφιακή Ευρώπη» στον τομέα της ΤΝ</w:t>
      </w:r>
      <w:r>
        <w:rPr>
          <w:rStyle w:val="FootnoteReference"/>
          <w:rFonts w:ascii="Times New Roman" w:hAnsi="Times New Roman"/>
          <w:noProof/>
          <w:sz w:val="24"/>
        </w:rPr>
        <w:footnoteReference w:id="14"/>
      </w:r>
      <w:r>
        <w:rPr>
          <w:rFonts w:ascii="Times New Roman" w:hAnsi="Times New Roman"/>
          <w:noProof/>
          <w:sz w:val="24"/>
        </w:rPr>
        <w:t xml:space="preserve">. </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Λαμβάνοντας υπόψη τους εν λόγω στόχους, τα κράτη μέλη συμφώνησαν ότι απαιτείται φιλόδοξη πρ</w:t>
      </w:r>
      <w:r>
        <w:rPr>
          <w:rFonts w:ascii="Times New Roman" w:hAnsi="Times New Roman"/>
          <w:noProof/>
          <w:sz w:val="24"/>
        </w:rPr>
        <w:t xml:space="preserve">οσέγγιση και ότι οι εθνικές προσπάθειες πρέπει να αυξηθούν. Οι συντονισμένες δημόσιες προσπάθειες θα συμβάλουν στη μόχλευση περισσότερων ιδιωτικών επενδύσεων.  </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Παρότι οι δημόσιες επενδύσεις διαδραματίζουν σημαντικό ρόλο, οι ρυθμιστικές αρχές έχουν το σημα</w:t>
      </w:r>
      <w:r>
        <w:rPr>
          <w:rFonts w:ascii="Times New Roman" w:hAnsi="Times New Roman"/>
          <w:noProof/>
          <w:sz w:val="24"/>
        </w:rPr>
        <w:t xml:space="preserve">ντικό καθήκον να εξαλείφουν τα εμπόδια που οφείλονται στις </w:t>
      </w:r>
      <w:r>
        <w:rPr>
          <w:rFonts w:ascii="Times New Roman" w:hAnsi="Times New Roman"/>
          <w:b/>
          <w:noProof/>
          <w:sz w:val="24"/>
        </w:rPr>
        <w:t>κατακερματισμένες αγορές</w:t>
      </w:r>
      <w:r>
        <w:rPr>
          <w:rFonts w:ascii="Times New Roman" w:hAnsi="Times New Roman"/>
          <w:noProof/>
          <w:sz w:val="24"/>
        </w:rPr>
        <w:t>. Τα προϊόντα και οι υπηρεσίες συνδέονται μεταξύ τους σε συνεχώς αυξανόμενο βαθμό και έχουν ψηφιοποιηθεί. Στο πλαίσιο αυτό, είναι θεμελιώδους σημασίας να αποφευχθεί ο κατακε</w:t>
      </w:r>
      <w:r>
        <w:rPr>
          <w:rFonts w:ascii="Times New Roman" w:hAnsi="Times New Roman"/>
          <w:noProof/>
          <w:sz w:val="24"/>
        </w:rPr>
        <w:t>ρματισμός της αγοράς σε στρατηγικούς τομείς όπως η τεχνητή νοημοσύνη, μεταξύ άλλων με την ενίσχυση των βασικών εργαλείων ανάπτυξης (όπως, για παράδειγμα, τα κοινά πρότυπα και τα ταχέα επικοινωνία δίκτυα). Μια πραγματική ενιαία αγορά με ενσωματωμένη ψηφιακή</w:t>
      </w:r>
      <w:r>
        <w:rPr>
          <w:rFonts w:ascii="Times New Roman" w:hAnsi="Times New Roman"/>
          <w:noProof/>
          <w:sz w:val="24"/>
        </w:rPr>
        <w:t xml:space="preserve"> διάσταση</w:t>
      </w:r>
      <w:r>
        <w:rPr>
          <w:rStyle w:val="FootnoteReference"/>
          <w:rFonts w:ascii="Times New Roman" w:hAnsi="Times New Roman"/>
          <w:noProof/>
          <w:sz w:val="24"/>
        </w:rPr>
        <w:footnoteReference w:id="15"/>
      </w:r>
      <w:r>
        <w:rPr>
          <w:rFonts w:ascii="Times New Roman" w:hAnsi="Times New Roman"/>
          <w:noProof/>
          <w:sz w:val="24"/>
        </w:rPr>
        <w:t xml:space="preserve"> </w:t>
      </w:r>
      <w:r>
        <w:rPr>
          <w:rFonts w:ascii="Times New Roman" w:hAnsi="Times New Roman"/>
          <w:b/>
          <w:noProof/>
          <w:sz w:val="24"/>
        </w:rPr>
        <w:t>θα επιτρέψει στις επιχειρήσεις να επεκταθούν και να δραστηριοποιηθούν ευκολότερα στο διασυνοριακό εμπόριο</w:t>
      </w:r>
      <w:r>
        <w:rPr>
          <w:rFonts w:ascii="Times New Roman" w:hAnsi="Times New Roman"/>
          <w:noProof/>
          <w:sz w:val="24"/>
        </w:rPr>
        <w:t>, με αποτέλεσμα να τονωθούν περαιτέρω οι επενδύσεις.</w:t>
      </w:r>
    </w:p>
    <w:p w:rsidR="00827E6B" w:rsidRDefault="006128CF">
      <w:pPr>
        <w:keepNext/>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2.2.</w:t>
      </w:r>
      <w:r>
        <w:rPr>
          <w:rFonts w:ascii="Times New Roman" w:hAnsi="Times New Roman"/>
          <w:noProof/>
          <w:sz w:val="24"/>
        </w:rPr>
        <w:t xml:space="preserve"> </w:t>
      </w:r>
      <w:r>
        <w:rPr>
          <w:noProof/>
        </w:rPr>
        <w:tab/>
      </w:r>
      <w:r>
        <w:rPr>
          <w:rFonts w:ascii="Times New Roman" w:hAnsi="Times New Roman"/>
          <w:b/>
          <w:noProof/>
          <w:sz w:val="24"/>
        </w:rPr>
        <w:t>Προς μία ευρωπαϊκή σύμπραξη δημόσιου και ιδιωτικού τομέα για την ΤΝ και μεγαλύτερ</w:t>
      </w:r>
      <w:r>
        <w:rPr>
          <w:rFonts w:ascii="Times New Roman" w:hAnsi="Times New Roman"/>
          <w:b/>
          <w:noProof/>
          <w:sz w:val="24"/>
        </w:rPr>
        <w:t>η χρηματοδότηση για τις νεοσύστατες επιχειρήσεις και τις καινοτόμες μικρές και μεσαίες επιχειρήσεις</w:t>
      </w:r>
      <w:r>
        <w:rPr>
          <w:rStyle w:val="FootnoteReference"/>
          <w:rFonts w:ascii="Times New Roman" w:hAnsi="Times New Roman"/>
          <w:noProof/>
          <w:sz w:val="24"/>
        </w:rPr>
        <w:footnoteReference w:id="16"/>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Τα κράτη μέλη και η Επιτροπή θα ενισχύσουν επίσης τη συνεργασία με τον ιδιωτικό τομέα. Η Επιτροπή θα φέρει σε επαφή εταιρείες και ερευνητικούς οργανισμούς </w:t>
      </w:r>
      <w:r>
        <w:rPr>
          <w:rFonts w:ascii="Times New Roman" w:hAnsi="Times New Roman"/>
          <w:noProof/>
          <w:sz w:val="24"/>
        </w:rPr>
        <w:t xml:space="preserve">για την ανάπτυξη κοινού στρατηγικού θεματολογίου έρευνας για την ΤΝ, στο οποίο θα καθορίζονται προτεραιότητες ανάλογα με τις ανάγκες της αγοράς και θα ενθαρρύνονται οι ανταλλαγές μεταξύ τομέων και σε διασυνοριακό επίπεδο. </w:t>
      </w:r>
      <w:r>
        <w:rPr>
          <w:rFonts w:ascii="Times New Roman" w:hAnsi="Times New Roman"/>
          <w:b/>
          <w:noProof/>
          <w:sz w:val="24"/>
        </w:rPr>
        <w:t>Έτσι θα ανοίξει ο δρόμος για μια ν</w:t>
      </w:r>
      <w:r>
        <w:rPr>
          <w:rFonts w:ascii="Times New Roman" w:hAnsi="Times New Roman"/>
          <w:b/>
          <w:noProof/>
          <w:sz w:val="24"/>
        </w:rPr>
        <w:t>έα σύμπραξη έρευνας και καινοτομίας για την ΤΝ, η οποία θα προάγει τη συνεργασία μεταξύ πανεπιστημίων και βιομηχανίας στην Ευρώπη</w:t>
      </w:r>
      <w:r>
        <w:rPr>
          <w:rFonts w:ascii="Times New Roman" w:hAnsi="Times New Roman"/>
          <w:noProof/>
          <w:sz w:val="24"/>
        </w:rPr>
        <w:t>. Στο πλαίσιο της εν λόγω συμβατικής σχέσης, ο ιδιωτικός τομέας αναμένεται να δεσμευτεί να πραγματοποιήσει συγκεκριμένες και υψ</w:t>
      </w:r>
      <w:r>
        <w:rPr>
          <w:rFonts w:ascii="Times New Roman" w:hAnsi="Times New Roman"/>
          <w:noProof/>
          <w:sz w:val="24"/>
        </w:rPr>
        <w:t>ηλές επενδύσεις στον τομέα της ΤΝ. Η εν λόγω σύμπραξη θα βασίζεται στις υφιστάμενες συμπράξεις στους τομείς της ρομποτικής και των μαζικών δεδομένων</w:t>
      </w:r>
      <w:r>
        <w:rPr>
          <w:rStyle w:val="FootnoteReference"/>
          <w:rFonts w:ascii="Times New Roman" w:hAnsi="Times New Roman"/>
          <w:noProof/>
          <w:sz w:val="24"/>
        </w:rPr>
        <w:footnoteReference w:id="17"/>
      </w:r>
      <w:r>
        <w:rPr>
          <w:rFonts w:ascii="Times New Roman" w:hAnsi="Times New Roman"/>
          <w:noProof/>
          <w:sz w:val="24"/>
        </w:rPr>
        <w:t>, που αντιστοιχούν σε επενδύσεις ύψους 4,4 δισεκ. EUR, εκ των οποίων οι περισσότερες (3,2 δισεκ. EUR) προέρ</w:t>
      </w:r>
      <w:r>
        <w:rPr>
          <w:rFonts w:ascii="Times New Roman" w:hAnsi="Times New Roman"/>
          <w:noProof/>
          <w:sz w:val="24"/>
        </w:rPr>
        <w:t>χονται από τη βιομηχανία. Τα ενδιαφερόμενα μέρη επιβεβαίωσαν ήδη την υποστήριξή τους για τη δημιουργία σύμπραξης στον τομέα της ΤΝ</w:t>
      </w:r>
      <w:r>
        <w:rPr>
          <w:rStyle w:val="FootnoteReference"/>
          <w:rFonts w:ascii="Times New Roman" w:hAnsi="Times New Roman"/>
          <w:noProof/>
          <w:sz w:val="24"/>
        </w:rPr>
        <w:footnoteReference w:id="18"/>
      </w:r>
      <w:r>
        <w:rPr>
          <w:rFonts w:ascii="Times New Roman" w:hAnsi="Times New Roman"/>
          <w:noProof/>
          <w:sz w:val="24"/>
        </w:rPr>
        <w:t>.</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Επιπλέον, η Επιτροπή έχει ως στόχο να διαθέσει πόρους για τις νεοφυείς επιχειρήσεις και τους φορείς καινοτομίας στον τομέα </w:t>
      </w:r>
      <w:r>
        <w:rPr>
          <w:rFonts w:ascii="Times New Roman" w:hAnsi="Times New Roman"/>
          <w:noProof/>
          <w:sz w:val="24"/>
        </w:rPr>
        <w:t>της ΤΝ και της τεχνολογίας αλυσίδας συστοιχιών (blockchain), ώστε να συμβάλει στην ανάπτυξη των επιχειρηματικών δραστηριοτήτων τους. Πρόκειται να κινητοποιηθούν αρχικά 100 εκατ. EUR το 2020, τα οποία μπορεί να συμπληρωθούν περαιτέρω μέσω συμμετοχής ενδιαφε</w:t>
      </w:r>
      <w:r>
        <w:rPr>
          <w:rFonts w:ascii="Times New Roman" w:hAnsi="Times New Roman"/>
          <w:noProof/>
          <w:sz w:val="24"/>
        </w:rPr>
        <w:t xml:space="preserve">ρόμενων εθνικών αναπτυξιακών τραπεζών και άλλων ιδρυμάτων. Αυτό μπορεί να συμβάλλει στην ενίσχυση της πρόσβασης στη χρηματοδότηση για την ΤΝ στο πλαίσιο του προγράμματος InvestEU από το 2021 και μετά. </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Παράλληλα, η Επιτροπή σημειώνει πρόοδο όσον αφορά τη σ</w:t>
      </w:r>
      <w:r>
        <w:rPr>
          <w:rFonts w:ascii="Times New Roman" w:hAnsi="Times New Roman"/>
          <w:noProof/>
          <w:sz w:val="24"/>
        </w:rPr>
        <w:t xml:space="preserve">ύσταση </w:t>
      </w:r>
      <w:r>
        <w:rPr>
          <w:rFonts w:ascii="Times New Roman" w:hAnsi="Times New Roman"/>
          <w:b/>
          <w:noProof/>
          <w:sz w:val="24"/>
        </w:rPr>
        <w:t>Ευρωπαϊκού Συμβουλίου Καινοτομίας</w:t>
      </w:r>
      <w:r>
        <w:rPr>
          <w:rFonts w:ascii="Times New Roman" w:hAnsi="Times New Roman"/>
          <w:noProof/>
          <w:sz w:val="24"/>
        </w:rPr>
        <w:t xml:space="preserve"> για τη στήριξη πρωτοποριακών τεχνολογιών και των πλέον καινοτόμων νεοφυών επιχειρήσεων. Σε απάντηση στην έκκληση του Ευρωπαϊκού Συμβουλίου του Ιουνίου 2018</w:t>
      </w:r>
      <w:r>
        <w:rPr>
          <w:rStyle w:val="FootnoteReference"/>
          <w:rFonts w:ascii="Times New Roman" w:hAnsi="Times New Roman"/>
          <w:noProof/>
          <w:sz w:val="24"/>
        </w:rPr>
        <w:footnoteReference w:id="19"/>
      </w:r>
      <w:r>
        <w:rPr>
          <w:rFonts w:ascii="Times New Roman" w:hAnsi="Times New Roman"/>
          <w:noProof/>
          <w:sz w:val="24"/>
        </w:rPr>
        <w:t>, θα δρομολογηθεί νέα πιλοτική πρωτοβουλία</w:t>
      </w:r>
      <w:r>
        <w:rPr>
          <w:rStyle w:val="FootnoteReference"/>
          <w:rFonts w:ascii="Times New Roman" w:hAnsi="Times New Roman"/>
          <w:noProof/>
          <w:sz w:val="24"/>
        </w:rPr>
        <w:footnoteReference w:id="20"/>
      </w:r>
      <w:r>
        <w:rPr>
          <w:rFonts w:ascii="Times New Roman" w:hAnsi="Times New Roman"/>
          <w:noProof/>
          <w:sz w:val="24"/>
        </w:rPr>
        <w:t xml:space="preserve"> στις αρχές του </w:t>
      </w:r>
      <w:r>
        <w:rPr>
          <w:rFonts w:ascii="Times New Roman" w:hAnsi="Times New Roman"/>
          <w:noProof/>
          <w:sz w:val="24"/>
        </w:rPr>
        <w:t xml:space="preserve">2019 και θα περιλαμβάνει στήριξη για την επόμενη γενιά τεχνολογιών ανθρωποκεντρικής ΤΝ. </w:t>
      </w:r>
    </w:p>
    <w:p w:rsidR="00827E6B" w:rsidRDefault="006128CF">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Ενίσχυση της αριστείας αξιόπιστων τεχνολογιών ΤΝ και της ευρείας διάδοσής τους</w:t>
      </w:r>
      <w:r>
        <w:rPr>
          <w:rStyle w:val="FootnoteReference"/>
          <w:rFonts w:ascii="Times New Roman" w:hAnsi="Times New Roman"/>
          <w:b/>
          <w:noProof/>
          <w:sz w:val="24"/>
        </w:rPr>
        <w:footnoteReference w:id="21"/>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Τα κράτη μέλη και η Επιτροπή έχουν ως στόχο την ενίσχυση των εθνικών ερευνητικών </w:t>
      </w:r>
      <w:r>
        <w:rPr>
          <w:rFonts w:ascii="Times New Roman" w:hAnsi="Times New Roman"/>
          <w:noProof/>
          <w:sz w:val="24"/>
        </w:rPr>
        <w:t xml:space="preserve">ικανοτήτων και την επίτευξη κρίσιμης μάζας με τη </w:t>
      </w:r>
      <w:r>
        <w:rPr>
          <w:rFonts w:ascii="Times New Roman" w:hAnsi="Times New Roman"/>
          <w:b/>
          <w:noProof/>
          <w:sz w:val="24"/>
        </w:rPr>
        <w:t>στενότερη συνεργασία των δικτύων ευρωπαϊκών ερευνητικών κέντρων αριστείας στον τομέα της ΤΝ</w:t>
      </w:r>
      <w:r>
        <w:rPr>
          <w:rFonts w:ascii="Times New Roman" w:hAnsi="Times New Roman"/>
          <w:noProof/>
          <w:sz w:val="24"/>
        </w:rPr>
        <w:t xml:space="preserve">. Στόχος είναι να προαχθεί η συνεργασία μεταξύ των καλύτερων ερευνητικών ομάδων στην Ευρώπη, ούτως ώστε να μπορούν, </w:t>
      </w:r>
      <w:r>
        <w:rPr>
          <w:rFonts w:ascii="Times New Roman" w:hAnsi="Times New Roman"/>
          <w:noProof/>
          <w:sz w:val="24"/>
        </w:rPr>
        <w:t>με ενωμένες τις δυνάμεις τους, να αντιμετωπίζουν αποτελεσματικότερα τις σημαντικότερες επιστημονικές και τεχνολογικές προκλήσεις στον τομέα της ΤΝ.</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Η διάθεση προηγμένων εφαρμογών ΤΝ στην αγορά απαιτεί πειραματισμό και δοκιμές σε πραγματικά περιβάλλοντα. Στ</w:t>
      </w:r>
      <w:r>
        <w:rPr>
          <w:rFonts w:ascii="Times New Roman" w:hAnsi="Times New Roman"/>
          <w:noProof/>
          <w:sz w:val="24"/>
        </w:rPr>
        <w:t>ο πλαίσιο υλοποίησης της στρατηγικής για την ψηφιοποίηση της ευρωπαϊκής βιομηχανίας</w:t>
      </w:r>
      <w:r>
        <w:rPr>
          <w:rStyle w:val="FootnoteReference"/>
          <w:rFonts w:ascii="Times New Roman" w:hAnsi="Times New Roman"/>
          <w:noProof/>
          <w:sz w:val="24"/>
        </w:rPr>
        <w:footnoteReference w:id="22"/>
      </w:r>
      <w:r>
        <w:rPr>
          <w:rFonts w:ascii="Times New Roman" w:hAnsi="Times New Roman"/>
          <w:noProof/>
          <w:sz w:val="24"/>
        </w:rPr>
        <w:t xml:space="preserve"> που υιοθετήθηκε το 2016, η Επιτροπή υποστηρίζει ήδη πιλοτικά έργα μεγάλης κλίμακας και πειράματα σε τομείς όπως η έξυπνη γεωργία, οι έξυπνες πόλεις και τα συνδεδεμένα και </w:t>
      </w:r>
      <w:r>
        <w:rPr>
          <w:rFonts w:ascii="Times New Roman" w:hAnsi="Times New Roman"/>
          <w:noProof/>
          <w:sz w:val="24"/>
        </w:rPr>
        <w:t xml:space="preserve">αυτόνομα οχήματα. </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Θα μπορέσουμε να αντλήσουμε διδάγματα από αυτά τα πιλοτικά έργα και πειράματα. Για τη βελτιστοποίηση των επενδύσεων και την αποφυγή αλληλοεπικάλυψης των προσπαθειών, η Επιτροπή προτείνει την </w:t>
      </w:r>
      <w:r>
        <w:rPr>
          <w:rFonts w:ascii="Times New Roman" w:hAnsi="Times New Roman"/>
          <w:b/>
          <w:noProof/>
          <w:sz w:val="24"/>
        </w:rPr>
        <w:t>ανάπτυξη διαφόρων εγκαταστάσεων δοκιμών αναφορ</w:t>
      </w:r>
      <w:r>
        <w:rPr>
          <w:rFonts w:ascii="Times New Roman" w:hAnsi="Times New Roman"/>
          <w:b/>
          <w:noProof/>
          <w:sz w:val="24"/>
        </w:rPr>
        <w:t>άς, που θα είναι διαθέσιμες σε όλους τους παράγοντες σε ολόκληρη την ΕΕ, με χρήση κονδυλίων έως 1,5 δισεκ. EUR</w:t>
      </w:r>
      <w:r>
        <w:rPr>
          <w:rFonts w:ascii="Times New Roman" w:hAnsi="Times New Roman"/>
          <w:noProof/>
          <w:sz w:val="24"/>
        </w:rPr>
        <w:t xml:space="preserve"> από το σκέλος ΤΝ του προτεινόμενου προγράμματος «Ψηφιακή Ευρώπη», αξιοποιώντας την ισχυρή βάση των υφιστάμενων κέντρων αριστείας στα κράτη μέλη.</w:t>
      </w:r>
      <w:r>
        <w:rPr>
          <w:noProof/>
        </w:rPr>
        <w:t xml:space="preserve"> </w:t>
      </w:r>
      <w:r>
        <w:rPr>
          <w:rFonts w:ascii="Times New Roman" w:hAnsi="Times New Roman"/>
          <w:noProof/>
          <w:sz w:val="24"/>
        </w:rPr>
        <w:t>Μερικά παραδείγματα εγκαταστάσεων δοκιμών που ιδρύονται από τα κράτη μέλη αφορούν διασυνοριακές δοκιμές συνδεδεμένης και αυτόνομης οδήγησης</w:t>
      </w:r>
      <w:r>
        <w:rPr>
          <w:rStyle w:val="FootnoteReference"/>
          <w:rFonts w:ascii="Times New Roman" w:hAnsi="Times New Roman"/>
          <w:noProof/>
          <w:sz w:val="24"/>
        </w:rPr>
        <w:footnoteReference w:id="23"/>
      </w:r>
      <w:r>
        <w:rPr>
          <w:rFonts w:ascii="Times New Roman" w:hAnsi="Times New Roman"/>
          <w:noProof/>
          <w:sz w:val="24"/>
        </w:rPr>
        <w:t xml:space="preserve"> και πειραματισμό σε έξυπνα νοσοκομεία σε πραγματική κλίμακα. Στην περίπτωση της συνδεδεμένης και αυτόνομης κινητικό</w:t>
      </w:r>
      <w:r>
        <w:rPr>
          <w:rFonts w:ascii="Times New Roman" w:hAnsi="Times New Roman"/>
          <w:noProof/>
          <w:sz w:val="24"/>
        </w:rPr>
        <w:t>τητας, ο εντοπισμός τέτοιων εγκαταστάσεων δοκιμών και οι ίδιες οι δοκιμές θα συντονιστούν, αρχικά, μόνο από την πλατφόρμα σε επίπεδο ΕΕ στην οποία αναφέρεται η στρατηγική της ΕΕ για την κινητικότητα του μέλλοντος</w:t>
      </w:r>
      <w:r>
        <w:rPr>
          <w:rStyle w:val="FootnoteReference"/>
          <w:rFonts w:ascii="Times New Roman" w:hAnsi="Times New Roman"/>
          <w:noProof/>
          <w:sz w:val="24"/>
        </w:rPr>
        <w:footnoteReference w:id="24"/>
      </w:r>
      <w:r>
        <w:rPr>
          <w:rFonts w:ascii="Times New Roman" w:hAnsi="Times New Roman"/>
          <w:noProof/>
          <w:sz w:val="24"/>
        </w:rPr>
        <w:t xml:space="preserve"> και, στη συνέχεια, με τις αντίστοιχες εται</w:t>
      </w:r>
      <w:r>
        <w:rPr>
          <w:rFonts w:ascii="Times New Roman" w:hAnsi="Times New Roman"/>
          <w:noProof/>
          <w:sz w:val="24"/>
        </w:rPr>
        <w:t>ρικές σχέσεις που θα συσταθούν δυνάμει του προγράμματος Ορίζοντας Ευρώπη.</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Εξίσου σημαντική είναι η προώθηση της ευρύτερης δυνατής χρήσης της ΤΝ στην οικονομία, ιδίως μέσω νεοφυών επιχειρήσεων και μικρών και μεσαίων επιχειρήσεων. Με την ευαισθητοποίηση του </w:t>
      </w:r>
      <w:r>
        <w:rPr>
          <w:rFonts w:ascii="Times New Roman" w:hAnsi="Times New Roman"/>
          <w:noProof/>
          <w:sz w:val="24"/>
        </w:rPr>
        <w:t>κοινού και την ανταλλαγή της πλέον πρόσφατης επιστημονικής προόδου και των δοκιμασμένων τεχνολογιών αιχμής που αναπτύσσονται στην Ευρώπη, μπορούμε να διασφαλίσουμε ότι όλες οι εταιρείες, είτε μικρές είτε μεγάλες, είτε υψηλής τεχνολογίας είτε όχι, καθώς και</w:t>
      </w:r>
      <w:r>
        <w:rPr>
          <w:rFonts w:ascii="Times New Roman" w:hAnsi="Times New Roman"/>
          <w:noProof/>
          <w:sz w:val="24"/>
        </w:rPr>
        <w:t xml:space="preserve"> ο δημόσιος τομέας, θα έχουν τη δυνατότητα να αξιοποιήσουν τις εν λόγω ψηφιακές ευκαιρίες. Στο προτεινόμενο νέο πρόγραμμα «Ψηφιακή Ευρώπη» προβλέπεται συγχρηματοδότηση από τα κράτη μέλη και την Επιτροπή στους </w:t>
      </w:r>
      <w:r>
        <w:rPr>
          <w:rFonts w:ascii="Times New Roman" w:hAnsi="Times New Roman"/>
          <w:b/>
          <w:noProof/>
          <w:sz w:val="24"/>
        </w:rPr>
        <w:t>κόμβους ψηφιακής καινοτομίας</w:t>
      </w:r>
      <w:r>
        <w:rPr>
          <w:rFonts w:ascii="Times New Roman" w:hAnsi="Times New Roman"/>
          <w:noProof/>
          <w:sz w:val="24"/>
        </w:rPr>
        <w:t xml:space="preserve"> σε ολόκληρη την Ευ</w:t>
      </w:r>
      <w:r>
        <w:rPr>
          <w:rFonts w:ascii="Times New Roman" w:hAnsi="Times New Roman"/>
          <w:noProof/>
          <w:sz w:val="24"/>
        </w:rPr>
        <w:t>ρώπη. Το πρόγραμμα θα διευκολύνει περαιτέρω τη διάδοση της ικανότητας ΤΝ σε κάθε κράτος μέλος και θα παρέχει σύνδεση με πλατφόρμα ΤΝ κατά παραγγελία</w:t>
      </w:r>
      <w:r>
        <w:rPr>
          <w:rStyle w:val="FootnoteReference"/>
          <w:rFonts w:ascii="Times New Roman" w:hAnsi="Times New Roman"/>
          <w:noProof/>
          <w:sz w:val="24"/>
        </w:rPr>
        <w:footnoteReference w:id="25"/>
      </w:r>
      <w:r>
        <w:rPr>
          <w:rFonts w:ascii="Times New Roman" w:hAnsi="Times New Roman"/>
          <w:noProof/>
          <w:sz w:val="24"/>
        </w:rPr>
        <w:t>. Προς τον σκοπό αυτό, το 2019 τα κράτη μέλη θα καθορίσουν κόμβους ψηφιακής καινοτομίας στον τομέα της ΤΝ σ</w:t>
      </w:r>
      <w:r>
        <w:rPr>
          <w:rFonts w:ascii="Times New Roman" w:hAnsi="Times New Roman"/>
          <w:noProof/>
          <w:sz w:val="24"/>
        </w:rPr>
        <w:t>την επικράτειά τους.</w:t>
      </w:r>
    </w:p>
    <w:p w:rsidR="00827E6B" w:rsidRDefault="006128CF">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2.4. </w:t>
      </w:r>
      <w:r>
        <w:rPr>
          <w:noProof/>
        </w:rPr>
        <w:tab/>
      </w:r>
      <w:r>
        <w:rPr>
          <w:rFonts w:ascii="Times New Roman" w:hAnsi="Times New Roman"/>
          <w:b/>
          <w:noProof/>
          <w:sz w:val="24"/>
        </w:rPr>
        <w:t>Προσαρμογή των προγραμμάτων και συστημάτων μάθησης και κατάρτισης για την καλύτερη προετοιμασία της κοινωνίας μας για την ΤΝ</w:t>
      </w:r>
      <w:r>
        <w:rPr>
          <w:rStyle w:val="FootnoteReference"/>
          <w:rFonts w:ascii="Times New Roman" w:hAnsi="Times New Roman"/>
          <w:noProof/>
          <w:sz w:val="24"/>
        </w:rPr>
        <w:footnoteReference w:id="26"/>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Η ταχεία τεχνολογική πρόοδος συνεπάγεται σημαντική μεταμόρφωση του κόσμου της εργασίας, και μάλιστα πολ</w:t>
      </w:r>
      <w:r>
        <w:rPr>
          <w:rFonts w:ascii="Times New Roman" w:hAnsi="Times New Roman"/>
          <w:noProof/>
          <w:sz w:val="24"/>
        </w:rPr>
        <w:t xml:space="preserve">ύ σύντομα. Πιο συγκεκριμένα, οι τεχνολογικές αλλαγές θα επιφέρουν μεταβολή των δεξιοτήτων που απαιτείται να διαθέτουν οι εργαζόμενοι, πράγμα που σημαίνει ότι μεγάλος αριθμός εργαζομένων θα χρειαστεί ενδεχομένως να αναβαθμίσει τις δεξιότητές του. Επομένως, </w:t>
      </w:r>
      <w:r>
        <w:rPr>
          <w:rFonts w:ascii="Times New Roman" w:hAnsi="Times New Roman"/>
          <w:noProof/>
          <w:sz w:val="24"/>
        </w:rPr>
        <w:t>χρειάζεται να δοθεί μεγαλύτερη έμφαση στη διά βίου μάθηση. Μια συγκεκριμένη πτυχή της αλλαγής αφορά τους εργαζόμενους που θα σχεδιάσουν και θα υλοποιήσουν στην πράξη τις λύσεις ΤΝ του μέλλοντος. Σχεδόν όλα τα κράτη μέλη αντιμετωπίζουν ελλείψεις επαγγελματι</w:t>
      </w:r>
      <w:r>
        <w:rPr>
          <w:rFonts w:ascii="Times New Roman" w:hAnsi="Times New Roman"/>
          <w:noProof/>
          <w:sz w:val="24"/>
        </w:rPr>
        <w:t>ών ΤΠΕ: επί του παρόντος υπάρχουν πάνω από 600 000 κενές θέσεις εργασίας για ειδικούς του ψηφιακού τομέα</w:t>
      </w:r>
      <w:r>
        <w:rPr>
          <w:rStyle w:val="FootnoteReference"/>
          <w:rFonts w:ascii="Times New Roman" w:hAnsi="Times New Roman"/>
          <w:noProof/>
          <w:sz w:val="24"/>
        </w:rPr>
        <w:footnoteReference w:id="27"/>
      </w:r>
      <w:r>
        <w:rPr>
          <w:rFonts w:ascii="Times New Roman" w:hAnsi="Times New Roman"/>
          <w:noProof/>
          <w:sz w:val="24"/>
        </w:rPr>
        <w:t>. Επιπλέον, οι ταλαντούχοι ερευνητές και οι πιο ελπιδοφόρες νεοφυείς επιχειρήσεις συχνά δέχονται ενδιαφέρουσες προτάσεις από το εξωτερικό. Για παράδειγ</w:t>
      </w:r>
      <w:r>
        <w:rPr>
          <w:rFonts w:ascii="Times New Roman" w:hAnsi="Times New Roman"/>
          <w:noProof/>
          <w:sz w:val="24"/>
        </w:rPr>
        <w:t>μα, το 2017 υπήρχαν 240 000 Ευρωπαίοι στη Silicon Valley</w:t>
      </w:r>
      <w:r>
        <w:rPr>
          <w:rStyle w:val="FootnoteReference"/>
          <w:rFonts w:ascii="Times New Roman" w:hAnsi="Times New Roman"/>
          <w:noProof/>
          <w:sz w:val="24"/>
        </w:rPr>
        <w:footnoteReference w:id="28"/>
      </w:r>
      <w:r>
        <w:rPr>
          <w:rFonts w:ascii="Times New Roman" w:hAnsi="Times New Roman"/>
          <w:noProof/>
          <w:sz w:val="24"/>
        </w:rPr>
        <w:t>, πολλοί εκ των οποίων μετέβησαν στις ΗΠΑ για να καλύψουν συγκεκριμένη θέση εργασίας στον τομέα της τεχνολογίας. Η Ευρώπη πρέπει να είναι σε θέση να καταρτίζει, να προσελκύει και να διατηρεί τέτοια τ</w:t>
      </w:r>
      <w:r>
        <w:rPr>
          <w:rFonts w:ascii="Times New Roman" w:hAnsi="Times New Roman"/>
          <w:noProof/>
          <w:sz w:val="24"/>
        </w:rPr>
        <w:t xml:space="preserve">αλέντα, καθώς και να ενθαρρύνει το επιχειρηματικό πνεύμα, την ποικιλομορφία και την ισόρροπη εκπροσώπηση των φύλων. </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Επομένως, τα κράτη μέλη θα ανταλλάσσουν βέλτιστες πρακτικές για το πώς θα ενισχύσουν την αριστεία και θα διατηρήσουν τους ικανότερους εργαζ</w:t>
      </w:r>
      <w:r>
        <w:rPr>
          <w:rFonts w:ascii="Times New Roman" w:hAnsi="Times New Roman"/>
          <w:noProof/>
          <w:sz w:val="24"/>
        </w:rPr>
        <w:t>ομένους, καθώς και για το πώς θα αυξήσουν και θα επισπεύσουν τις προσπάθειες για την πλήρη εισαγωγή και αξιοποίηση των δυνατοτήτων που παρέχει το σημερινό κεκτημένο στον τομέα της νόμιμης μετανάστευσης, συμπεριλαμβανομένης της μπλε κάρτας</w:t>
      </w:r>
      <w:r>
        <w:rPr>
          <w:rStyle w:val="FootnoteReference"/>
          <w:rFonts w:ascii="Times New Roman" w:hAnsi="Times New Roman"/>
          <w:noProof/>
          <w:sz w:val="24"/>
        </w:rPr>
        <w:footnoteReference w:id="29"/>
      </w:r>
      <w:r>
        <w:rPr>
          <w:rFonts w:ascii="Times New Roman" w:hAnsi="Times New Roman"/>
          <w:noProof/>
          <w:sz w:val="24"/>
        </w:rPr>
        <w:t>, για την προσέλκ</w:t>
      </w:r>
      <w:r>
        <w:rPr>
          <w:rFonts w:ascii="Times New Roman" w:hAnsi="Times New Roman"/>
          <w:noProof/>
          <w:sz w:val="24"/>
        </w:rPr>
        <w:t>υση ταλέντων. Η μπλε κάρτα είναι μια άδεια εργασίας που επιτρέπει σε πολίτες τρίτων χωρών με υψηλή ειδίκευση να εργάζονται και να διαμένουν στην ΕΕ. Οι δεξιότητες θα πρέπει επίσης να καλύπτονται στις εθνικές στρατηγικές ΤΝ που πρόκειται να δημοσιευτούν έως</w:t>
      </w:r>
      <w:r>
        <w:rPr>
          <w:rFonts w:ascii="Times New Roman" w:hAnsi="Times New Roman"/>
          <w:noProof/>
          <w:sz w:val="24"/>
        </w:rPr>
        <w:t xml:space="preserve"> τα μέσα του 2019. Οι στρατηγικές θα πρέπει να αναφέρουν τις συναφείς με την ΤΝ δεξιότητες στο πλαίσιο της τυπικής εκπαίδευσης, συμπεριλαμβανομένης της επαγγελματικής κατάρτισης και της ανώτερης εκπαίδευσης, καθώς και τρόπους βελτίωσης των ευκαιριών για με</w:t>
      </w:r>
      <w:r>
        <w:rPr>
          <w:rFonts w:ascii="Times New Roman" w:hAnsi="Times New Roman"/>
          <w:noProof/>
          <w:sz w:val="24"/>
        </w:rPr>
        <w:t xml:space="preserve">ταπτυχιακά και διδακτορικά διπλώματα στον τομέα της ΤΝ. </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b/>
          <w:noProof/>
          <w:sz w:val="24"/>
        </w:rPr>
        <w:t xml:space="preserve">Η Επιτροπή θα υποστηρίξει τα μεταπτυχιακά και διδακτορικά διπλώματα στον τομέα της ΤΝ </w:t>
      </w:r>
      <w:r>
        <w:rPr>
          <w:rFonts w:ascii="Times New Roman" w:hAnsi="Times New Roman"/>
          <w:noProof/>
          <w:sz w:val="24"/>
        </w:rPr>
        <w:t>μέσω της προτεινόμενης στενότερης συνεργασίας μεταξύ των ερευνητικών κέντρων αριστείας στον τομέα της ΤΝ και, ευρ</w:t>
      </w:r>
      <w:r>
        <w:rPr>
          <w:rFonts w:ascii="Times New Roman" w:hAnsi="Times New Roman"/>
          <w:noProof/>
          <w:sz w:val="24"/>
        </w:rPr>
        <w:t>ύτερα, των προγραμμάτων της ΕΕ για την έρευνα και την καινοτομία. Επιπλέον, θα υποστηρίξει τη διεπιστημονικότητα, ενθαρρύνοντας τους κοινούς τίτλους σπουδών, για παράδειγμα στο δίκαιο ή την ψυχολογία και στον τομέα της ΤΝ. Επιπλέον, ψηφιακές δεξιότητες που</w:t>
      </w:r>
      <w:r>
        <w:rPr>
          <w:rFonts w:ascii="Times New Roman" w:hAnsi="Times New Roman"/>
          <w:noProof/>
          <w:sz w:val="24"/>
        </w:rPr>
        <w:t xml:space="preserve"> διευκολύνουν την ανάπτυξη και χρήση ΤΝ θα πρέπει να περιλαμβάνονται σε όλα τα προγράμματα σπουδών και ειδικεύσεων.</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Λόγω του ανατρεπτικού χαρακτήρα πολλών τεχνολογικών εξελίξεων, οι φορείς χάραξης πολιτικής θα αναπτύξουν στρατηγικές για να αντιμετωπίσουν τ</w:t>
      </w:r>
      <w:r>
        <w:rPr>
          <w:rFonts w:ascii="Times New Roman" w:hAnsi="Times New Roman"/>
          <w:noProof/>
          <w:sz w:val="24"/>
        </w:rPr>
        <w:t>ις αλλαγές στον τομέα της απασχόλησης, ώστε να διασφαλιστεί η συμμετοχικότητα, επειδή είναι πιθανό ότι ορισμένα επαγγέλματα θα εξαφανιστούν και άλλα θα εμφανιστούν με επιταχυνόμενο ρυθμό, ενώ θα αλλάξουν τα επιχειρηματικά μοντέλα και ο τρόπος διεξαγωγής ορ</w:t>
      </w:r>
      <w:r>
        <w:rPr>
          <w:rFonts w:ascii="Times New Roman" w:hAnsi="Times New Roman"/>
          <w:noProof/>
          <w:sz w:val="24"/>
        </w:rPr>
        <w:t>ισμένων καθηκόντων ή εργασιών. Για τον λόγο αυτό, ίσως απαιτηθεί να μεταβληθούν οι ισχύουσες ρυθμίσεις της αγοράς εργασίας και της κοινωνικής προστασίας, ώστε να υποστηριχθεί η εναλλαγή θέσεων εργασίας στο πλαίσιο της αγορά εργασίας. Η Επιτροπή έχει συγκρο</w:t>
      </w:r>
      <w:r>
        <w:rPr>
          <w:rFonts w:ascii="Times New Roman" w:hAnsi="Times New Roman"/>
          <w:noProof/>
          <w:sz w:val="24"/>
        </w:rPr>
        <w:t>τήσει ομάδα εμπειρογνωμόνων υψηλού επιπέδου σχετικά με τον αντίκτυπο του ψηφιακού μετασχηματισμού στις αγορές εργασίας της ΕΕ. Η ομάδα αυτή θα εκπονήσει έκθεση, την άνοιξη του 2019, στην οποία θα εξετάζονται τα εν λόγω ζητήματα</w:t>
      </w:r>
      <w:r>
        <w:rPr>
          <w:rStyle w:val="FootnoteReference"/>
          <w:rFonts w:ascii="Times New Roman" w:hAnsi="Times New Roman"/>
          <w:noProof/>
          <w:sz w:val="24"/>
        </w:rPr>
        <w:footnoteReference w:id="30"/>
      </w:r>
      <w:r>
        <w:rPr>
          <w:rFonts w:ascii="Times New Roman" w:hAnsi="Times New Roman"/>
          <w:noProof/>
          <w:sz w:val="24"/>
        </w:rPr>
        <w:t xml:space="preserve">. </w:t>
      </w:r>
    </w:p>
    <w:p w:rsidR="00827E6B" w:rsidRDefault="006128CF">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2.5. </w:t>
      </w:r>
      <w:r>
        <w:rPr>
          <w:noProof/>
        </w:rPr>
        <w:tab/>
      </w:r>
      <w:r>
        <w:rPr>
          <w:rFonts w:ascii="Times New Roman" w:hAnsi="Times New Roman"/>
          <w:b/>
          <w:noProof/>
          <w:sz w:val="24"/>
        </w:rPr>
        <w:t>Οικοδόμηση του ευρω</w:t>
      </w:r>
      <w:r>
        <w:rPr>
          <w:rFonts w:ascii="Times New Roman" w:hAnsi="Times New Roman"/>
          <w:b/>
          <w:noProof/>
          <w:sz w:val="24"/>
        </w:rPr>
        <w:t>παϊκού χώρου δεδομένων που είναι απαραίτητος για την ΤΝ στην Ευρώπη, μεταξύ άλλων για τον δημόσιο τομέα</w:t>
      </w:r>
      <w:r>
        <w:rPr>
          <w:rStyle w:val="FootnoteReference"/>
          <w:rFonts w:ascii="Times New Roman" w:hAnsi="Times New Roman"/>
          <w:noProof/>
          <w:sz w:val="24"/>
        </w:rPr>
        <w:footnoteReference w:id="31"/>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Οι περαιτέρω εξελίξεις στον τομέα της ΤΝ απαιτούν ένα εύρυθμο οικοσύστημα δεδομένων που βασίζεται στην εμπιστοσύνη, τη διαθεσιμότητα δεδομένων και τις </w:t>
      </w:r>
      <w:r>
        <w:rPr>
          <w:rFonts w:ascii="Times New Roman" w:hAnsi="Times New Roman"/>
          <w:noProof/>
          <w:sz w:val="24"/>
        </w:rPr>
        <w:t>υποδομές</w:t>
      </w:r>
      <w:r>
        <w:rPr>
          <w:rStyle w:val="FootnoteReference"/>
          <w:rFonts w:ascii="Times New Roman" w:hAnsi="Times New Roman"/>
          <w:noProof/>
          <w:sz w:val="24"/>
        </w:rPr>
        <w:footnoteReference w:id="32"/>
      </w:r>
      <w:r>
        <w:rPr>
          <w:rFonts w:ascii="Times New Roman" w:hAnsi="Times New Roman"/>
          <w:noProof/>
          <w:sz w:val="24"/>
        </w:rPr>
        <w:t>. Ο γενικός κανονισμός για την προστασία των δεδομένων (ΓΚΠΔ)</w:t>
      </w:r>
      <w:r>
        <w:rPr>
          <w:rStyle w:val="FootnoteReference"/>
          <w:rFonts w:ascii="Times New Roman" w:hAnsi="Times New Roman"/>
          <w:noProof/>
          <w:sz w:val="24"/>
        </w:rPr>
        <w:footnoteReference w:id="33"/>
      </w:r>
      <w:r>
        <w:rPr>
          <w:rFonts w:ascii="Times New Roman" w:hAnsi="Times New Roman"/>
          <w:noProof/>
          <w:sz w:val="24"/>
        </w:rPr>
        <w:t xml:space="preserve"> αποτελεί το εχέγγυο εμπιστοσύνης στην ενιαία αγορά δεδομένων. Ο κανονισμός θεσπίζει ένα νέο παγκόσμιο πρότυπο με έντονη έμφαση στα δικαιώματα του ατόμου, το οποίο αντικατοπτρίζει τις ε</w:t>
      </w:r>
      <w:r>
        <w:rPr>
          <w:rFonts w:ascii="Times New Roman" w:hAnsi="Times New Roman"/>
          <w:noProof/>
          <w:sz w:val="24"/>
        </w:rPr>
        <w:t>υρωπαϊκές αξίες, και αποτελεί σημαντικό στοιχείο για τη διασφάλιση της εμπιστοσύνης στον τομέα της ΤΝ. Η εν λόγω εμπιστοσύνη είναι ιδιαίτερα σημαντική όσον αφορά την επεξεργασία δεδομένων που αφορούν την υγεία για εφαρμογές που βασίζονται στον τομέα της ΤΝ</w:t>
      </w:r>
      <w:r>
        <w:rPr>
          <w:rFonts w:ascii="Times New Roman" w:hAnsi="Times New Roman"/>
          <w:noProof/>
          <w:sz w:val="24"/>
        </w:rPr>
        <w:t>. Η Επιτροπή θα ήθελε να ενθαρρύνει το Ευρωπαϊκό Συμβούλιο Προστασίας Δεδομένων να καταρτίσει κατευθυντήριες γραμμές σχετικά με το ζήτημα της επεξεργασίας δεδομένων προσωπικού χαρακτήρα στο πλαίσιο της έρευνας. Με τον τρόπο αυτό, θα διευκολυνθεί η ανάπτυξη</w:t>
      </w:r>
      <w:r>
        <w:rPr>
          <w:rFonts w:ascii="Times New Roman" w:hAnsi="Times New Roman"/>
          <w:noProof/>
          <w:sz w:val="24"/>
        </w:rPr>
        <w:t xml:space="preserve"> μεγάλων συνόλων διακρατικών δεδομένων στον τομέα της έρευνας που μπορούν να χρησιμοποιηθούν για την ΤΝ.</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Η ΤΝ χρειάζεται τεράστιο όγκο δεδομένων για να αναπτυχθεί. Η εκμάθηση της μηχανής, ένας τύπος ΤΝ, λειτουργεί μέσω προσδιορισμού προτύπων σε διαθέσιμα δ</w:t>
      </w:r>
      <w:r>
        <w:rPr>
          <w:rFonts w:ascii="Times New Roman" w:hAnsi="Times New Roman"/>
          <w:noProof/>
          <w:sz w:val="24"/>
        </w:rPr>
        <w:t xml:space="preserve">εδομένα και, κατόπιν, μέσω εφαρμογής των γνώσεων σε νέα δεδομένα. Όσο μεγαλύτερο είναι το σύνολο των δεδομένων, τόσο καλύτερα μπορούν να αναδειχθούν ακόμη και λεπτές σχέσεις στα δεδομένα. </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Μόλις εκπαιδευτούν, οι αλγόριθμοι μπορούν να ταξινομήσουν σωστά αντ</w:t>
      </w:r>
      <w:r>
        <w:rPr>
          <w:rFonts w:ascii="Times New Roman" w:hAnsi="Times New Roman"/>
          <w:noProof/>
          <w:sz w:val="24"/>
        </w:rPr>
        <w:t>ικείμενα που δεν έχουν δει ποτέ, σε όλο και περισσότερες περιπτώσεις με ακρίβεια που υπερβαίνει εκείνη των ανθρώπων. Επομένως, η πρόσβαση στα δεδομένα, την οποία η ΕΕ θα πρέπει να διευκολύνει σεβόμενη πλήρως το σύνολο των κανόνων για την προστασία των δεδο</w:t>
      </w:r>
      <w:r>
        <w:rPr>
          <w:rFonts w:ascii="Times New Roman" w:hAnsi="Times New Roman"/>
          <w:noProof/>
          <w:sz w:val="24"/>
        </w:rPr>
        <w:t xml:space="preserve">μένων προσωπικού χαρακτήρα, αποτελεί βασικό συστατικό στοιχείο του ανταγωνιστικού περιβάλλοντος της ΤΝ. </w:t>
      </w:r>
    </w:p>
    <w:p w:rsidR="00827E6B" w:rsidRDefault="006128CF">
      <w:pPr>
        <w:spacing w:line="240" w:lineRule="auto"/>
        <w:jc w:val="both"/>
        <w:rPr>
          <w:noProof/>
          <w:sz w:val="24"/>
          <w:szCs w:val="24"/>
        </w:rPr>
      </w:pPr>
      <w:r>
        <w:rPr>
          <w:rFonts w:ascii="Times New Roman" w:hAnsi="Times New Roman"/>
          <w:noProof/>
          <w:sz w:val="24"/>
        </w:rPr>
        <w:t>Η έναρξη εφαρμογής του κανονισμού για την ελεύθερη ροή των δεδομένων μη προσωπικού χαρακτήρα</w:t>
      </w:r>
      <w:r>
        <w:rPr>
          <w:rStyle w:val="FootnoteReference"/>
          <w:rFonts w:ascii="Times New Roman" w:hAnsi="Times New Roman"/>
          <w:noProof/>
          <w:sz w:val="24"/>
        </w:rPr>
        <w:footnoteReference w:id="34"/>
      </w:r>
      <w:r>
        <w:rPr>
          <w:rFonts w:ascii="Times New Roman" w:hAnsi="Times New Roman"/>
          <w:noProof/>
          <w:sz w:val="24"/>
        </w:rPr>
        <w:t xml:space="preserve"> εντός του 2019 θα συμβάλει στην αποδέσμευση των δεδομένων</w:t>
      </w:r>
      <w:r>
        <w:rPr>
          <w:rFonts w:ascii="Times New Roman" w:hAnsi="Times New Roman"/>
          <w:noProof/>
          <w:sz w:val="24"/>
        </w:rPr>
        <w:t xml:space="preserve">, ιδίως εκείνων που παράγονται από μηχανές, και θα διευκολύνει αισθητά τις διασυνοριακές δραστηριότητες των επιχειρήσεων της Ένωσης. Το άνοιγμα στις διεθνείς ροές δεδομένων θα εξακολουθήσει να εξασφαλίζεται με πλήρη σεβασμό </w:t>
      </w:r>
      <w:r>
        <w:rPr>
          <w:rFonts w:ascii="Times New Roman" w:hAnsi="Times New Roman"/>
          <w:noProof/>
          <w:sz w:val="24"/>
          <w:u w:val="single"/>
        </w:rPr>
        <w:t>των κανόνων της ΕΕ για την</w:t>
      </w:r>
      <w:r>
        <w:rPr>
          <w:rFonts w:ascii="Times New Roman" w:hAnsi="Times New Roman"/>
          <w:noProof/>
          <w:sz w:val="24"/>
        </w:rPr>
        <w:t xml:space="preserve"> προστασία των δεδομένων προσωπικού χαρακτήρα, </w:t>
      </w:r>
      <w:r>
        <w:rPr>
          <w:rFonts w:ascii="Times New Roman" w:hAnsi="Times New Roman"/>
          <w:noProof/>
          <w:sz w:val="24"/>
          <w:u w:val="single"/>
        </w:rPr>
        <w:t>σύμφωνα με</w:t>
      </w:r>
      <w:r>
        <w:rPr>
          <w:rFonts w:ascii="Times New Roman" w:hAnsi="Times New Roman"/>
          <w:noProof/>
          <w:sz w:val="24"/>
        </w:rPr>
        <w:t xml:space="preserve"> </w:t>
      </w:r>
      <w:r>
        <w:rPr>
          <w:rFonts w:ascii="Times New Roman" w:hAnsi="Times New Roman"/>
          <w:noProof/>
          <w:sz w:val="24"/>
          <w:u w:val="single"/>
        </w:rPr>
        <w:t>τις εφαρμοστέες</w:t>
      </w:r>
      <w:r>
        <w:rPr>
          <w:rFonts w:ascii="Times New Roman" w:hAnsi="Times New Roman"/>
          <w:noProof/>
          <w:sz w:val="24"/>
        </w:rPr>
        <w:t xml:space="preserve"> νομικές πράξεις, συμπεριλαμβανομένων των συμφωνιών ελευθέρων συναλλαγών.</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Η συμφωνία σχετικά με την αναθεώρηση της οδηγίας για την περαιτέρω χρήση πληροφοριών του δημόσιου τομέα</w:t>
      </w:r>
      <w:r>
        <w:rPr>
          <w:rStyle w:val="FootnoteReference"/>
          <w:rFonts w:ascii="Times New Roman" w:hAnsi="Times New Roman"/>
          <w:noProof/>
          <w:sz w:val="24"/>
        </w:rPr>
        <w:footnoteReference w:id="35"/>
      </w:r>
      <w:r>
        <w:rPr>
          <w:rFonts w:ascii="Times New Roman" w:hAnsi="Times New Roman"/>
          <w:noProof/>
          <w:sz w:val="24"/>
        </w:rPr>
        <w:t xml:space="preserve"> θα αυξήσει επίσης τον όγκο των δεδομένων που είναι διαθέσιμα για την καινοτομία. </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b/>
          <w:noProof/>
          <w:sz w:val="24"/>
        </w:rPr>
        <w:t>Η δημιουργία κοινών ευρωπαϊκών χώρων δεδομένων</w:t>
      </w:r>
      <w:r>
        <w:rPr>
          <w:rFonts w:ascii="Times New Roman" w:hAnsi="Times New Roman"/>
          <w:noProof/>
          <w:sz w:val="24"/>
        </w:rPr>
        <w:t xml:space="preserve"> σε μια σειρά τομέων, όπως οι κατασκευές ή η ενέργεια, θα αποτελέσει σημαντικό πλεονέκτημα για τους ευρωπαϊκούς φορείς καινοτομ</w:t>
      </w:r>
      <w:r>
        <w:rPr>
          <w:rFonts w:ascii="Times New Roman" w:hAnsi="Times New Roman"/>
          <w:noProof/>
          <w:sz w:val="24"/>
        </w:rPr>
        <w:t>ίας και επιχειρήσεις. Οι εν λόγω κοινοί ευρωπαϊκοί χώροι δεδομένων θα συσσωρεύουν δεδομένα, τόσο του δημόσιου όσο και του ιδιωτικού τομέα, από ολόκληρη την Ευρώπη και θα τα διαθέτουν για την εκπαίδευση συστημάτων ΤΝ</w:t>
      </w:r>
      <w:r>
        <w:rPr>
          <w:rStyle w:val="FootnoteReference"/>
          <w:rFonts w:ascii="Times New Roman" w:hAnsi="Times New Roman"/>
          <w:noProof/>
          <w:sz w:val="24"/>
        </w:rPr>
        <w:footnoteReference w:id="36"/>
      </w:r>
      <w:r>
        <w:rPr>
          <w:rFonts w:ascii="Times New Roman" w:hAnsi="Times New Roman"/>
          <w:noProof/>
          <w:sz w:val="24"/>
        </w:rPr>
        <w:t>, σε τέτοια κλίμακα ώστε να είναι δυνατή</w:t>
      </w:r>
      <w:r>
        <w:rPr>
          <w:rFonts w:ascii="Times New Roman" w:hAnsi="Times New Roman"/>
          <w:noProof/>
          <w:sz w:val="24"/>
        </w:rPr>
        <w:t xml:space="preserve"> η ανάπτυξη νέων προϊόντων και υπηρεσιών. Η ταχεία ανάπτυξη και υιοθέτηση των ευρωπαϊκών κανόνων, όπως οι απαιτήσεις διαλειτουργικότητας και προτύπων, είναι ουσιαστικής σημασίας. Η Ένωση πρέπει επίσης να παρέχει στήριξη, ώστε να διασφαλίζεται η απρόσκοπτη </w:t>
      </w:r>
      <w:r>
        <w:rPr>
          <w:rFonts w:ascii="Times New Roman" w:hAnsi="Times New Roman"/>
          <w:noProof/>
          <w:sz w:val="24"/>
        </w:rPr>
        <w:t>πρόσβαση, η ανταλλαγή και η περαιτέρω χρήση των εν λόγω συνόλων δεδομένων. Ο προσδιορισμός συνόλων δεδομένων υψηλής αξίας από τα κράτη μέλη θα συμβάλει ώστε να καταστούν επαναχρησιμοποιήσιμα σε μεγαλύτερο βαθμό. Επίσης, η Επιτροπή συνεισφέρει με μεγάλες πο</w:t>
      </w:r>
      <w:r>
        <w:rPr>
          <w:rFonts w:ascii="Times New Roman" w:hAnsi="Times New Roman"/>
          <w:noProof/>
          <w:sz w:val="24"/>
        </w:rPr>
        <w:t>σότητες δεδομένων και πληροφοριών γεωσκόπησης από το εμβληματικό της πρόγραμμα Copernicus.</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Οι εφαρμογές της ΤΝ στον τομέα της υγεία είναι ιδιαίτερα ενθαρρυντικές. </w:t>
      </w:r>
      <w:r>
        <w:rPr>
          <w:rFonts w:ascii="Times New Roman" w:hAnsi="Times New Roman"/>
          <w:b/>
          <w:noProof/>
          <w:sz w:val="24"/>
        </w:rPr>
        <w:t>Το 2020 η Επιτροπή θα υποστηρίξει μέσω του προγράμματος «Ορίζων 2020» —σε συντονισμό με τα κρ</w:t>
      </w:r>
      <w:r>
        <w:rPr>
          <w:rFonts w:ascii="Times New Roman" w:hAnsi="Times New Roman"/>
          <w:b/>
          <w:noProof/>
          <w:sz w:val="24"/>
        </w:rPr>
        <w:t>άτη μέλη— την ανάπτυξη κοινής βάσης δεδομένων ιατρικών εικόνων</w:t>
      </w:r>
      <w:r>
        <w:rPr>
          <w:rFonts w:ascii="Times New Roman" w:hAnsi="Times New Roman"/>
          <w:noProof/>
          <w:sz w:val="24"/>
        </w:rPr>
        <w:t xml:space="preserve"> (ανωνυμοποιημένων και προερχόμενων από ασθενείς που προσφέρουν εθελοντικά τα δεδομένα τους). Η εν λόγω βάση δεδομένων εικόνων θα αφορά αρχικά τις πιο συνήθεις μορφές καρκίνου, με </w:t>
      </w:r>
      <w:r>
        <w:rPr>
          <w:rFonts w:ascii="Times New Roman" w:hAnsi="Times New Roman"/>
          <w:b/>
          <w:noProof/>
          <w:sz w:val="24"/>
        </w:rPr>
        <w:t>χρήση της ΤΝ γ</w:t>
      </w:r>
      <w:r>
        <w:rPr>
          <w:rFonts w:ascii="Times New Roman" w:hAnsi="Times New Roman"/>
          <w:b/>
          <w:noProof/>
          <w:sz w:val="24"/>
        </w:rPr>
        <w:t>ια τη βελτίωση της διάγνωσης και θεραπείας</w:t>
      </w:r>
      <w:r>
        <w:rPr>
          <w:rFonts w:ascii="Times New Roman" w:hAnsi="Times New Roman"/>
          <w:noProof/>
          <w:sz w:val="24"/>
        </w:rPr>
        <w:t xml:space="preserve">. Το έργο θα πληροί το σύνολο των αναγκαίων κανονιστικών απαιτήσεων, απαιτήσεων ασφάλειας και δεοντολογικών απαιτήσεων. </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Τα εργαλεία ΤΝ είναι κρίσιμης σημασίας για τις μελλοντικές εργασίες των δημόσιων διοικήσεων. </w:t>
      </w:r>
      <w:r>
        <w:rPr>
          <w:rFonts w:ascii="Times New Roman" w:hAnsi="Times New Roman"/>
          <w:noProof/>
          <w:sz w:val="24"/>
        </w:rPr>
        <w:t xml:space="preserve">Τα κράτη μέλη και η Επιτροπή θα συμμετέχουν σε μάθηση από ομοτίμους και θα διεξάγουν συζητήσεις για την </w:t>
      </w:r>
      <w:r>
        <w:rPr>
          <w:rFonts w:ascii="Times New Roman" w:hAnsi="Times New Roman"/>
          <w:b/>
          <w:noProof/>
          <w:sz w:val="24"/>
        </w:rPr>
        <w:t>κοινή προμήθεια λύσεων ΤΝ, συμπεριλαμβανομένης της κυβερνοασφάλειας</w:t>
      </w:r>
      <w:r>
        <w:rPr>
          <w:rFonts w:ascii="Times New Roman" w:hAnsi="Times New Roman"/>
          <w:noProof/>
          <w:sz w:val="24"/>
        </w:rPr>
        <w:t>, καθώς και για συγκεκριμένες προκλήσεις στον δημόσιο τομέα. Όταν υλοποιούνται λύσεις</w:t>
      </w:r>
      <w:r>
        <w:rPr>
          <w:rFonts w:ascii="Times New Roman" w:hAnsi="Times New Roman"/>
          <w:noProof/>
          <w:sz w:val="24"/>
        </w:rPr>
        <w:t xml:space="preserve"> ΤΝ, όσον αφορά, για παράδειγμα, την ασφάλεια και την επιβολή του νόμου, ανακύπτουν ιδιαίτερα νομικά και δεοντολογικά προβλήματα, λαμβανομένου υπόψη ότι οι δημόσιες διοικήσεις δεσμεύονται να ενεργούν, όπως προβλέπεται από τον νόμο, ότι οφείλουν να αιτιολογ</w:t>
      </w:r>
      <w:r>
        <w:rPr>
          <w:rFonts w:ascii="Times New Roman" w:hAnsi="Times New Roman"/>
          <w:noProof/>
          <w:sz w:val="24"/>
        </w:rPr>
        <w:t xml:space="preserve">ούν τις αποφάσεις τους και ότι οι πράξεις τους υπόκεινται σε δικαστικό έλεγχο από τα διοικητικά δικαστήρια. </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Τέλος, η υπολογιστική ικανότητα είναι απαραίτητη για την επεξεργασία δεδομένων. Η ευρωπαϊκή πρωτοβουλία για την πληροφορική υψηλών επιδόσεων</w:t>
      </w:r>
      <w:r>
        <w:rPr>
          <w:rStyle w:val="FootnoteReference"/>
          <w:rFonts w:ascii="Times New Roman" w:hAnsi="Times New Roman"/>
          <w:noProof/>
          <w:sz w:val="24"/>
        </w:rPr>
        <w:footnoteReference w:id="37"/>
      </w:r>
      <w:r>
        <w:rPr>
          <w:rFonts w:ascii="Times New Roman" w:hAnsi="Times New Roman"/>
          <w:noProof/>
          <w:sz w:val="24"/>
        </w:rPr>
        <w:t xml:space="preserve"> (Euro</w:t>
      </w:r>
      <w:r>
        <w:rPr>
          <w:rFonts w:ascii="Times New Roman" w:hAnsi="Times New Roman"/>
          <w:noProof/>
          <w:sz w:val="24"/>
        </w:rPr>
        <w:t>pean High-Performance Computing Initiative – EuroHPC) συγκεντρώνει πόρους για την ανάπτυξη της επόμενης γενιάς υπερυπολογιστών για την επεξεργασία μαζικών δεδομένων και την εκπαίδευση συστημάτων ΤΝ. Σε αυτό το πλαίσιο, η συνεχής συνεργασία με τα κράτη μέλη</w:t>
      </w:r>
      <w:r>
        <w:rPr>
          <w:rFonts w:ascii="Times New Roman" w:hAnsi="Times New Roman"/>
          <w:noProof/>
          <w:sz w:val="24"/>
        </w:rPr>
        <w:t xml:space="preserve"> και τη βιομηχανία για τα μικροηλεκτρονικά κατασκευαστικά στοιχεία και συστήματα (ECSEL</w:t>
      </w:r>
      <w:r>
        <w:rPr>
          <w:rStyle w:val="FootnoteReference"/>
          <w:rFonts w:ascii="Times New Roman" w:hAnsi="Times New Roman"/>
          <w:noProof/>
          <w:sz w:val="24"/>
        </w:rPr>
        <w:footnoteReference w:id="38"/>
      </w:r>
      <w:r>
        <w:rPr>
          <w:rFonts w:ascii="Times New Roman" w:hAnsi="Times New Roman"/>
          <w:noProof/>
          <w:sz w:val="24"/>
        </w:rPr>
        <w:t>), καθώς και η European Processor Initiative (πρωτοβουλία ευρωπαϊκού επεξεργαστή)</w:t>
      </w:r>
      <w:r>
        <w:rPr>
          <w:rStyle w:val="FootnoteReference"/>
          <w:rFonts w:ascii="Times New Roman" w:hAnsi="Times New Roman"/>
          <w:noProof/>
          <w:sz w:val="24"/>
        </w:rPr>
        <w:footnoteReference w:id="39"/>
      </w:r>
      <w:r>
        <w:rPr>
          <w:rFonts w:ascii="Times New Roman" w:hAnsi="Times New Roman"/>
          <w:noProof/>
          <w:sz w:val="24"/>
        </w:rPr>
        <w:t>, η οποία έχει ως στόχο τη δημιουργία τεχνολογίας επεξεργαστή χαμηλής ισχύος για πληρο</w:t>
      </w:r>
      <w:r>
        <w:rPr>
          <w:rFonts w:ascii="Times New Roman" w:hAnsi="Times New Roman"/>
          <w:noProof/>
          <w:sz w:val="24"/>
        </w:rPr>
        <w:t xml:space="preserve">φορική υψηλών επιδόσεων, κέντρα δεδομένων και αυτόνομα οχήματα, αποτελούν βασικά στοιχεία για την ανάπτυξη ανεξάρτητου και καινοτόμου ευρωπαϊκού οικοσυστήματος στον σχεδιασμό τσιπ υψηλής βαθμίδας. </w:t>
      </w:r>
    </w:p>
    <w:p w:rsidR="00827E6B" w:rsidRDefault="006128CF">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2.6. </w:t>
      </w:r>
      <w:r>
        <w:rPr>
          <w:noProof/>
        </w:rPr>
        <w:tab/>
      </w:r>
      <w:r>
        <w:rPr>
          <w:rFonts w:ascii="Times New Roman" w:hAnsi="Times New Roman"/>
          <w:b/>
          <w:noProof/>
          <w:sz w:val="24"/>
        </w:rPr>
        <w:t>Ανάπτυξη δεοντολογικών κατευθύνσεων με σφαιρική προο</w:t>
      </w:r>
      <w:r>
        <w:rPr>
          <w:rFonts w:ascii="Times New Roman" w:hAnsi="Times New Roman"/>
          <w:b/>
          <w:noProof/>
          <w:sz w:val="24"/>
        </w:rPr>
        <w:t>πτική και εξασφάλιση νομικού πλαισίου φιλικού προς την καινοτομία</w:t>
      </w:r>
      <w:r>
        <w:rPr>
          <w:rStyle w:val="FootnoteReference"/>
          <w:rFonts w:ascii="Times New Roman" w:hAnsi="Times New Roman"/>
          <w:b/>
          <w:noProof/>
          <w:sz w:val="24"/>
        </w:rPr>
        <w:footnoteReference w:id="40"/>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Για την απόκτηση εμπιστοσύνης, η οποία είναι απαραίτητη για την αποδοχή και χρήση της ΤΝ στις κοινωνίες, η τεχνολογία θα πρέπει να είναι προβλέψιμη, υπεύθυνη, επαληθεύσιμη, να σέβεται τα θε</w:t>
      </w:r>
      <w:r>
        <w:rPr>
          <w:rFonts w:ascii="Times New Roman" w:hAnsi="Times New Roman"/>
          <w:noProof/>
          <w:sz w:val="24"/>
        </w:rPr>
        <w:t>μελιώδη δικαιώματα και να τηρεί τους δεοντολογικούς κανόνες. Σε αντίθετη περίπτωση, η χρήση της ΤΝ μπορεί να οδηγήσει σε ανεπιθύμητα αποτελέσματα, όπως δημιουργία φαινομένου αντήχησης στο οποίο τα άτομα λαμβάνουν απλώς πληροφορίες που αντιστοιχούν στις δικ</w:t>
      </w:r>
      <w:r>
        <w:rPr>
          <w:rFonts w:ascii="Times New Roman" w:hAnsi="Times New Roman"/>
          <w:noProof/>
          <w:sz w:val="24"/>
        </w:rPr>
        <w:t>ές τους απόψεις, ή ενίσχυση της διακριτικής μεταχείρισης, όπως στην περίπτωση που ένας αλγόριθμος έγινε ρατσιστικός μέσα σε 24 ώρες λόγω έκθεσης σε ρατσιστικό υλικό</w:t>
      </w:r>
      <w:r>
        <w:rPr>
          <w:rStyle w:val="FootnoteReference"/>
          <w:rFonts w:ascii="Times New Roman" w:hAnsi="Times New Roman"/>
          <w:noProof/>
          <w:sz w:val="24"/>
        </w:rPr>
        <w:footnoteReference w:id="41"/>
      </w:r>
      <w:r>
        <w:rPr>
          <w:rFonts w:ascii="Times New Roman" w:hAnsi="Times New Roman"/>
          <w:noProof/>
          <w:sz w:val="24"/>
        </w:rPr>
        <w:t>.</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Είναι καθοριστικής σημασίας να κατανοήσουν οι άνθρωποι τον τρόπο με τον οποίο λαμβάνονται</w:t>
      </w:r>
      <w:r>
        <w:rPr>
          <w:rFonts w:ascii="Times New Roman" w:hAnsi="Times New Roman"/>
          <w:noProof/>
          <w:sz w:val="24"/>
        </w:rPr>
        <w:t xml:space="preserve"> οι αποφάσεις στον τομέα της ΤΝ. Η Ευρώπη μπορεί να καταστεί παγκόσμια ηγέτιδα στην ανάπτυξη και χρήση της ΤΝ παντού, καθώς και στην προώθηση ανθρωποκεντρικής προσέγγισης και αρχών δεοντολογίας ήδη από το στάδιο του σχεδιασμού. </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Για να εδραιωθούν καλύτερα </w:t>
      </w:r>
      <w:r>
        <w:rPr>
          <w:rFonts w:ascii="Times New Roman" w:hAnsi="Times New Roman"/>
          <w:noProof/>
          <w:sz w:val="24"/>
        </w:rPr>
        <w:t xml:space="preserve">οι εν λόγω αρχές στην ανάπτυξη και χρήση ΤΝ, η Επιτροπή ανέθεσε σε ανεξάρτητη ομάδα εμπειρογνωμόνων υψηλού επιπέδου το καθήκον εκπόνησης σχεδίου κατευθυντήριων γραμμών δεοντολογίας στον τομέα της ΤΝ. </w:t>
      </w:r>
      <w:r>
        <w:rPr>
          <w:rFonts w:ascii="Times New Roman" w:hAnsi="Times New Roman"/>
          <w:b/>
          <w:noProof/>
          <w:sz w:val="24"/>
        </w:rPr>
        <w:t>Μια πρώτη έκδοση θα δημοσιευτεί έως τα τέλη του 2018 και</w:t>
      </w:r>
      <w:r>
        <w:rPr>
          <w:rFonts w:ascii="Times New Roman" w:hAnsi="Times New Roman"/>
          <w:b/>
          <w:noProof/>
          <w:sz w:val="24"/>
        </w:rPr>
        <w:t xml:space="preserve"> οι εμπειρογνώμονες θα παρουσιάσουν την τελική έκδοση των κατευθυντήριων γραμμών στην Επιτροπή τον Μάρτιο του 2019 κατόπιν ευρείας διαβούλευσης μέσω της Ευρωπαϊκής Συμμαχίας για την ΤΝ</w:t>
      </w:r>
      <w:r>
        <w:rPr>
          <w:rStyle w:val="FootnoteReference"/>
          <w:rFonts w:ascii="Times New Roman" w:hAnsi="Times New Roman"/>
          <w:noProof/>
          <w:sz w:val="24"/>
        </w:rPr>
        <w:footnoteReference w:id="42"/>
      </w:r>
      <w:r>
        <w:rPr>
          <w:rFonts w:ascii="Times New Roman" w:hAnsi="Times New Roman"/>
          <w:noProof/>
          <w:sz w:val="24"/>
        </w:rPr>
        <w:t>. Στη συνέχεια, η φιλοδοξία είναι να μεταφερθεί στο παγκόσμιο προσκήνιο</w:t>
      </w:r>
      <w:r>
        <w:rPr>
          <w:rFonts w:ascii="Times New Roman" w:hAnsi="Times New Roman"/>
          <w:noProof/>
          <w:sz w:val="24"/>
        </w:rPr>
        <w:t xml:space="preserve"> η ευρωπαϊκή δεοντολογική προσέγγιση να έρθει στο παγκόσμιο προσκήνιο. Η Επιτροπή ανοίγει προοπτικές συνεργασίας με όλες τις τρίτες χώρες που επιθυμούν να ασπαστούν τις ίδιες αξίες.</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Οι περαιτέρω εξελίξεις στον τομέα της ΤΝ απαιτούν επίσης ένα κανονιστικό π</w:t>
      </w:r>
      <w:r>
        <w:rPr>
          <w:rFonts w:ascii="Times New Roman" w:hAnsi="Times New Roman"/>
          <w:noProof/>
          <w:sz w:val="24"/>
        </w:rPr>
        <w:t>λαίσιο που θα είναι αρκετά ευέλικτο ώστε να προάγει την καινοτομία διασφαλίζοντας παράλληλα υψηλά επίπεδα προστασίας και ασφάλειας. Η Επιτροπή βρίσκεται επί του παρόντος σε διαδικασία αξιολόγησης του κατά πόσον είναι κατάλληλα τα εθνικά και ενωσιακά πλαίσι</w:t>
      </w:r>
      <w:r>
        <w:rPr>
          <w:rFonts w:ascii="Times New Roman" w:hAnsi="Times New Roman"/>
          <w:noProof/>
          <w:sz w:val="24"/>
        </w:rPr>
        <w:t>α ασφάλειας και ευθύνης υπό το πρίσμα των εν λόγω νέων προκλήσεων ή εάν θα πρέπει να αντιμετωπιστούν τυχόν κενά. Προς τον σκοπό αυτό, η Επιτροπή θα δημοσιεύσει, έως τα μέσα του 2019, έκθεση σχετικά με τα ενδεχόμενα κενά και τους προσανατολισμούς των πλαισί</w:t>
      </w:r>
      <w:r>
        <w:rPr>
          <w:rFonts w:ascii="Times New Roman" w:hAnsi="Times New Roman"/>
          <w:noProof/>
          <w:sz w:val="24"/>
        </w:rPr>
        <w:t xml:space="preserve">ων ευθύνης και ασφάλειας για την ΤΝ. </w:t>
      </w:r>
    </w:p>
    <w:p w:rsidR="00827E6B" w:rsidRDefault="006128CF">
      <w:pPr>
        <w:keepNext/>
        <w:spacing w:before="360" w:after="240" w:line="240" w:lineRule="auto"/>
        <w:ind w:left="567" w:hanging="567"/>
        <w:jc w:val="both"/>
        <w:rPr>
          <w:rFonts w:ascii="Times New Roman" w:eastAsia="Times New Roman" w:hAnsi="Times New Roman" w:cs="Times New Roman"/>
          <w:noProof/>
          <w:sz w:val="24"/>
          <w:szCs w:val="24"/>
        </w:rPr>
      </w:pPr>
      <w:r>
        <w:rPr>
          <w:rFonts w:ascii="Times New Roman" w:hAnsi="Times New Roman"/>
          <w:b/>
          <w:noProof/>
          <w:sz w:val="24"/>
        </w:rPr>
        <w:t xml:space="preserve">2.7. </w:t>
      </w:r>
      <w:r>
        <w:rPr>
          <w:noProof/>
        </w:rPr>
        <w:tab/>
      </w:r>
      <w:r>
        <w:rPr>
          <w:rFonts w:ascii="Times New Roman" w:hAnsi="Times New Roman"/>
          <w:b/>
          <w:noProof/>
          <w:sz w:val="24"/>
        </w:rPr>
        <w:t>Πτυχές σχετικά με την ασφάλεια των εφαρμογών και των υποδομών ΤΝ και διεθνές θεματολόγιο για την ασφάλεια</w:t>
      </w:r>
    </w:p>
    <w:p w:rsidR="00827E6B" w:rsidRDefault="006128CF">
      <w:pPr>
        <w:spacing w:after="240" w:line="240" w:lineRule="auto"/>
        <w:contextualSpacing/>
        <w:jc w:val="both"/>
        <w:rPr>
          <w:rFonts w:ascii="Times New Roman" w:hAnsi="Times New Roman" w:cs="Times New Roman"/>
          <w:noProof/>
          <w:sz w:val="24"/>
          <w:szCs w:val="24"/>
        </w:rPr>
      </w:pPr>
      <w:r>
        <w:rPr>
          <w:rFonts w:ascii="Times New Roman" w:hAnsi="Times New Roman"/>
          <w:noProof/>
          <w:sz w:val="24"/>
        </w:rPr>
        <w:t>Υπάρχει ανάγκη καλύτερης κατανόησης του τρόπου με τον οποίο η τεχνητή νοημοσύνη μπορεί να επηρεάσει την ασφάλεια σε τρεις διαστάσεις: πώς θα μπορούσε η τεχνητή νοημοσύνη να ενισχύσει τους στόχους του τομέα της ασφάλειας· πώς μπορούν οι τεχνολογίες ΤΝ να πρ</w:t>
      </w:r>
      <w:r>
        <w:rPr>
          <w:rFonts w:ascii="Times New Roman" w:hAnsi="Times New Roman"/>
          <w:noProof/>
          <w:sz w:val="24"/>
        </w:rPr>
        <w:t xml:space="preserve">οστατευτούν από επιθέσεις· και πώς θα πρέπει να αντιμετωπιστούν τυχόν περιπτώσεις κατάχρησης της ΤΝ για δόλιους σκοπούς. </w:t>
      </w:r>
    </w:p>
    <w:p w:rsidR="00827E6B" w:rsidRDefault="00827E6B">
      <w:pPr>
        <w:spacing w:after="240" w:line="240" w:lineRule="auto"/>
        <w:contextualSpacing/>
        <w:jc w:val="both"/>
        <w:rPr>
          <w:rFonts w:ascii="Times New Roman" w:hAnsi="Times New Roman" w:cs="Times New Roman"/>
          <w:noProof/>
          <w:sz w:val="24"/>
          <w:szCs w:val="24"/>
        </w:rPr>
      </w:pP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Λόγω της αύξησης των δυνατοτήτων και της ευαισθησίας των εφαρμογών ΤΝ σε πολλούς τομείς της ψηφιακής οικονομίας και της κοινωνίας, όπ</w:t>
      </w:r>
      <w:r>
        <w:rPr>
          <w:rFonts w:ascii="Times New Roman" w:hAnsi="Times New Roman"/>
          <w:noProof/>
          <w:sz w:val="24"/>
        </w:rPr>
        <w:t>ως η αυτόνομη κινητικότητα ή η αποφυγή διακοπών ηλεκτροδότησης, είναι ιδιαίτερα σημαντικό να καθοριστούν απαιτήσεις κυβερνοασφάλειας για την ΤΝ</w:t>
      </w:r>
      <w:r>
        <w:rPr>
          <w:rStyle w:val="FootnoteReference"/>
          <w:rFonts w:ascii="Times New Roman" w:hAnsi="Times New Roman"/>
          <w:noProof/>
          <w:color w:val="000000" w:themeColor="text1"/>
          <w:sz w:val="24"/>
        </w:rPr>
        <w:footnoteReference w:id="43"/>
      </w:r>
      <w:r>
        <w:rPr>
          <w:rFonts w:ascii="Times New Roman" w:hAnsi="Times New Roman"/>
          <w:noProof/>
          <w:sz w:val="24"/>
        </w:rPr>
        <w:t>.</w:t>
      </w:r>
    </w:p>
    <w:p w:rsidR="00827E6B" w:rsidRDefault="006128CF">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Η εφαρμογή της ΤΝ σε οπλικά συστήματα μπορεί δυνητικά να αλλάξει ριζικά τις ένοπλες συγκρούσεις και, επομένως,</w:t>
      </w:r>
      <w:r>
        <w:rPr>
          <w:rFonts w:ascii="Times New Roman" w:hAnsi="Times New Roman"/>
          <w:noProof/>
          <w:sz w:val="24"/>
        </w:rPr>
        <w:t xml:space="preserve"> εγείρει σοβαρές ανησυχίες και ερωτήματα. Η Ένωση θα εξακολουθήσει να τονίζει ότι το διεθνές δίκαιο, συμπεριλαμβανομένου του διεθνούς ανθρωπιστικού δικαίου και του δικαίου των ανθρωπίνων δικαιωμάτων, ισχύει πλήρως για όλα τα οπλικά συστήματα, συμπεριλαμβαν</w:t>
      </w:r>
      <w:r>
        <w:rPr>
          <w:rFonts w:ascii="Times New Roman" w:hAnsi="Times New Roman"/>
          <w:noProof/>
          <w:sz w:val="24"/>
        </w:rPr>
        <w:t>ομένων των αυτόνομων οπλικών συστημάτων, καθώς και ότι τα κράτη παραμένουν υπεύθυνα και υπόλογα για την ανάπτυξη και χρήση των συστημάτων αυτών σε ένοπλες συγκρούσεις. Η θέση της ΕΕ δεν αλλάζει: στις αποφάσεις για χρήση θανατηφόρου ισχύος, ο ανθρώπινος έλε</w:t>
      </w:r>
      <w:r>
        <w:rPr>
          <w:rFonts w:ascii="Times New Roman" w:hAnsi="Times New Roman"/>
          <w:noProof/>
          <w:sz w:val="24"/>
        </w:rPr>
        <w:t>γχος πρέπει να διατηρείται και να ενσωματώνεται στον πλήρη κύκλο ζωής οποιουδήποτε οπλικού συστήματος</w:t>
      </w:r>
      <w:r>
        <w:rPr>
          <w:rStyle w:val="FootnoteReference"/>
          <w:rFonts w:ascii="Times New Roman" w:hAnsi="Times New Roman"/>
          <w:noProof/>
          <w:sz w:val="24"/>
        </w:rPr>
        <w:footnoteReference w:id="44"/>
      </w:r>
      <w:r>
        <w:rPr>
          <w:rFonts w:ascii="Times New Roman" w:hAnsi="Times New Roman"/>
          <w:noProof/>
          <w:sz w:val="24"/>
        </w:rPr>
        <w:t>.</w:t>
      </w:r>
    </w:p>
    <w:p w:rsidR="00827E6B" w:rsidRDefault="006128CF">
      <w:pPr>
        <w:spacing w:before="48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ΣΥΜΠΕΡΑΣΜΑΤΑ</w:t>
      </w:r>
    </w:p>
    <w:p w:rsidR="00827E6B" w:rsidRDefault="006128CF">
      <w:pPr>
        <w:spacing w:after="240" w:line="240" w:lineRule="auto"/>
        <w:jc w:val="both"/>
        <w:rPr>
          <w:rFonts w:ascii="Times New Roman" w:hAnsi="Times New Roman" w:cs="Times New Roman"/>
          <w:noProof/>
          <w:sz w:val="24"/>
          <w:szCs w:val="24"/>
        </w:rPr>
      </w:pPr>
      <w:r>
        <w:rPr>
          <w:rFonts w:ascii="Times New Roman" w:hAnsi="Times New Roman"/>
          <w:noProof/>
          <w:sz w:val="24"/>
        </w:rPr>
        <w:t>Η τεχνητή νοημοσύνη αποτελεί ήδη μέρος της καθημερινότητάς μας. Ωστόσο οι δυνατότητές της είναι πολύ περισσότερες από ό,τι έχουμε δει μ</w:t>
      </w:r>
      <w:r>
        <w:rPr>
          <w:rFonts w:ascii="Times New Roman" w:hAnsi="Times New Roman"/>
          <w:noProof/>
          <w:sz w:val="24"/>
        </w:rPr>
        <w:t>έχρι τώρα. Για να αναλάβει η Ευρώπη πρωταγωνιστικό ρόλο στον τομέα της ΤΝ, πρέπει να βασιστεί στα ισχυρά της σημεία και να υποστηρίξει μια δεοντολογική, ασφαλή, προηγμένη «ΤΝ με τη σφραγίδα της Ευρώπης».</w:t>
      </w:r>
    </w:p>
    <w:p w:rsidR="00827E6B" w:rsidRDefault="006128CF">
      <w:pPr>
        <w:keepNext/>
        <w:spacing w:after="240" w:line="240" w:lineRule="auto"/>
        <w:jc w:val="both"/>
        <w:rPr>
          <w:rFonts w:ascii="Times New Roman" w:hAnsi="Times New Roman" w:cs="Times New Roman"/>
          <w:noProof/>
          <w:sz w:val="24"/>
          <w:szCs w:val="24"/>
        </w:rPr>
      </w:pPr>
      <w:r>
        <w:rPr>
          <w:rFonts w:ascii="Times New Roman" w:hAnsi="Times New Roman"/>
          <w:noProof/>
          <w:sz w:val="24"/>
        </w:rPr>
        <w:t>Επομένως, η Επιτροπή καλεί:</w:t>
      </w:r>
    </w:p>
    <w:p w:rsidR="00827E6B" w:rsidRDefault="006128CF">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το Ευρωπαϊκό Συμβούλιο </w:t>
      </w:r>
      <w:r>
        <w:rPr>
          <w:rFonts w:ascii="Times New Roman" w:hAnsi="Times New Roman"/>
          <w:noProof/>
          <w:sz w:val="24"/>
        </w:rPr>
        <w:t>να εγκρίνει το συντονισμένο σχέδιο·</w:t>
      </w:r>
    </w:p>
    <w:p w:rsidR="00827E6B" w:rsidRDefault="006128CF">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τα κράτη μέλη να υλοποιήσουν το συντονισμένο σχέδιο, καθώς και να αναπτύξουν, έως τα μέσα του 2019, τις εθνικές στρατηγικές ΤΝ, στις οποίες θα περιγράφονται τα επίπεδα επενδύσεων και τα μέτρα εφαρμογής·</w:t>
      </w:r>
    </w:p>
    <w:p w:rsidR="00827E6B" w:rsidRDefault="006128CF">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οι συννομοθέτες ν</w:t>
      </w:r>
      <w:r>
        <w:rPr>
          <w:rFonts w:ascii="Times New Roman" w:hAnsi="Times New Roman"/>
          <w:noProof/>
          <w:sz w:val="24"/>
        </w:rPr>
        <w:t>α εγκρίνουν γρήγορα τις εναπομένουσες νομοθετικές πρωτοβουλίες που είναι πρωταρχικής σημασίας για την επιτυχία της ευρωπαϊκής στρατηγικής στον τομέα της ΤΝ, καθώς και τις προτάσεις που υποβλήθηκαν στο πλαίσιο του επόμενου πολυετούς δημοσιονομικού πλαισίου.</w:t>
      </w:r>
    </w:p>
    <w:sectPr w:rsidR="00827E6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6B" w:rsidRDefault="006128CF">
      <w:pPr>
        <w:spacing w:after="0" w:line="240" w:lineRule="auto"/>
      </w:pPr>
      <w:r>
        <w:separator/>
      </w:r>
    </w:p>
  </w:endnote>
  <w:endnote w:type="continuationSeparator" w:id="0">
    <w:p w:rsidR="00827E6B" w:rsidRDefault="006128CF">
      <w:pPr>
        <w:spacing w:after="0" w:line="240" w:lineRule="auto"/>
      </w:pPr>
      <w:r>
        <w:continuationSeparator/>
      </w:r>
    </w:p>
  </w:endnote>
  <w:endnote w:type="continuationNotice" w:id="1">
    <w:p w:rsidR="00827E6B" w:rsidRDefault="00827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CF" w:rsidRPr="006128CF" w:rsidRDefault="006128CF" w:rsidP="00612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CF" w:rsidRPr="006128CF" w:rsidRDefault="006128CF" w:rsidP="006128CF">
    <w:pPr>
      <w:pStyle w:val="FooterCoverPage"/>
      <w:rPr>
        <w:rFonts w:ascii="Arial" w:hAnsi="Arial" w:cs="Arial"/>
        <w:b/>
        <w:sz w:val="48"/>
      </w:rPr>
    </w:pPr>
    <w:r w:rsidRPr="006128CF">
      <w:rPr>
        <w:rFonts w:ascii="Arial" w:hAnsi="Arial" w:cs="Arial"/>
        <w:b/>
        <w:sz w:val="48"/>
      </w:rPr>
      <w:t>EL</w:t>
    </w:r>
    <w:r w:rsidRPr="006128CF">
      <w:rPr>
        <w:rFonts w:ascii="Arial" w:hAnsi="Arial" w:cs="Arial"/>
        <w:b/>
        <w:sz w:val="48"/>
      </w:rPr>
      <w:tab/>
    </w:r>
    <w:r w:rsidRPr="006128CF">
      <w:rPr>
        <w:rFonts w:ascii="Arial" w:hAnsi="Arial" w:cs="Arial"/>
        <w:b/>
        <w:sz w:val="48"/>
      </w:rPr>
      <w:tab/>
    </w:r>
    <w:r w:rsidRPr="006128CF">
      <w:tab/>
    </w:r>
    <w:r w:rsidRPr="006128CF">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CF" w:rsidRPr="006128CF" w:rsidRDefault="006128CF" w:rsidP="006128C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6B" w:rsidRDefault="00827E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931944"/>
      <w:docPartObj>
        <w:docPartGallery w:val="Page Numbers (Bottom of Page)"/>
        <w:docPartUnique/>
      </w:docPartObj>
    </w:sdtPr>
    <w:sdtEndPr>
      <w:rPr>
        <w:rFonts w:ascii="Times New Roman" w:hAnsi="Times New Roman" w:cs="Times New Roman"/>
      </w:rPr>
    </w:sdtEndPr>
    <w:sdtContent>
      <w:p w:rsidR="00827E6B" w:rsidRDefault="006128CF">
        <w:pPr>
          <w:pStyle w:val="Footer"/>
          <w:jc w:val="center"/>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rsidR="00827E6B" w:rsidRDefault="00827E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6B" w:rsidRDefault="0082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6B" w:rsidRDefault="006128CF">
      <w:pPr>
        <w:spacing w:after="0" w:line="240" w:lineRule="auto"/>
      </w:pPr>
      <w:r>
        <w:separator/>
      </w:r>
    </w:p>
  </w:footnote>
  <w:footnote w:type="continuationSeparator" w:id="0">
    <w:p w:rsidR="00827E6B" w:rsidRDefault="006128CF">
      <w:pPr>
        <w:spacing w:after="0" w:line="240" w:lineRule="auto"/>
      </w:pPr>
      <w:r>
        <w:continuationSeparator/>
      </w:r>
    </w:p>
  </w:footnote>
  <w:footnote w:type="continuationNotice" w:id="1">
    <w:p w:rsidR="00827E6B" w:rsidRDefault="00827E6B">
      <w:pPr>
        <w:spacing w:after="0" w:line="240" w:lineRule="auto"/>
      </w:pPr>
    </w:p>
  </w:footnote>
  <w:footnote w:id="2">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https://www.latribune.fr/entreprises-finance/la-tribune-de-l-energie-avec-erdf/cinq-objets-connectes-pour-economiser-l-energie-545571.html</w:t>
        </w:r>
      </w:hyperlink>
      <w:r>
        <w:rPr>
          <w:rFonts w:ascii="Times New Roman" w:hAnsi="Times New Roman"/>
        </w:rPr>
        <w:t xml:space="preserve"> </w:t>
      </w:r>
    </w:p>
  </w:footnote>
  <w:footnote w:id="3">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https://www.theguardian.com/society/2018/may/29/skin-cancer-computer-learns-to-detect-skin-cancer-more-accurately-than-a-doctor</w:t>
        </w:r>
      </w:hyperlink>
      <w:r>
        <w:rPr>
          <w:rFonts w:ascii="Times New Roman" w:hAnsi="Times New Roman"/>
        </w:rPr>
        <w:t xml:space="preserve"> </w:t>
      </w:r>
    </w:p>
  </w:footnote>
  <w:footnote w:id="4">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237</w:t>
      </w:r>
    </w:p>
  </w:footnote>
  <w:footnote w:id="5">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Εκτιμάται ότι περίπου το 90 % των τροχαίων ατυχημάτων προκαλείται από ανθ</w:t>
      </w:r>
      <w:r>
        <w:rPr>
          <w:rFonts w:ascii="Times New Roman" w:hAnsi="Times New Roman"/>
        </w:rPr>
        <w:t>ρώπινα λάθη (βλ. COM(2016) 787).</w:t>
      </w:r>
    </w:p>
  </w:footnote>
  <w:footnote w:id="6">
    <w:p w:rsidR="00827E6B" w:rsidRDefault="006128CF">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Η Ευρώπη διαθέτει παγκόσμιας κλάσης ερευνητές και νεοφυείς επιχειρήσεις στον τομέα της ΤΝ και είναι ηγέτιδα δύναμη στη ρομποτική και το λογισμικό/τις πλατφόρμες υπηρεσιών μεταξύ των επιχειρήσεων. Οι ισχυροί τομείς των με</w:t>
      </w:r>
      <w:r>
        <w:rPr>
          <w:rFonts w:ascii="Times New Roman" w:hAnsi="Times New Roman"/>
        </w:rPr>
        <w:t xml:space="preserve">ταφορών, της υγείας και των κατασκευών θα πρέπει να βρίσκονται στην πρώτη γραμμή του κλάδου της ΤΝ. </w:t>
      </w:r>
    </w:p>
  </w:footnote>
  <w:footnote w:id="7">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https://ec.europa.eu/digit</w:t>
        </w:r>
        <w:r>
          <w:rPr>
            <w:rStyle w:val="Hyperlink"/>
            <w:rFonts w:ascii="Times New Roman" w:hAnsi="Times New Roman"/>
          </w:rPr>
          <w:t>al-single-market/en/news/eu-member-states-sign-cooperate-artificial-intelligence</w:t>
        </w:r>
      </w:hyperlink>
      <w:r>
        <w:rPr>
          <w:rFonts w:ascii="Times New Roman" w:hAnsi="Times New Roman"/>
        </w:rPr>
        <w:t xml:space="preserve"> </w:t>
      </w:r>
    </w:p>
  </w:footnote>
  <w:footnote w:id="8">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https://www.consilium.europa.eu/en/press/press-relea</w:t>
        </w:r>
        <w:r>
          <w:rPr>
            <w:rStyle w:val="Hyperlink"/>
            <w:rFonts w:ascii="Times New Roman" w:hAnsi="Times New Roman"/>
          </w:rPr>
          <w:t>ses/2018/06/29/20180628-euco-conclusions-final/</w:t>
        </w:r>
      </w:hyperlink>
      <w:r>
        <w:rPr>
          <w:rFonts w:ascii="Times New Roman" w:hAnsi="Times New Roman"/>
        </w:rPr>
        <w:t xml:space="preserve"> </w:t>
      </w:r>
    </w:p>
  </w:footnote>
  <w:footnote w:id="9">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Το σύνολο των εν λόγω δράσεων πρέπει να συμμορφώνεται με τους κανόνες της ΕΕ σχετικά με τη νομοθεσία περί ανταγωνισμού και τις κρατικές ενισχύσεις.</w:t>
      </w:r>
    </w:p>
  </w:footnote>
  <w:footnote w:id="10">
    <w:p w:rsidR="00827E6B" w:rsidRDefault="006128CF">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Η Γαλλία, η Φινλανδία, η Σουηδία, το Ηνωμένο Βασίλειο</w:t>
      </w:r>
      <w:r>
        <w:rPr>
          <w:rFonts w:ascii="Times New Roman" w:hAnsi="Times New Roman"/>
        </w:rPr>
        <w:t xml:space="preserve"> και η Γερμανία έχουν θεσπίσει στοχευμένες στρατηγικές για την ΤΝ. Ορισμένες χώρες, όπως η Δανία, το Λουξεμβούργο, οι Κάτω Χώρες, η Ιρλανδία και η Νορβηγία, έχουν συμπεριλάβει δράσεις που σχετίζονται με την ΤΝ στις ευρύτερες στρατηγικές τους για την ψηφιοπ</w:t>
      </w:r>
      <w:r>
        <w:rPr>
          <w:rFonts w:ascii="Times New Roman" w:hAnsi="Times New Roman"/>
        </w:rPr>
        <w:t>οίηση. Η Αυστρία, το Βέλγιο, η Τσεχική Δημοκρατία, η Δανία, η Εσθονία, η Γερμανία, η Ιταλία, η Λετονία, η Πολωνία, η Πορτογαλία, η Σλοβενία, η Σλοβακία και η Ισπανία βρίσκονται σε διαδικασία ανάπτυξης στρατηγικών.</w:t>
      </w:r>
    </w:p>
  </w:footnote>
  <w:footnote w:id="11">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https://ec.europa.eu/knowledge4policy/ai-watch_en</w:t>
        </w:r>
      </w:hyperlink>
    </w:p>
  </w:footnote>
  <w:footnote w:id="12">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Συνολικά, οι επενδύσεις στην Ευρώπη ανήλθαν σε περίπου 2,4-3,2 δισεκατομμύρια EUR το 2016, σε σύγκριση με 6,5-9,7 δισεκατομμύρια EUR στη</w:t>
      </w:r>
      <w:r>
        <w:rPr>
          <w:rFonts w:ascii="Times New Roman" w:hAnsi="Times New Roman"/>
        </w:rPr>
        <w:t>ν Ασία και 12,1-18,6 δισεκατομμύρια EUR στη Βόρεια Αμερική. Πηγή: 10 imperatives for Europe in the age of AI and automation (10 επιτακτικές ανάγκες για την Ευρώπη στην εποχή της ΤΝ και της αυτοματοποίησης), McKinsey, 2017.</w:t>
      </w:r>
    </w:p>
  </w:footnote>
  <w:footnote w:id="13">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Η τιμή αυτή μπορεί να περιλαμβάνει επενδύσεις από τα Ευρωπαϊκά Διαρθρωτικά και Επενδυτικά Ταμεία. Πέντε περιφέρειες έχουν θέσει προτεραιότητες που σχετίζονται με την ΤΝ στις στρατηγικές τους για την έξυπνη εξειδίκευση: Κάτω Σαξονία [DE], Pohjois-Savo [FI],</w:t>
      </w:r>
      <w:r>
        <w:rPr>
          <w:rFonts w:ascii="Times New Roman" w:hAnsi="Times New Roman"/>
        </w:rPr>
        <w:t xml:space="preserve"> </w:t>
      </w:r>
      <w:r>
        <w:rPr>
          <w:rStyle w:val="Emphasis"/>
          <w:rFonts w:ascii="Times New Roman" w:hAnsi="Times New Roman"/>
          <w:b w:val="0"/>
          <w:color w:val="545454"/>
        </w:rPr>
        <w:t>Ł</w:t>
      </w:r>
      <w:r>
        <w:rPr>
          <w:rFonts w:ascii="Times New Roman" w:hAnsi="Times New Roman"/>
        </w:rPr>
        <w:t xml:space="preserve">ódzkie [PL], Βορειοδυτική [RO] και Βορειοανατολική [RO]. Βλ.: </w:t>
      </w:r>
      <w:hyperlink r:id="rId6">
        <w:r>
          <w:rPr>
            <w:rStyle w:val="Hyperlink"/>
            <w:rFonts w:ascii="Times New Roman" w:hAnsi="Times New Roman"/>
          </w:rPr>
          <w:t>http://s3platform.jrc.ec.europa.eu/map</w:t>
        </w:r>
      </w:hyperlink>
      <w:r>
        <w:rPr>
          <w:rFonts w:ascii="Times New Roman" w:hAnsi="Times New Roman"/>
        </w:rPr>
        <w:t xml:space="preserve"> </w:t>
      </w:r>
    </w:p>
  </w:footnote>
  <w:footnote w:id="14">
    <w:p w:rsidR="00827E6B" w:rsidRDefault="006128CF">
      <w:pPr>
        <w:spacing w:after="0" w:line="240" w:lineRule="auto"/>
        <w:ind w:left="284" w:hanging="284"/>
        <w:jc w:val="both"/>
        <w:rPr>
          <w:rFonts w:ascii="Times New Roman" w:eastAsia="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Οι προτάσεις για το επόμενο πολυετές δημοσιονομικό πλαίσιο, και ιδίως το νέο πρόγραμμα «Ψηφ</w:t>
      </w:r>
      <w:r>
        <w:rPr>
          <w:rFonts w:ascii="Times New Roman" w:hAnsi="Times New Roman"/>
          <w:sz w:val="20"/>
        </w:rPr>
        <w:t>ιακή Ευρώπη» και το πρόγραμμα «Ορίζων Ευρώπη», το πλέον φιλόδοξο πρόγραμμα-πλαίσιο της ΕΕ για την έρευνα και την καινοτομία, υποστηρίζουν την ευρωπαϊκή στρατηγική για την ΤΝ.</w:t>
      </w:r>
    </w:p>
  </w:footnote>
  <w:footnote w:id="15">
    <w:p w:rsidR="00827E6B" w:rsidRDefault="006128CF">
      <w:pPr>
        <w:pStyle w:val="FootnoteText"/>
      </w:pPr>
      <w:r>
        <w:rPr>
          <w:rStyle w:val="FootnoteReference"/>
        </w:rPr>
        <w:footnoteRef/>
      </w:r>
      <w:r>
        <w:t xml:space="preserve">  </w:t>
      </w:r>
      <w:r>
        <w:rPr>
          <w:rFonts w:ascii="Times New Roman" w:hAnsi="Times New Roman"/>
        </w:rPr>
        <w:t>Βλ. την πρόσφατη ανακοίνωση της Επιτροπής με τίτλο «Η ενιαία αγορά σε έναν μετ</w:t>
      </w:r>
      <w:r>
        <w:rPr>
          <w:rFonts w:ascii="Times New Roman" w:hAnsi="Times New Roman"/>
        </w:rPr>
        <w:t>αβαλλόμενο κόσμο» (COM(2018)772 τελικό).</w:t>
      </w:r>
    </w:p>
  </w:footnote>
  <w:footnote w:id="16">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Για αναλυτικές πληροφορίες σχετικά με τις προτεινόμενες δράσεις, βλ. τμήμα Β του συντονισμένου σχεδίου.</w:t>
      </w:r>
    </w:p>
  </w:footnote>
  <w:footnote w:id="17">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Οι συμπράξεις δημόσιου και ιδιωτικού τομέα στη ρομποτική («SPARC») και τα μαζικά δεδομένα («Big Data Valu</w:t>
      </w:r>
      <w:r>
        <w:rPr>
          <w:rFonts w:ascii="Times New Roman" w:hAnsi="Times New Roman"/>
        </w:rPr>
        <w:t>e») αντιστοιχούν σε δημόσιες επενδύσεις ύψους 1,2 δισεκ. EUR και ιδιωτικές επενδύσεις ύψους 3,2 δισεκ. EUR την περίοδο 2014-2020, ήτοι 4,4 δισεκ. EUR συνολικά.</w:t>
      </w:r>
    </w:p>
  </w:footnote>
  <w:footnote w:id="18">
    <w:p w:rsidR="00827E6B" w:rsidRDefault="006128CF">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Η ένωση Big Data Value Association, ο εταίρος του ιδιωτικού τομέα στη σύμπραξη ιδιωτικού και </w:t>
      </w:r>
      <w:r>
        <w:rPr>
          <w:rFonts w:ascii="Times New Roman" w:hAnsi="Times New Roman"/>
        </w:rPr>
        <w:t xml:space="preserve">δημόσιου τομέα στα μαζικά δεδομένα, εξέδωσε έγγραφο θέσης σχετικά με την ΤΝ το οποίο περιλαμβάνει σύσταση για πρόοδο προς μια σύμπραξη για την ΤΝ (Νοέμβριος 2018). </w:t>
      </w:r>
      <w:hyperlink r:id="rId7">
        <w:r>
          <w:rPr>
            <w:rStyle w:val="Hyperlink"/>
            <w:rFonts w:ascii="Times New Roman" w:hAnsi="Times New Roman"/>
          </w:rPr>
          <w:t>http://bdva.eu/sites/default/files/AI-Position-Statement-BDVA-Final-12112018.pdf</w:t>
        </w:r>
      </w:hyperlink>
    </w:p>
  </w:footnote>
  <w:footnote w:id="19">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https://www.consilium.europa.eu/en/press/pres</w:t>
        </w:r>
        <w:r>
          <w:rPr>
            <w:rStyle w:val="Hyperlink"/>
            <w:rFonts w:ascii="Times New Roman" w:hAnsi="Times New Roman"/>
          </w:rPr>
          <w:t>s-releases/2018/06/29/20180628-euco-conclusions-final/</w:t>
        </w:r>
      </w:hyperlink>
      <w:r>
        <w:rPr>
          <w:rFonts w:ascii="Times New Roman" w:hAnsi="Times New Roman"/>
        </w:rPr>
        <w:t xml:space="preserve"> </w:t>
      </w:r>
    </w:p>
  </w:footnote>
  <w:footnote w:id="20">
    <w:p w:rsidR="00827E6B" w:rsidRDefault="006128CF">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Μόνο το 2018 χρηματοδοτήθηκαν 74 καινοτόμα έργα ΜΜΕ και νεοφυών επιχειρήσεων για την ανάπτυξη καινοτομιών που σχετίζονται με την ΤΝ στο πιλοτικό στάδιο του Ευρωπαϊκού Συμβουλίου Καινοτομίας.</w:t>
      </w:r>
    </w:p>
  </w:footnote>
  <w:footnote w:id="21">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Για</w:t>
      </w:r>
      <w:r>
        <w:rPr>
          <w:rFonts w:ascii="Times New Roman" w:hAnsi="Times New Roman"/>
        </w:rPr>
        <w:t xml:space="preserve"> αναλυτικές πληροφορίες σχετικά με τις προτεινόμενες δράσεις, βλ. τμήμα Γ του συντονισμένου σχεδίου.</w:t>
      </w:r>
    </w:p>
  </w:footnote>
  <w:footnote w:id="22">
    <w:p w:rsidR="00827E6B" w:rsidRDefault="006128CF">
      <w:pPr>
        <w:pStyle w:val="FootnoteText"/>
        <w:ind w:left="284" w:hanging="284"/>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180</w:t>
      </w:r>
    </w:p>
  </w:footnote>
  <w:footnote w:id="23">
    <w:p w:rsidR="00827E6B" w:rsidRDefault="006128CF">
      <w:pPr>
        <w:pStyle w:val="FootnoteText"/>
        <w:ind w:left="284" w:hanging="284"/>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9">
        <w:r>
          <w:rPr>
            <w:rStyle w:val="Hyperlink"/>
            <w:rFonts w:ascii="Times New Roman" w:hAnsi="Times New Roman"/>
            <w:lang w:val="pt-PT"/>
          </w:rPr>
          <w:t>https://ec.europa.eu/digital-single-market/en/cross-border-corridors-connected-and-automated-mobility-cam</w:t>
        </w:r>
      </w:hyperlink>
    </w:p>
  </w:footnote>
  <w:footnote w:id="24">
    <w:p w:rsidR="00827E6B" w:rsidRPr="006128CF" w:rsidRDefault="006128CF">
      <w:pPr>
        <w:pStyle w:val="FootnoteText"/>
        <w:rPr>
          <w:rFonts w:ascii="Times New Roman" w:hAnsi="Times New Roman" w:cs="Times New Roman"/>
          <w:lang w:val="en-GB"/>
        </w:rPr>
      </w:pPr>
      <w:r>
        <w:rPr>
          <w:rStyle w:val="FootnoteReference"/>
          <w:rFonts w:ascii="Times New Roman" w:hAnsi="Times New Roman"/>
        </w:rPr>
        <w:footnoteRef/>
      </w:r>
      <w:r w:rsidRPr="006128CF">
        <w:rPr>
          <w:rFonts w:ascii="Times New Roman" w:hAnsi="Times New Roman"/>
          <w:lang w:val="en-GB"/>
        </w:rPr>
        <w:t xml:space="preserve"> COM(2018) 283</w:t>
      </w:r>
    </w:p>
  </w:footnote>
  <w:footnote w:id="25">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http://ai4eu.org/</w:t>
        </w:r>
      </w:hyperlink>
    </w:p>
  </w:footnote>
  <w:footnote w:id="26">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Για αναλυτικές πληροφορίες σχετικά με τις προτεινόμενες δράσεις, βλ. τμήμ</w:t>
      </w:r>
      <w:r>
        <w:rPr>
          <w:rFonts w:ascii="Times New Roman" w:hAnsi="Times New Roman"/>
        </w:rPr>
        <w:t>α Δ του συντονισμένου σχεδίου.</w:t>
      </w:r>
    </w:p>
  </w:footnote>
  <w:footnote w:id="27">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1">
        <w:r>
          <w:rPr>
            <w:rStyle w:val="Hyperlink"/>
            <w:rFonts w:ascii="Times New Roman" w:hAnsi="Times New Roman"/>
          </w:rPr>
          <w:t>https://www.pocbigdata.eu/monitorICTonlinevacancies/general_info/</w:t>
        </w:r>
      </w:hyperlink>
    </w:p>
  </w:footnote>
  <w:footnote w:id="28">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2">
        <w:r>
          <w:rPr>
            <w:rStyle w:val="Hyperlink"/>
            <w:rFonts w:ascii="Times New Roman" w:hAnsi="Times New Roman"/>
          </w:rPr>
          <w:t>https://jointventure.org/images/stories/pdf/index2018.pdf</w:t>
        </w:r>
      </w:hyperlink>
    </w:p>
  </w:footnote>
  <w:footnote w:id="29">
    <w:p w:rsidR="00827E6B" w:rsidRDefault="006128CF">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Οδηγία 2009/50/ΕΚ του Συμβουλίου σχετικά με τις προϋποθέσεις εισόδου και διαμονής υπηκόων τρίτων χωρών με σκοπό την απασχόληση υψηλής ειδίκευσης. Η Επιτροπή υπέβαλε πρόταση αναθεώρησης τ</w:t>
      </w:r>
      <w:r>
        <w:rPr>
          <w:rFonts w:ascii="Times New Roman" w:hAnsi="Times New Roman"/>
        </w:rPr>
        <w:t>ης εν λόγω πράξης – COM(2016) 378.</w:t>
      </w:r>
    </w:p>
  </w:footnote>
  <w:footnote w:id="30">
    <w:p w:rsidR="00827E6B" w:rsidRDefault="006128CF">
      <w:pPr>
        <w:pStyle w:val="FootnoteText"/>
        <w:ind w:left="284" w:hanging="284"/>
      </w:pPr>
      <w:r>
        <w:rPr>
          <w:rStyle w:val="FootnoteReference"/>
        </w:rPr>
        <w:footnoteRef/>
      </w:r>
      <w:r>
        <w:t xml:space="preserve">  </w:t>
      </w:r>
      <w:r>
        <w:rPr>
          <w:rFonts w:ascii="Times New Roman" w:hAnsi="Times New Roman"/>
        </w:rPr>
        <w:t>https://ec.europa.eu/digital-single-market/en/news/appointment-members-high-level-expert-group-impact-digital-transformation-eu-labour-markets</w:t>
      </w:r>
    </w:p>
  </w:footnote>
  <w:footnote w:id="31">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Για αναλυτικές πληροφορίες σχετικά με τις προτεινόμενες δράσεις, βλ. τμή</w:t>
      </w:r>
      <w:r>
        <w:rPr>
          <w:rFonts w:ascii="Times New Roman" w:hAnsi="Times New Roman"/>
        </w:rPr>
        <w:t>ματα Ε και Ζ του συντονισμένου σχεδίου.</w:t>
      </w:r>
    </w:p>
  </w:footnote>
  <w:footnote w:id="32">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Όσον αφορά τη σημασία των δεδομένων για την τεχνητή νοημοσύνη, βλ. το κεφάλαιο 12 της έκθεσης του Κοινού Κέντρου Ερευνών με τίτλο «Artificial Intelligence: a European Perspective" </w:t>
      </w:r>
      <w:hyperlink r:id="rId13">
        <w:r>
          <w:rPr>
            <w:rStyle w:val="Hyperlink"/>
            <w:rFonts w:ascii="Times New Roman" w:hAnsi="Times New Roman"/>
          </w:rPr>
          <w:t>https://ec.europa.eu/jrc/en/publication/eur-scientific-and-technical-research-reports/artificial-intelligence-european-perspective</w:t>
        </w:r>
      </w:hyperlink>
      <w:r>
        <w:rPr>
          <w:rFonts w:ascii="Times New Roman" w:hAnsi="Times New Roman"/>
          <w:highlight w:val="lightGray"/>
        </w:rPr>
        <w:t xml:space="preserve">   </w:t>
      </w:r>
    </w:p>
  </w:footnote>
  <w:footnote w:id="33">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p>
  </w:footnote>
  <w:footnote w:id="34">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Κανον</w:t>
      </w:r>
      <w:r>
        <w:rPr>
          <w:rFonts w:ascii="Times New Roman" w:hAnsi="Times New Roman"/>
        </w:rPr>
        <w:t>ισμός (ΕΕ) 2018/1807 του Ευρωπαϊκού Κοινοβουλίου και του Συμβουλίου, της 14 Νοεμβρίου 2018, σχετικά με ένα πλαίσιο για την ελεύθερη ροή των δεδομένων μη προσωπικού χαρακτήρα στην Ευρωπαϊκή Ένωση</w:t>
      </w:r>
    </w:p>
  </w:footnote>
  <w:footnote w:id="35">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Πρόταση ΟΔΗΓΙΑ ΤΟΥ ΕΥΡΩΠΑΪΚΟΥ ΚΟΙΝΟΒΟΥΛΙΟΥ ΚΑΙ ΤΟΥ </w:t>
      </w:r>
      <w:r>
        <w:rPr>
          <w:rFonts w:ascii="Times New Roman" w:hAnsi="Times New Roman"/>
        </w:rPr>
        <w:t>ΣΥΜΒΟΥΛΙΟΥ για την περαιτέρω χρήση πληροφοριών του δημόσιου τομέα (αναδιατύπωση) – COM(2018) 234.</w:t>
      </w:r>
    </w:p>
  </w:footnote>
  <w:footnote w:id="36">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Σύνδεσμοι προς αποθετήρια δεδομένων θα διατίθενται μέσω της πλατφόρμας ΤΝ κατά παραγγελία, η οποία θα παρέχει υπηρεσίες στην κοινότητα της ΤΝ.</w:t>
      </w:r>
    </w:p>
  </w:footnote>
  <w:footnote w:id="37">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4">
        <w:r>
          <w:rPr>
            <w:rStyle w:val="Hyperlink"/>
            <w:rFonts w:ascii="Times New Roman" w:hAnsi="Times New Roman"/>
          </w:rPr>
          <w:t>https://ec.europa.eu/digital-single-market/en/eurohpc-joint-undertaking</w:t>
        </w:r>
      </w:hyperlink>
    </w:p>
  </w:footnote>
  <w:footnote w:id="38">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5">
        <w:r>
          <w:rPr>
            <w:rStyle w:val="Hyperlink"/>
            <w:rFonts w:ascii="Times New Roman" w:hAnsi="Times New Roman"/>
          </w:rPr>
          <w:t>https://www.ecsel.eu/</w:t>
        </w:r>
      </w:hyperlink>
      <w:r>
        <w:rPr>
          <w:rFonts w:ascii="Times New Roman" w:hAnsi="Times New Roman"/>
        </w:rPr>
        <w:t xml:space="preserve"> </w:t>
      </w:r>
    </w:p>
  </w:footnote>
  <w:footnote w:id="39">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6">
        <w:r>
          <w:rPr>
            <w:rStyle w:val="Hyperlink"/>
            <w:rFonts w:ascii="Times New Roman" w:hAnsi="Times New Roman"/>
          </w:rPr>
          <w:t>https://ec.europa.eu/digital-single-market/en/news/european-processor-initiative-consortium-develop-europes-microprocessors</w:t>
        </w:r>
        <w:r>
          <w:rPr>
            <w:rStyle w:val="Hyperlink"/>
            <w:rFonts w:ascii="Times New Roman" w:hAnsi="Times New Roman"/>
          </w:rPr>
          <w:t>-future-supercomputers</w:t>
        </w:r>
      </w:hyperlink>
    </w:p>
  </w:footnote>
  <w:footnote w:id="40">
    <w:p w:rsidR="00827E6B" w:rsidRDefault="006128CF">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Για αναλυτικές πληροφορίες σχετικά με τις προτεινόμενες δράσεις, βλ. τμήματα ΣΤ και Η του συντονισμένου σχεδίου.</w:t>
      </w:r>
    </w:p>
  </w:footnote>
  <w:footnote w:id="41">
    <w:p w:rsidR="00827E6B" w:rsidRDefault="006128CF">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17">
        <w:r>
          <w:rPr>
            <w:rStyle w:val="Hyperlink"/>
            <w:rFonts w:ascii="Times New Roman" w:hAnsi="Times New Roman"/>
          </w:rPr>
          <w:t>https://www.theguardian.com/technology/2016/mar/24/tay-microsofts-ai-chatbot-gets-a-crash-course-in-racism-from-twitter</w:t>
        </w:r>
      </w:hyperlink>
    </w:p>
  </w:footnote>
  <w:footnote w:id="42">
    <w:p w:rsidR="00827E6B" w:rsidRDefault="006128CF">
      <w:pPr>
        <w:pStyle w:val="FootnoteText"/>
        <w:ind w:left="284" w:hanging="284"/>
        <w:jc w:val="both"/>
        <w:rPr>
          <w:rFonts w:ascii="Times New Roman" w:hAnsi="Times New Roman" w:cs="Times New Roman"/>
          <w:b/>
        </w:rPr>
      </w:pPr>
      <w:r>
        <w:rPr>
          <w:rStyle w:val="FootnoteReference"/>
          <w:rFonts w:ascii="Times New Roman" w:hAnsi="Times New Roman"/>
        </w:rPr>
        <w:footnoteRef/>
      </w:r>
      <w:r>
        <w:rPr>
          <w:rFonts w:ascii="Times New Roman" w:hAnsi="Times New Roman"/>
        </w:rPr>
        <w:t xml:space="preserve"> </w:t>
      </w:r>
      <w:r>
        <w:tab/>
      </w:r>
      <w:hyperlink r:id="rId18">
        <w:r>
          <w:rPr>
            <w:rStyle w:val="Hyperlink"/>
            <w:rFonts w:ascii="Times New Roman" w:hAnsi="Times New Roman"/>
          </w:rPr>
          <w:t>https://ec.europa.eu/d</w:t>
        </w:r>
        <w:r>
          <w:rPr>
            <w:rStyle w:val="Hyperlink"/>
            <w:rFonts w:ascii="Times New Roman" w:hAnsi="Times New Roman"/>
          </w:rPr>
          <w:t>igital-single-market/en/european-ai-alliance</w:t>
        </w:r>
      </w:hyperlink>
    </w:p>
  </w:footnote>
  <w:footnote w:id="43">
    <w:p w:rsidR="00827E6B" w:rsidRDefault="006128CF">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Η εν λόγω αρχή προβλέπεται στην κοινή ανακοίνωση για την ασφάλεια στον κυβερνοχώρο, του Σεπτεμβρίου 2017 (JOIN(2017) 450).</w:t>
      </w:r>
    </w:p>
  </w:footnote>
  <w:footnote w:id="44">
    <w:p w:rsidR="00827E6B" w:rsidRDefault="006128CF">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Η Ύπατη Εκπρόσωπος της Ένωσης για Θέματα Εξωτερικής Πολιτικής και Πολιτικής Ασφαλε</w:t>
      </w:r>
      <w:r>
        <w:rPr>
          <w:rFonts w:ascii="Times New Roman" w:hAnsi="Times New Roman"/>
        </w:rPr>
        <w:t>ίας, με τη στήριξη της Επιτροπής και με βάση διαβουλεύσεις στο πλαίσιο των Ηνωμένων Εθνών, του Global Tech Panel και άλλων πολυμερών φόρουμ, θα συντονίσει προτάσεις για την αντιμετώπιση των εν λόγω πολύπλοκων προκλήσεων για την ασφάλεια.</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CF" w:rsidRPr="006128CF" w:rsidRDefault="006128CF" w:rsidP="00612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CF" w:rsidRPr="006128CF" w:rsidRDefault="006128CF" w:rsidP="006128C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CF" w:rsidRPr="006128CF" w:rsidRDefault="006128CF" w:rsidP="006128C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6B" w:rsidRDefault="00827E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6B" w:rsidRDefault="00827E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6B" w:rsidRDefault="00827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40D1"/>
    <w:multiLevelType w:val="hybridMultilevel"/>
    <w:tmpl w:val="E5906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392985"/>
    <w:multiLevelType w:val="hybridMultilevel"/>
    <w:tmpl w:val="9828BE9C"/>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17" w:hanging="360"/>
      </w:pPr>
      <w:rPr>
        <w:rFonts w:ascii="Wingdings" w:hAnsi="Wingdings" w:hint="default"/>
      </w:rPr>
    </w:lvl>
    <w:lvl w:ilvl="2" w:tplc="08090005">
      <w:start w:val="1"/>
      <w:numFmt w:val="bullet"/>
      <w:lvlText w:val=""/>
      <w:lvlJc w:val="left"/>
      <w:pPr>
        <w:ind w:left="1437" w:hanging="360"/>
      </w:pPr>
      <w:rPr>
        <w:rFonts w:ascii="Wingdings" w:hAnsi="Wingdings" w:hint="default"/>
      </w:rPr>
    </w:lvl>
    <w:lvl w:ilvl="3" w:tplc="0809000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 w15:restartNumberingAfterBreak="0">
    <w:nsid w:val="2922377E"/>
    <w:multiLevelType w:val="hybridMultilevel"/>
    <w:tmpl w:val="1292D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9656E92"/>
    <w:multiLevelType w:val="hybridMultilevel"/>
    <w:tmpl w:val="3398C6CE"/>
    <w:lvl w:ilvl="0" w:tplc="303A9DE8">
      <w:numFmt w:val="bullet"/>
      <w:lvlText w:val="-"/>
      <w:lvlJc w:val="left"/>
      <w:pPr>
        <w:ind w:left="420" w:hanging="360"/>
      </w:pPr>
      <w:rPr>
        <w:rFonts w:ascii="Times New Roman" w:eastAsiaTheme="minorHAnsi"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DA44A2A"/>
    <w:multiLevelType w:val="hybridMultilevel"/>
    <w:tmpl w:val="C35C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47FAF"/>
    <w:multiLevelType w:val="hybridMultilevel"/>
    <w:tmpl w:val="67C42D2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7D94599C"/>
    <w:multiLevelType w:val="hybridMultilevel"/>
    <w:tmpl w:val="1DD625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0"/>
  </w:num>
  <w:num w:numId="6">
    <w:abstractNumId w:val="4"/>
  </w:num>
  <w:num w:numId="7">
    <w:abstractNumId w:val="1"/>
  </w:num>
  <w:num w:numId="8">
    <w:abstractNumId w:val="7"/>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de-DE" w:vendorID="64" w:dllVersion="131078" w:nlCheck="1" w:checkStyle="1"/>
  <w:activeWritingStyle w:appName="MSWord" w:lang="es-ES" w:vendorID="64" w:dllVersion="131078" w:nlCheck="1" w:checkStyle="1"/>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8) 795 final of 7.12.2018._x000b_Concerns the Greek language version._x000b_An omission in the title._x000b_The text shall read as follows:"/>
    <w:docVar w:name="LW_COVERPAGE_EXISTS" w:val="True"/>
    <w:docVar w:name="LW_COVERPAGE_GUID" w:val="74342BDE-0EC4-41D1-9458-446BA0A4DF9A"/>
    <w:docVar w:name="LW_COVERPAGE_TYPE" w:val="1"/>
    <w:docVar w:name="LW_CROSSREFERENCE" w:val="&lt;UNUSED&gt;"/>
    <w:docVar w:name="LW_DocType" w:val="NORMAL"/>
    <w:docVar w:name="LW_EMISSION" w:val="17.12.2018"/>
    <w:docVar w:name="LW_EMISSION_ISODATE" w:val="2018-12-17"/>
    <w:docVar w:name="LW_EMISSION_LOCATION" w:val="BRX"/>
    <w:docVar w:name="LW_EMISSION_PREFIX" w:val="\u914?\u961?\u965?\u958?\u941?\u955?\u955?\u949?\u962?, "/>
    <w:docVar w:name="LW_EMISSION_SUFFIX" w:val=" "/>
    <w:docVar w:name="LW_ID_DOCTYPE_NONLW" w:val="CP-0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2"/>
    <w:docVar w:name="LW_REF.INST.NEW_TEXT" w:val="(2018)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931?\u965?\u957?\u964?\u959?\u957?\u953?\u963?\u956?\u941?\u957?\u959? \u963?\u967?\u941?\u948?\u953?\u959? \u947?\u953?\u945? \u964?\u951?\u957? \u964?\u949?\u967?\u957?\u951?\u964?\u942? \u957?\u959?\u951?\u956?\u959?\u963?\u973?\u957?\u951?&lt;/FMT&gt;_x000d__x000d__x000d__x000d__x000d__x000d__x000d__x000d__x000b_"/>
    <w:docVar w:name="LW_TYPE.DOC.CP" w:val="\u913?\u925?\u913?\u922?\u927?\u921?\u925?\u937?\u931?\u919? \u932?\u919?\u931? \u917?\u928?\u921?\u932?\u929?\u927?\u928?\u919?\u931? \u928?\u929?\u927?\u931? \u932?\u927? \u917?\u933?\u929?\u937?\u928?\u913?\u938?\u922?\u927? \u922?\u927?\u921?\u925?\u927?\u914?\u927?\u933?\u923?\u921?\u927?, \u932?\u927? \u917?\u933?\u929?\u937?\u928?\u913?\u938?\u922?\u927? \u931?\u933?\u924?\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Stamp" w:val="\\dossiers.dgt.cec.eu.int\dossiers\CNECT\CNECT-2018-00029\CNECT-2018-00029-00-00-EN-EDT-00.201811191219034216906.DOCX"/>
  </w:docVars>
  <w:rsids>
    <w:rsidRoot w:val="00827E6B"/>
    <w:rsid w:val="006128CF"/>
    <w:rsid w:val="0082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D5995D8-77AD-424F-8EC4-5DC46DB5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Paragrafo elenco,List Paragraph11,Normal bullet 21,List Paragraph111,Bullet list1,List Paragraph (numbered (a)),Dot pt,L,N,3"/>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2"/>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2"/>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2"/>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pPr>
      <w:spacing w:after="0" w:line="240" w:lineRule="auto"/>
    </w:pPr>
    <w:rPr>
      <w:rFonts w:ascii="Helvetica" w:hAnsi="Helvetica" w:cs="Times New Roman"/>
      <w:sz w:val="17"/>
      <w:szCs w:val="17"/>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891">
      <w:bodyDiv w:val="1"/>
      <w:marLeft w:val="0"/>
      <w:marRight w:val="0"/>
      <w:marTop w:val="0"/>
      <w:marBottom w:val="0"/>
      <w:divBdr>
        <w:top w:val="none" w:sz="0" w:space="0" w:color="auto"/>
        <w:left w:val="none" w:sz="0" w:space="0" w:color="auto"/>
        <w:bottom w:val="none" w:sz="0" w:space="0" w:color="auto"/>
        <w:right w:val="none" w:sz="0" w:space="0" w:color="auto"/>
      </w:divBdr>
      <w:divsChild>
        <w:div w:id="1592010628">
          <w:marLeft w:val="0"/>
          <w:marRight w:val="0"/>
          <w:marTop w:val="0"/>
          <w:marBottom w:val="0"/>
          <w:divBdr>
            <w:top w:val="none" w:sz="0" w:space="0" w:color="auto"/>
            <w:left w:val="none" w:sz="0" w:space="0" w:color="auto"/>
            <w:bottom w:val="none" w:sz="0" w:space="0" w:color="auto"/>
            <w:right w:val="none" w:sz="0" w:space="0" w:color="auto"/>
          </w:divBdr>
          <w:divsChild>
            <w:div w:id="9637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119808085">
      <w:bodyDiv w:val="1"/>
      <w:marLeft w:val="0"/>
      <w:marRight w:val="0"/>
      <w:marTop w:val="0"/>
      <w:marBottom w:val="0"/>
      <w:divBdr>
        <w:top w:val="none" w:sz="0" w:space="0" w:color="auto"/>
        <w:left w:val="none" w:sz="0" w:space="0" w:color="auto"/>
        <w:bottom w:val="none" w:sz="0" w:space="0" w:color="auto"/>
        <w:right w:val="none" w:sz="0" w:space="0" w:color="auto"/>
      </w:divBdr>
    </w:div>
    <w:div w:id="201328185">
      <w:bodyDiv w:val="1"/>
      <w:marLeft w:val="0"/>
      <w:marRight w:val="0"/>
      <w:marTop w:val="0"/>
      <w:marBottom w:val="0"/>
      <w:divBdr>
        <w:top w:val="none" w:sz="0" w:space="0" w:color="auto"/>
        <w:left w:val="none" w:sz="0" w:space="0" w:color="auto"/>
        <w:bottom w:val="none" w:sz="0" w:space="0" w:color="auto"/>
        <w:right w:val="none" w:sz="0" w:space="0" w:color="auto"/>
      </w:divBdr>
      <w:divsChild>
        <w:div w:id="2094547329">
          <w:marLeft w:val="0"/>
          <w:marRight w:val="0"/>
          <w:marTop w:val="0"/>
          <w:marBottom w:val="0"/>
          <w:divBdr>
            <w:top w:val="none" w:sz="0" w:space="0" w:color="auto"/>
            <w:left w:val="none" w:sz="0" w:space="0" w:color="auto"/>
            <w:bottom w:val="none" w:sz="0" w:space="0" w:color="auto"/>
            <w:right w:val="none" w:sz="0" w:space="0" w:color="auto"/>
          </w:divBdr>
          <w:divsChild>
            <w:div w:id="202449288">
              <w:marLeft w:val="0"/>
              <w:marRight w:val="0"/>
              <w:marTop w:val="0"/>
              <w:marBottom w:val="0"/>
              <w:divBdr>
                <w:top w:val="none" w:sz="0" w:space="0" w:color="auto"/>
                <w:left w:val="none" w:sz="0" w:space="0" w:color="auto"/>
                <w:bottom w:val="none" w:sz="0" w:space="0" w:color="auto"/>
                <w:right w:val="none" w:sz="0" w:space="0" w:color="auto"/>
              </w:divBdr>
              <w:divsChild>
                <w:div w:id="495339615">
                  <w:marLeft w:val="0"/>
                  <w:marRight w:val="0"/>
                  <w:marTop w:val="0"/>
                  <w:marBottom w:val="0"/>
                  <w:divBdr>
                    <w:top w:val="none" w:sz="0" w:space="0" w:color="auto"/>
                    <w:left w:val="none" w:sz="0" w:space="0" w:color="auto"/>
                    <w:bottom w:val="none" w:sz="0" w:space="0" w:color="auto"/>
                    <w:right w:val="none" w:sz="0" w:space="0" w:color="auto"/>
                  </w:divBdr>
                  <w:divsChild>
                    <w:div w:id="157767126">
                      <w:marLeft w:val="-150"/>
                      <w:marRight w:val="-150"/>
                      <w:marTop w:val="0"/>
                      <w:marBottom w:val="0"/>
                      <w:divBdr>
                        <w:top w:val="none" w:sz="0" w:space="0" w:color="auto"/>
                        <w:left w:val="none" w:sz="0" w:space="0" w:color="auto"/>
                        <w:bottom w:val="none" w:sz="0" w:space="0" w:color="auto"/>
                        <w:right w:val="none" w:sz="0" w:space="0" w:color="auto"/>
                      </w:divBdr>
                      <w:divsChild>
                        <w:div w:id="657418871">
                          <w:marLeft w:val="0"/>
                          <w:marRight w:val="0"/>
                          <w:marTop w:val="0"/>
                          <w:marBottom w:val="0"/>
                          <w:divBdr>
                            <w:top w:val="none" w:sz="0" w:space="0" w:color="auto"/>
                            <w:left w:val="none" w:sz="0" w:space="0" w:color="auto"/>
                            <w:bottom w:val="none" w:sz="0" w:space="0" w:color="auto"/>
                            <w:right w:val="none" w:sz="0" w:space="0" w:color="auto"/>
                          </w:divBdr>
                          <w:divsChild>
                            <w:div w:id="918248709">
                              <w:marLeft w:val="0"/>
                              <w:marRight w:val="0"/>
                              <w:marTop w:val="0"/>
                              <w:marBottom w:val="0"/>
                              <w:divBdr>
                                <w:top w:val="none" w:sz="0" w:space="0" w:color="auto"/>
                                <w:left w:val="none" w:sz="0" w:space="0" w:color="auto"/>
                                <w:bottom w:val="none" w:sz="0" w:space="0" w:color="auto"/>
                                <w:right w:val="none" w:sz="0" w:space="0" w:color="auto"/>
                              </w:divBdr>
                              <w:divsChild>
                                <w:div w:id="558319412">
                                  <w:marLeft w:val="0"/>
                                  <w:marRight w:val="0"/>
                                  <w:marTop w:val="0"/>
                                  <w:marBottom w:val="300"/>
                                  <w:divBdr>
                                    <w:top w:val="none" w:sz="0" w:space="0" w:color="auto"/>
                                    <w:left w:val="none" w:sz="0" w:space="0" w:color="auto"/>
                                    <w:bottom w:val="none" w:sz="0" w:space="0" w:color="auto"/>
                                    <w:right w:val="none" w:sz="0" w:space="0" w:color="auto"/>
                                  </w:divBdr>
                                  <w:divsChild>
                                    <w:div w:id="1468350973">
                                      <w:marLeft w:val="0"/>
                                      <w:marRight w:val="0"/>
                                      <w:marTop w:val="0"/>
                                      <w:marBottom w:val="0"/>
                                      <w:divBdr>
                                        <w:top w:val="none" w:sz="0" w:space="0" w:color="auto"/>
                                        <w:left w:val="none" w:sz="0" w:space="0" w:color="auto"/>
                                        <w:bottom w:val="none" w:sz="0" w:space="0" w:color="auto"/>
                                        <w:right w:val="none" w:sz="0" w:space="0" w:color="auto"/>
                                      </w:divBdr>
                                      <w:divsChild>
                                        <w:div w:id="1250119317">
                                          <w:marLeft w:val="0"/>
                                          <w:marRight w:val="0"/>
                                          <w:marTop w:val="0"/>
                                          <w:marBottom w:val="0"/>
                                          <w:divBdr>
                                            <w:top w:val="none" w:sz="0" w:space="0" w:color="auto"/>
                                            <w:left w:val="none" w:sz="0" w:space="0" w:color="auto"/>
                                            <w:bottom w:val="none" w:sz="0" w:space="0" w:color="auto"/>
                                            <w:right w:val="none" w:sz="0" w:space="0" w:color="auto"/>
                                          </w:divBdr>
                                          <w:divsChild>
                                            <w:div w:id="2057580352">
                                              <w:marLeft w:val="0"/>
                                              <w:marRight w:val="0"/>
                                              <w:marTop w:val="0"/>
                                              <w:marBottom w:val="0"/>
                                              <w:divBdr>
                                                <w:top w:val="none" w:sz="0" w:space="0" w:color="auto"/>
                                                <w:left w:val="none" w:sz="0" w:space="0" w:color="auto"/>
                                                <w:bottom w:val="none" w:sz="0" w:space="0" w:color="auto"/>
                                                <w:right w:val="none" w:sz="0" w:space="0" w:color="auto"/>
                                              </w:divBdr>
                                              <w:divsChild>
                                                <w:div w:id="1311984798">
                                                  <w:marLeft w:val="0"/>
                                                  <w:marRight w:val="0"/>
                                                  <w:marTop w:val="0"/>
                                                  <w:marBottom w:val="0"/>
                                                  <w:divBdr>
                                                    <w:top w:val="none" w:sz="0" w:space="0" w:color="auto"/>
                                                    <w:left w:val="none" w:sz="0" w:space="0" w:color="auto"/>
                                                    <w:bottom w:val="none" w:sz="0" w:space="0" w:color="auto"/>
                                                    <w:right w:val="none" w:sz="0" w:space="0" w:color="auto"/>
                                                  </w:divBdr>
                                                  <w:divsChild>
                                                    <w:div w:id="744038304">
                                                      <w:marLeft w:val="0"/>
                                                      <w:marRight w:val="0"/>
                                                      <w:marTop w:val="0"/>
                                                      <w:marBottom w:val="0"/>
                                                      <w:divBdr>
                                                        <w:top w:val="none" w:sz="0" w:space="0" w:color="auto"/>
                                                        <w:left w:val="none" w:sz="0" w:space="0" w:color="auto"/>
                                                        <w:bottom w:val="none" w:sz="0" w:space="0" w:color="auto"/>
                                                        <w:right w:val="none" w:sz="0" w:space="0" w:color="auto"/>
                                                      </w:divBdr>
                                                      <w:divsChild>
                                                        <w:div w:id="1517768447">
                                                          <w:marLeft w:val="0"/>
                                                          <w:marRight w:val="0"/>
                                                          <w:marTop w:val="0"/>
                                                          <w:marBottom w:val="0"/>
                                                          <w:divBdr>
                                                            <w:top w:val="none" w:sz="0" w:space="0" w:color="auto"/>
                                                            <w:left w:val="none" w:sz="0" w:space="0" w:color="auto"/>
                                                            <w:bottom w:val="none" w:sz="0" w:space="0" w:color="auto"/>
                                                            <w:right w:val="none" w:sz="0" w:space="0" w:color="auto"/>
                                                          </w:divBdr>
                                                          <w:divsChild>
                                                            <w:div w:id="1113790531">
                                                              <w:marLeft w:val="0"/>
                                                              <w:marRight w:val="0"/>
                                                              <w:marTop w:val="0"/>
                                                              <w:marBottom w:val="0"/>
                                                              <w:divBdr>
                                                                <w:top w:val="none" w:sz="0" w:space="0" w:color="auto"/>
                                                                <w:left w:val="none" w:sz="0" w:space="0" w:color="auto"/>
                                                                <w:bottom w:val="none" w:sz="0" w:space="0" w:color="auto"/>
                                                                <w:right w:val="none" w:sz="0" w:space="0" w:color="auto"/>
                                                              </w:divBdr>
                                                              <w:divsChild>
                                                                <w:div w:id="1842692736">
                                                                  <w:marLeft w:val="0"/>
                                                                  <w:marRight w:val="0"/>
                                                                  <w:marTop w:val="0"/>
                                                                  <w:marBottom w:val="0"/>
                                                                  <w:divBdr>
                                                                    <w:top w:val="none" w:sz="0" w:space="0" w:color="auto"/>
                                                                    <w:left w:val="none" w:sz="0" w:space="0" w:color="auto"/>
                                                                    <w:bottom w:val="none" w:sz="0" w:space="0" w:color="auto"/>
                                                                    <w:right w:val="none" w:sz="0" w:space="0" w:color="auto"/>
                                                                  </w:divBdr>
                                                                  <w:divsChild>
                                                                    <w:div w:id="1479683885">
                                                                      <w:marLeft w:val="0"/>
                                                                      <w:marRight w:val="0"/>
                                                                      <w:marTop w:val="0"/>
                                                                      <w:marBottom w:val="0"/>
                                                                      <w:divBdr>
                                                                        <w:top w:val="none" w:sz="0" w:space="0" w:color="auto"/>
                                                                        <w:left w:val="none" w:sz="0" w:space="0" w:color="auto"/>
                                                                        <w:bottom w:val="none" w:sz="0" w:space="0" w:color="auto"/>
                                                                        <w:right w:val="none" w:sz="0" w:space="0" w:color="auto"/>
                                                                      </w:divBdr>
                                                                      <w:divsChild>
                                                                        <w:div w:id="308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155082">
      <w:bodyDiv w:val="1"/>
      <w:marLeft w:val="0"/>
      <w:marRight w:val="0"/>
      <w:marTop w:val="0"/>
      <w:marBottom w:val="0"/>
      <w:divBdr>
        <w:top w:val="none" w:sz="0" w:space="0" w:color="auto"/>
        <w:left w:val="none" w:sz="0" w:space="0" w:color="auto"/>
        <w:bottom w:val="none" w:sz="0" w:space="0" w:color="auto"/>
        <w:right w:val="none" w:sz="0" w:space="0" w:color="auto"/>
      </w:divBdr>
    </w:div>
    <w:div w:id="371199090">
      <w:bodyDiv w:val="1"/>
      <w:marLeft w:val="0"/>
      <w:marRight w:val="0"/>
      <w:marTop w:val="0"/>
      <w:marBottom w:val="0"/>
      <w:divBdr>
        <w:top w:val="none" w:sz="0" w:space="0" w:color="auto"/>
        <w:left w:val="none" w:sz="0" w:space="0" w:color="auto"/>
        <w:bottom w:val="none" w:sz="0" w:space="0" w:color="auto"/>
        <w:right w:val="none" w:sz="0" w:space="0" w:color="auto"/>
      </w:divBdr>
    </w:div>
    <w:div w:id="446196625">
      <w:bodyDiv w:val="1"/>
      <w:marLeft w:val="0"/>
      <w:marRight w:val="0"/>
      <w:marTop w:val="0"/>
      <w:marBottom w:val="0"/>
      <w:divBdr>
        <w:top w:val="none" w:sz="0" w:space="0" w:color="auto"/>
        <w:left w:val="none" w:sz="0" w:space="0" w:color="auto"/>
        <w:bottom w:val="none" w:sz="0" w:space="0" w:color="auto"/>
        <w:right w:val="none" w:sz="0" w:space="0" w:color="auto"/>
      </w:divBdr>
    </w:div>
    <w:div w:id="510024739">
      <w:bodyDiv w:val="1"/>
      <w:marLeft w:val="0"/>
      <w:marRight w:val="0"/>
      <w:marTop w:val="0"/>
      <w:marBottom w:val="0"/>
      <w:divBdr>
        <w:top w:val="none" w:sz="0" w:space="0" w:color="auto"/>
        <w:left w:val="none" w:sz="0" w:space="0" w:color="auto"/>
        <w:bottom w:val="none" w:sz="0" w:space="0" w:color="auto"/>
        <w:right w:val="none" w:sz="0" w:space="0" w:color="auto"/>
      </w:divBdr>
    </w:div>
    <w:div w:id="697006136">
      <w:bodyDiv w:val="1"/>
      <w:marLeft w:val="0"/>
      <w:marRight w:val="0"/>
      <w:marTop w:val="0"/>
      <w:marBottom w:val="0"/>
      <w:divBdr>
        <w:top w:val="none" w:sz="0" w:space="0" w:color="auto"/>
        <w:left w:val="none" w:sz="0" w:space="0" w:color="auto"/>
        <w:bottom w:val="none" w:sz="0" w:space="0" w:color="auto"/>
        <w:right w:val="none" w:sz="0" w:space="0" w:color="auto"/>
      </w:divBdr>
      <w:divsChild>
        <w:div w:id="699742320">
          <w:marLeft w:val="0"/>
          <w:marRight w:val="0"/>
          <w:marTop w:val="0"/>
          <w:marBottom w:val="0"/>
          <w:divBdr>
            <w:top w:val="none" w:sz="0" w:space="0" w:color="auto"/>
            <w:left w:val="none" w:sz="0" w:space="0" w:color="auto"/>
            <w:bottom w:val="none" w:sz="0" w:space="0" w:color="auto"/>
            <w:right w:val="none" w:sz="0" w:space="0" w:color="auto"/>
          </w:divBdr>
          <w:divsChild>
            <w:div w:id="1922059167">
              <w:marLeft w:val="0"/>
              <w:marRight w:val="0"/>
              <w:marTop w:val="0"/>
              <w:marBottom w:val="0"/>
              <w:divBdr>
                <w:top w:val="none" w:sz="0" w:space="0" w:color="auto"/>
                <w:left w:val="none" w:sz="0" w:space="0" w:color="auto"/>
                <w:bottom w:val="none" w:sz="0" w:space="0" w:color="auto"/>
                <w:right w:val="none" w:sz="0" w:space="0" w:color="auto"/>
              </w:divBdr>
              <w:divsChild>
                <w:div w:id="71202881">
                  <w:marLeft w:val="0"/>
                  <w:marRight w:val="0"/>
                  <w:marTop w:val="0"/>
                  <w:marBottom w:val="0"/>
                  <w:divBdr>
                    <w:top w:val="none" w:sz="0" w:space="0" w:color="auto"/>
                    <w:left w:val="none" w:sz="0" w:space="0" w:color="auto"/>
                    <w:bottom w:val="none" w:sz="0" w:space="0" w:color="auto"/>
                    <w:right w:val="none" w:sz="0" w:space="0" w:color="auto"/>
                  </w:divBdr>
                  <w:divsChild>
                    <w:div w:id="1752970691">
                      <w:marLeft w:val="0"/>
                      <w:marRight w:val="0"/>
                      <w:marTop w:val="0"/>
                      <w:marBottom w:val="0"/>
                      <w:divBdr>
                        <w:top w:val="none" w:sz="0" w:space="0" w:color="auto"/>
                        <w:left w:val="none" w:sz="0" w:space="0" w:color="auto"/>
                        <w:bottom w:val="none" w:sz="0" w:space="0" w:color="auto"/>
                        <w:right w:val="none" w:sz="0" w:space="0" w:color="auto"/>
                      </w:divBdr>
                      <w:divsChild>
                        <w:div w:id="103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98167">
      <w:bodyDiv w:val="1"/>
      <w:marLeft w:val="0"/>
      <w:marRight w:val="0"/>
      <w:marTop w:val="0"/>
      <w:marBottom w:val="0"/>
      <w:divBdr>
        <w:top w:val="none" w:sz="0" w:space="0" w:color="auto"/>
        <w:left w:val="none" w:sz="0" w:space="0" w:color="auto"/>
        <w:bottom w:val="none" w:sz="0" w:space="0" w:color="auto"/>
        <w:right w:val="none" w:sz="0" w:space="0" w:color="auto"/>
      </w:divBdr>
    </w:div>
    <w:div w:id="736323383">
      <w:bodyDiv w:val="1"/>
      <w:marLeft w:val="0"/>
      <w:marRight w:val="0"/>
      <w:marTop w:val="0"/>
      <w:marBottom w:val="0"/>
      <w:divBdr>
        <w:top w:val="none" w:sz="0" w:space="0" w:color="auto"/>
        <w:left w:val="none" w:sz="0" w:space="0" w:color="auto"/>
        <w:bottom w:val="none" w:sz="0" w:space="0" w:color="auto"/>
        <w:right w:val="none" w:sz="0" w:space="0" w:color="auto"/>
      </w:divBdr>
    </w:div>
    <w:div w:id="882712968">
      <w:bodyDiv w:val="1"/>
      <w:marLeft w:val="0"/>
      <w:marRight w:val="0"/>
      <w:marTop w:val="0"/>
      <w:marBottom w:val="0"/>
      <w:divBdr>
        <w:top w:val="none" w:sz="0" w:space="0" w:color="auto"/>
        <w:left w:val="none" w:sz="0" w:space="0" w:color="auto"/>
        <w:bottom w:val="none" w:sz="0" w:space="0" w:color="auto"/>
        <w:right w:val="none" w:sz="0" w:space="0" w:color="auto"/>
      </w:divBdr>
    </w:div>
    <w:div w:id="891035541">
      <w:bodyDiv w:val="1"/>
      <w:marLeft w:val="0"/>
      <w:marRight w:val="0"/>
      <w:marTop w:val="0"/>
      <w:marBottom w:val="0"/>
      <w:divBdr>
        <w:top w:val="none" w:sz="0" w:space="0" w:color="auto"/>
        <w:left w:val="none" w:sz="0" w:space="0" w:color="auto"/>
        <w:bottom w:val="none" w:sz="0" w:space="0" w:color="auto"/>
        <w:right w:val="none" w:sz="0" w:space="0" w:color="auto"/>
      </w:divBdr>
    </w:div>
    <w:div w:id="1012995446">
      <w:bodyDiv w:val="1"/>
      <w:marLeft w:val="0"/>
      <w:marRight w:val="0"/>
      <w:marTop w:val="0"/>
      <w:marBottom w:val="0"/>
      <w:divBdr>
        <w:top w:val="none" w:sz="0" w:space="0" w:color="auto"/>
        <w:left w:val="none" w:sz="0" w:space="0" w:color="auto"/>
        <w:bottom w:val="none" w:sz="0" w:space="0" w:color="auto"/>
        <w:right w:val="none" w:sz="0" w:space="0" w:color="auto"/>
      </w:divBdr>
      <w:divsChild>
        <w:div w:id="831986578">
          <w:marLeft w:val="0"/>
          <w:marRight w:val="0"/>
          <w:marTop w:val="0"/>
          <w:marBottom w:val="0"/>
          <w:divBdr>
            <w:top w:val="none" w:sz="0" w:space="0" w:color="auto"/>
            <w:left w:val="none" w:sz="0" w:space="0" w:color="auto"/>
            <w:bottom w:val="none" w:sz="0" w:space="0" w:color="auto"/>
            <w:right w:val="none" w:sz="0" w:space="0" w:color="auto"/>
          </w:divBdr>
          <w:divsChild>
            <w:div w:id="1760715761">
              <w:marLeft w:val="0"/>
              <w:marRight w:val="0"/>
              <w:marTop w:val="0"/>
              <w:marBottom w:val="150"/>
              <w:divBdr>
                <w:top w:val="none" w:sz="0" w:space="0" w:color="auto"/>
                <w:left w:val="none" w:sz="0" w:space="0" w:color="auto"/>
                <w:bottom w:val="none" w:sz="0" w:space="0" w:color="auto"/>
                <w:right w:val="none" w:sz="0" w:space="0" w:color="auto"/>
              </w:divBdr>
              <w:divsChild>
                <w:div w:id="1258370151">
                  <w:marLeft w:val="0"/>
                  <w:marRight w:val="0"/>
                  <w:marTop w:val="0"/>
                  <w:marBottom w:val="0"/>
                  <w:divBdr>
                    <w:top w:val="none" w:sz="0" w:space="0" w:color="auto"/>
                    <w:left w:val="none" w:sz="0" w:space="0" w:color="auto"/>
                    <w:bottom w:val="none" w:sz="0" w:space="0" w:color="auto"/>
                    <w:right w:val="none" w:sz="0" w:space="0" w:color="auto"/>
                  </w:divBdr>
                  <w:divsChild>
                    <w:div w:id="648440811">
                      <w:marLeft w:val="0"/>
                      <w:marRight w:val="0"/>
                      <w:marTop w:val="0"/>
                      <w:marBottom w:val="0"/>
                      <w:divBdr>
                        <w:top w:val="none" w:sz="0" w:space="0" w:color="auto"/>
                        <w:left w:val="none" w:sz="0" w:space="0" w:color="auto"/>
                        <w:bottom w:val="none" w:sz="0" w:space="0" w:color="auto"/>
                        <w:right w:val="none" w:sz="0" w:space="0" w:color="auto"/>
                      </w:divBdr>
                      <w:divsChild>
                        <w:div w:id="428698766">
                          <w:marLeft w:val="0"/>
                          <w:marRight w:val="0"/>
                          <w:marTop w:val="0"/>
                          <w:marBottom w:val="0"/>
                          <w:divBdr>
                            <w:top w:val="none" w:sz="0" w:space="0" w:color="auto"/>
                            <w:left w:val="none" w:sz="0" w:space="0" w:color="auto"/>
                            <w:bottom w:val="none" w:sz="0" w:space="0" w:color="auto"/>
                            <w:right w:val="none" w:sz="0" w:space="0" w:color="auto"/>
                          </w:divBdr>
                          <w:divsChild>
                            <w:div w:id="1731342740">
                              <w:marLeft w:val="0"/>
                              <w:marRight w:val="0"/>
                              <w:marTop w:val="0"/>
                              <w:marBottom w:val="0"/>
                              <w:divBdr>
                                <w:top w:val="none" w:sz="0" w:space="0" w:color="auto"/>
                                <w:left w:val="none" w:sz="0" w:space="0" w:color="auto"/>
                                <w:bottom w:val="none" w:sz="0" w:space="0" w:color="auto"/>
                                <w:right w:val="none" w:sz="0" w:space="0" w:color="auto"/>
                              </w:divBdr>
                              <w:divsChild>
                                <w:div w:id="1896382235">
                                  <w:marLeft w:val="0"/>
                                  <w:marRight w:val="-3600"/>
                                  <w:marTop w:val="150"/>
                                  <w:marBottom w:val="0"/>
                                  <w:divBdr>
                                    <w:top w:val="none" w:sz="0" w:space="0" w:color="auto"/>
                                    <w:left w:val="none" w:sz="0" w:space="0" w:color="auto"/>
                                    <w:bottom w:val="none" w:sz="0" w:space="0" w:color="auto"/>
                                    <w:right w:val="none" w:sz="0" w:space="0" w:color="auto"/>
                                  </w:divBdr>
                                  <w:divsChild>
                                    <w:div w:id="533079079">
                                      <w:marLeft w:val="0"/>
                                      <w:marRight w:val="3600"/>
                                      <w:marTop w:val="0"/>
                                      <w:marBottom w:val="0"/>
                                      <w:divBdr>
                                        <w:top w:val="none" w:sz="0" w:space="0" w:color="auto"/>
                                        <w:left w:val="none" w:sz="0" w:space="0" w:color="auto"/>
                                        <w:bottom w:val="none" w:sz="0" w:space="0" w:color="auto"/>
                                        <w:right w:val="none" w:sz="0" w:space="0" w:color="auto"/>
                                      </w:divBdr>
                                      <w:divsChild>
                                        <w:div w:id="137723653">
                                          <w:marLeft w:val="0"/>
                                          <w:marRight w:val="0"/>
                                          <w:marTop w:val="0"/>
                                          <w:marBottom w:val="0"/>
                                          <w:divBdr>
                                            <w:top w:val="none" w:sz="0" w:space="0" w:color="auto"/>
                                            <w:left w:val="none" w:sz="0" w:space="0" w:color="auto"/>
                                            <w:bottom w:val="none" w:sz="0" w:space="0" w:color="auto"/>
                                            <w:right w:val="none" w:sz="0" w:space="0" w:color="auto"/>
                                          </w:divBdr>
                                          <w:divsChild>
                                            <w:div w:id="309867564">
                                              <w:marLeft w:val="0"/>
                                              <w:marRight w:val="0"/>
                                              <w:marTop w:val="0"/>
                                              <w:marBottom w:val="0"/>
                                              <w:divBdr>
                                                <w:top w:val="none" w:sz="0" w:space="0" w:color="auto"/>
                                                <w:left w:val="none" w:sz="0" w:space="0" w:color="auto"/>
                                                <w:bottom w:val="none" w:sz="0" w:space="0" w:color="auto"/>
                                                <w:right w:val="none" w:sz="0" w:space="0" w:color="auto"/>
                                              </w:divBdr>
                                              <w:divsChild>
                                                <w:div w:id="1211376996">
                                                  <w:marLeft w:val="0"/>
                                                  <w:marRight w:val="0"/>
                                                  <w:marTop w:val="0"/>
                                                  <w:marBottom w:val="0"/>
                                                  <w:divBdr>
                                                    <w:top w:val="none" w:sz="0" w:space="0" w:color="auto"/>
                                                    <w:left w:val="none" w:sz="0" w:space="0" w:color="auto"/>
                                                    <w:bottom w:val="none" w:sz="0" w:space="0" w:color="auto"/>
                                                    <w:right w:val="none" w:sz="0" w:space="0" w:color="auto"/>
                                                  </w:divBdr>
                                                  <w:divsChild>
                                                    <w:div w:id="770130287">
                                                      <w:marLeft w:val="0"/>
                                                      <w:marRight w:val="0"/>
                                                      <w:marTop w:val="0"/>
                                                      <w:marBottom w:val="0"/>
                                                      <w:divBdr>
                                                        <w:top w:val="none" w:sz="0" w:space="0" w:color="auto"/>
                                                        <w:left w:val="none" w:sz="0" w:space="0" w:color="auto"/>
                                                        <w:bottom w:val="none" w:sz="0" w:space="0" w:color="auto"/>
                                                        <w:right w:val="none" w:sz="0" w:space="0" w:color="auto"/>
                                                      </w:divBdr>
                                                      <w:divsChild>
                                                        <w:div w:id="207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94429">
      <w:bodyDiv w:val="1"/>
      <w:marLeft w:val="0"/>
      <w:marRight w:val="0"/>
      <w:marTop w:val="0"/>
      <w:marBottom w:val="0"/>
      <w:divBdr>
        <w:top w:val="none" w:sz="0" w:space="0" w:color="auto"/>
        <w:left w:val="none" w:sz="0" w:space="0" w:color="auto"/>
        <w:bottom w:val="none" w:sz="0" w:space="0" w:color="auto"/>
        <w:right w:val="none" w:sz="0" w:space="0" w:color="auto"/>
      </w:divBdr>
      <w:divsChild>
        <w:div w:id="581139506">
          <w:marLeft w:val="547"/>
          <w:marRight w:val="0"/>
          <w:marTop w:val="77"/>
          <w:marBottom w:val="0"/>
          <w:divBdr>
            <w:top w:val="none" w:sz="0" w:space="0" w:color="auto"/>
            <w:left w:val="none" w:sz="0" w:space="0" w:color="auto"/>
            <w:bottom w:val="none" w:sz="0" w:space="0" w:color="auto"/>
            <w:right w:val="none" w:sz="0" w:space="0" w:color="auto"/>
          </w:divBdr>
        </w:div>
      </w:divsChild>
    </w:div>
    <w:div w:id="1530606244">
      <w:bodyDiv w:val="1"/>
      <w:marLeft w:val="0"/>
      <w:marRight w:val="0"/>
      <w:marTop w:val="0"/>
      <w:marBottom w:val="0"/>
      <w:divBdr>
        <w:top w:val="none" w:sz="0" w:space="0" w:color="auto"/>
        <w:left w:val="none" w:sz="0" w:space="0" w:color="auto"/>
        <w:bottom w:val="none" w:sz="0" w:space="0" w:color="auto"/>
        <w:right w:val="none" w:sz="0" w:space="0" w:color="auto"/>
      </w:divBdr>
      <w:divsChild>
        <w:div w:id="217517253">
          <w:marLeft w:val="0"/>
          <w:marRight w:val="0"/>
          <w:marTop w:val="0"/>
          <w:marBottom w:val="0"/>
          <w:divBdr>
            <w:top w:val="none" w:sz="0" w:space="0" w:color="auto"/>
            <w:left w:val="none" w:sz="0" w:space="0" w:color="auto"/>
            <w:bottom w:val="none" w:sz="0" w:space="0" w:color="auto"/>
            <w:right w:val="none" w:sz="0" w:space="0" w:color="auto"/>
          </w:divBdr>
          <w:divsChild>
            <w:div w:id="1277518975">
              <w:marLeft w:val="0"/>
              <w:marRight w:val="0"/>
              <w:marTop w:val="0"/>
              <w:marBottom w:val="0"/>
              <w:divBdr>
                <w:top w:val="none" w:sz="0" w:space="0" w:color="auto"/>
                <w:left w:val="none" w:sz="0" w:space="0" w:color="auto"/>
                <w:bottom w:val="none" w:sz="0" w:space="0" w:color="auto"/>
                <w:right w:val="none" w:sz="0" w:space="0" w:color="auto"/>
              </w:divBdr>
              <w:divsChild>
                <w:div w:id="1345470857">
                  <w:marLeft w:val="0"/>
                  <w:marRight w:val="0"/>
                  <w:marTop w:val="0"/>
                  <w:marBottom w:val="0"/>
                  <w:divBdr>
                    <w:top w:val="none" w:sz="0" w:space="0" w:color="auto"/>
                    <w:left w:val="none" w:sz="0" w:space="0" w:color="auto"/>
                    <w:bottom w:val="none" w:sz="0" w:space="0" w:color="auto"/>
                    <w:right w:val="none" w:sz="0" w:space="0" w:color="auto"/>
                  </w:divBdr>
                  <w:divsChild>
                    <w:div w:id="1085957506">
                      <w:marLeft w:val="0"/>
                      <w:marRight w:val="0"/>
                      <w:marTop w:val="0"/>
                      <w:marBottom w:val="0"/>
                      <w:divBdr>
                        <w:top w:val="none" w:sz="0" w:space="0" w:color="auto"/>
                        <w:left w:val="none" w:sz="0" w:space="0" w:color="auto"/>
                        <w:bottom w:val="none" w:sz="0" w:space="0" w:color="auto"/>
                        <w:right w:val="none" w:sz="0" w:space="0" w:color="auto"/>
                      </w:divBdr>
                      <w:divsChild>
                        <w:div w:id="884409913">
                          <w:marLeft w:val="0"/>
                          <w:marRight w:val="0"/>
                          <w:marTop w:val="0"/>
                          <w:marBottom w:val="0"/>
                          <w:divBdr>
                            <w:top w:val="none" w:sz="0" w:space="0" w:color="auto"/>
                            <w:left w:val="none" w:sz="0" w:space="0" w:color="auto"/>
                            <w:bottom w:val="none" w:sz="0" w:space="0" w:color="auto"/>
                            <w:right w:val="none" w:sz="0" w:space="0" w:color="auto"/>
                          </w:divBdr>
                          <w:divsChild>
                            <w:div w:id="1911839969">
                              <w:marLeft w:val="-225"/>
                              <w:marRight w:val="-225"/>
                              <w:marTop w:val="0"/>
                              <w:marBottom w:val="0"/>
                              <w:divBdr>
                                <w:top w:val="none" w:sz="0" w:space="0" w:color="auto"/>
                                <w:left w:val="none" w:sz="0" w:space="0" w:color="auto"/>
                                <w:bottom w:val="none" w:sz="0" w:space="0" w:color="auto"/>
                                <w:right w:val="none" w:sz="0" w:space="0" w:color="auto"/>
                              </w:divBdr>
                              <w:divsChild>
                                <w:div w:id="408583500">
                                  <w:marLeft w:val="0"/>
                                  <w:marRight w:val="0"/>
                                  <w:marTop w:val="0"/>
                                  <w:marBottom w:val="133"/>
                                  <w:divBdr>
                                    <w:top w:val="none" w:sz="0" w:space="0" w:color="auto"/>
                                    <w:left w:val="none" w:sz="0" w:space="0" w:color="auto"/>
                                    <w:bottom w:val="none" w:sz="0" w:space="0" w:color="auto"/>
                                    <w:right w:val="none" w:sz="0" w:space="0" w:color="auto"/>
                                  </w:divBdr>
                                  <w:divsChild>
                                    <w:div w:id="2079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621111">
      <w:bodyDiv w:val="1"/>
      <w:marLeft w:val="0"/>
      <w:marRight w:val="0"/>
      <w:marTop w:val="0"/>
      <w:marBottom w:val="0"/>
      <w:divBdr>
        <w:top w:val="none" w:sz="0" w:space="0" w:color="auto"/>
        <w:left w:val="none" w:sz="0" w:space="0" w:color="auto"/>
        <w:bottom w:val="none" w:sz="0" w:space="0" w:color="auto"/>
        <w:right w:val="none" w:sz="0" w:space="0" w:color="auto"/>
      </w:divBdr>
    </w:div>
    <w:div w:id="1734353971">
      <w:bodyDiv w:val="1"/>
      <w:marLeft w:val="0"/>
      <w:marRight w:val="0"/>
      <w:marTop w:val="0"/>
      <w:marBottom w:val="0"/>
      <w:divBdr>
        <w:top w:val="none" w:sz="0" w:space="0" w:color="auto"/>
        <w:left w:val="none" w:sz="0" w:space="0" w:color="auto"/>
        <w:bottom w:val="none" w:sz="0" w:space="0" w:color="auto"/>
        <w:right w:val="none" w:sz="0" w:space="0" w:color="auto"/>
      </w:divBdr>
    </w:div>
    <w:div w:id="1739477034">
      <w:bodyDiv w:val="1"/>
      <w:marLeft w:val="0"/>
      <w:marRight w:val="0"/>
      <w:marTop w:val="0"/>
      <w:marBottom w:val="0"/>
      <w:divBdr>
        <w:top w:val="none" w:sz="0" w:space="0" w:color="auto"/>
        <w:left w:val="none" w:sz="0" w:space="0" w:color="auto"/>
        <w:bottom w:val="none" w:sz="0" w:space="0" w:color="auto"/>
        <w:right w:val="none" w:sz="0" w:space="0" w:color="auto"/>
      </w:divBdr>
    </w:div>
    <w:div w:id="18860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en/press/press-releases/2018/06/29/20180628-euco-conclusions-final/" TargetMode="External"/><Relationship Id="rId13" Type="http://schemas.openxmlformats.org/officeDocument/2006/relationships/hyperlink" Target="https://ec.europa.eu/jrc/en/publication/eur-scientific-and-technical-research-reports/artificial-intelligence-european-perspective" TargetMode="External"/><Relationship Id="rId18" Type="http://schemas.openxmlformats.org/officeDocument/2006/relationships/hyperlink" Target="https://ec.europa.eu/digital-single-market/en/european-ai-alliance" TargetMode="External"/><Relationship Id="rId3" Type="http://schemas.openxmlformats.org/officeDocument/2006/relationships/hyperlink" Target="https://ec.europa.eu/digital-single-market/en/news/eu-member-states-sign-cooperate-artificial-intelligence" TargetMode="External"/><Relationship Id="rId7" Type="http://schemas.openxmlformats.org/officeDocument/2006/relationships/hyperlink" Target="http://bdva.eu/sites/default/files/AI-Position-Statement-BDVA-Final-12112018.pdf" TargetMode="External"/><Relationship Id="rId12" Type="http://schemas.openxmlformats.org/officeDocument/2006/relationships/hyperlink" Target="https://jointventure.org/images/stories/pdf/index2018.pdf" TargetMode="External"/><Relationship Id="rId17" Type="http://schemas.openxmlformats.org/officeDocument/2006/relationships/hyperlink" Target="https://www.theguardian.com/technology/2016/mar/24/tay-microsofts-ai-chatbot-gets-a-crash-course-in-racism-from-twitter" TargetMode="External"/><Relationship Id="rId2" Type="http://schemas.openxmlformats.org/officeDocument/2006/relationships/hyperlink" Target="https://www.theguardian.com/society/2018/may/29/skin-cancer-computer-learns-to-detect-skin-cancer-more-accurately-than-a-doctor" TargetMode="External"/><Relationship Id="rId16" Type="http://schemas.openxmlformats.org/officeDocument/2006/relationships/hyperlink" Target="https://ec.europa.eu/digital-single-market/en/news/european-processor-initiative-consortium-develop-europes-microprocessors-future-supercomputers" TargetMode="External"/><Relationship Id="rId1" Type="http://schemas.openxmlformats.org/officeDocument/2006/relationships/hyperlink" Target="https://www.latribune.fr/entreprises-finance/la-tribune-de-l-energie-avec-erdf/cinq-objets-connectes-pour-economiser-l-energie-545571.html" TargetMode="External"/><Relationship Id="rId6" Type="http://schemas.openxmlformats.org/officeDocument/2006/relationships/hyperlink" Target="http://s3platform.jrc.ec.europa.eu/map" TargetMode="External"/><Relationship Id="rId11" Type="http://schemas.openxmlformats.org/officeDocument/2006/relationships/hyperlink" Target="https://www.pocbigdata.eu/monitorICTonlinevacancies/general_info/" TargetMode="External"/><Relationship Id="rId5" Type="http://schemas.openxmlformats.org/officeDocument/2006/relationships/hyperlink" Target="https://ec.europa.eu/knowledge4policy/ai-watch_en" TargetMode="External"/><Relationship Id="rId15" Type="http://schemas.openxmlformats.org/officeDocument/2006/relationships/hyperlink" Target="https://www.ecsel.eu/" TargetMode="External"/><Relationship Id="rId10" Type="http://schemas.openxmlformats.org/officeDocument/2006/relationships/hyperlink" Target="http://ai4eu.org/" TargetMode="External"/><Relationship Id="rId4" Type="http://schemas.openxmlformats.org/officeDocument/2006/relationships/hyperlink" Target="https://www.consilium.europa.eu/en/press/press-releases/2018/06/29/20180628-euco-conclusions-final/" TargetMode="External"/><Relationship Id="rId9" Type="http://schemas.openxmlformats.org/officeDocument/2006/relationships/hyperlink" Target="https://ec.europa.eu/digital-single-market/en/cross-border-corridors-connected-and-automated-mobility-cam" TargetMode="External"/><Relationship Id="rId14" Type="http://schemas.openxmlformats.org/officeDocument/2006/relationships/hyperlink" Target="https://ec.europa.eu/digital-single-market/en/eurohpc-joint-undert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3629005A782754CB4409FD9A1DD9F6F" ma:contentTypeVersion="11" ma:contentTypeDescription="Create a new document." ma:contentTypeScope="" ma:versionID="45e7f1f19d9373fb2945ee7f2ce6deda">
  <xsd:schema xmlns:xsd="http://www.w3.org/2001/XMLSchema" xmlns:xs="http://www.w3.org/2001/XMLSchema" xmlns:p="http://schemas.microsoft.com/office/2006/metadata/properties" xmlns:ns3="d70ba862-ef36-4620-a650-3754802da26b" xmlns:ns4="866aabb8-7ec2-447a-a7ff-f911015037e7" targetNamespace="http://schemas.microsoft.com/office/2006/metadata/properties" ma:root="true" ma:fieldsID="8d412c3a430c09c544f354ffa79fdd14" ns3:_="" ns4:_="">
    <xsd:import namespace="d70ba862-ef36-4620-a650-3754802da26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Document_x0020_Owner"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a862-ef36-4620-a650-3754802da2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Document_x0020_Owner" ma:index="14" nillable="true" ma:displayName="Document Owner" ma:internalName="Document_x0020_Owner">
      <xsd:simpleType>
        <xsd:restriction base="dms:Text">
          <xsd:maxLength value="255"/>
        </xsd:restriction>
      </xsd:simpleType>
    </xsd:element>
    <xsd:element name="Finalized" ma:index="15" nillable="true" ma:displayName="Finalized" ma:default="Yes" ma:format="Dropdown" ma:internalName="Finaliz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UVNUSV5RWJH5-855293799-1227</_dlc_DocId>
    <_dlc_DocIdUrl xmlns="866aabb8-7ec2-447a-a7ff-f911015037e7">
      <Url>https://myintracomm-collab.ec.europa.eu/dg/CONNECT/_layouts/15/DocIdRedir.aspx?ID=UVNUSV5RWJH5-855293799-1227</Url>
      <Description>UVNUSV5RWJH5-855293799-1227</Description>
    </_dlc_DocIdUrl>
    <EC_Collab_Reference xmlns="d70ba862-ef36-4620-a650-3754802da26b" xsi:nil="true"/>
    <EC_Collab_DocumentLanguage xmlns="d70ba862-ef36-4620-a650-3754802da26b">EN</EC_Collab_DocumentLanguage>
    <Finalized xmlns="d70ba862-ef36-4620-a650-3754802da26b">Yes</Finalized>
    <Document_x0020_Owner xmlns="d70ba862-ef36-4620-a650-3754802da2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C24691-96B2-43EC-BB37-F2AFFB7402AA}">
  <ds:schemaRefs>
    <ds:schemaRef ds:uri="http://schemas.microsoft.com/sharepoint/events"/>
  </ds:schemaRefs>
</ds:datastoreItem>
</file>

<file path=customXml/itemProps2.xml><?xml version="1.0" encoding="utf-8"?>
<ds:datastoreItem xmlns:ds="http://schemas.openxmlformats.org/officeDocument/2006/customXml" ds:itemID="{BB239C5C-B6DB-45C4-86B1-999F778A4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a862-ef36-4620-a650-3754802da26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7B389-7524-47B6-ABD2-CAEFFF92855C}">
  <ds:schemaRefs>
    <ds:schemaRef ds:uri="866aabb8-7ec2-447a-a7ff-f911015037e7"/>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70ba862-ef36-4620-a650-3754802da26b"/>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8EC0E01-4612-4803-84D1-094489FBFAD8}">
  <ds:schemaRefs>
    <ds:schemaRef ds:uri="http://schemas.microsoft.com/sharepoint/v3/contenttype/forms"/>
  </ds:schemaRefs>
</ds:datastoreItem>
</file>

<file path=customXml/itemProps5.xml><?xml version="1.0" encoding="utf-8"?>
<ds:datastoreItem xmlns:ds="http://schemas.openxmlformats.org/officeDocument/2006/customXml" ds:itemID="{28CC4C2F-3590-44C3-BEFC-254F22AA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4178</Words>
  <Characters>24531</Characters>
  <Application>Microsoft Office Word</Application>
  <DocSecurity>0</DocSecurity>
  <Lines>383</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44</cp:revision>
  <cp:lastPrinted>2018-11-26T08:53:00Z</cp:lastPrinted>
  <dcterms:created xsi:type="dcterms:W3CDTF">2018-12-11T21:17:00Z</dcterms:created>
  <dcterms:modified xsi:type="dcterms:W3CDTF">2018-12-17T11:11:00Z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0x010100258AA79CEB83498886A3A0868112325000B3629005A782754CB4409FD9A1DD9F6F</vt:lpwstr>
  </property>
  <property fmtid="{D5CDD505-2E9C-101B-9397-08002B2CF9AE}" pid="3" name="_dlc_DocIdItemGuid">
    <vt:lpwstr>e75faeb7-fe02-491f-8312-14b44d57bf99</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ies>
</file>