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896B4E8-D5AD-4AFF-97F3-B76D0B2798E4" style="width:450.45pt;height:447.5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rPr>
          <w:b/>
          <w:noProof/>
        </w:rPr>
      </w:pPr>
      <w:bookmarkStart w:id="1" w:name="_GoBack"/>
      <w:bookmarkEnd w:id="1"/>
    </w:p>
    <w:p>
      <w:pPr>
        <w:pStyle w:val="Title"/>
        <w:spacing w:before="0" w:after="240"/>
        <w:rPr>
          <w:rFonts w:ascii="Times New Roman" w:hAnsi="Times New Roman"/>
          <w:i/>
          <w:noProof/>
          <w:sz w:val="24"/>
          <w:szCs w:val="24"/>
        </w:rPr>
      </w:pPr>
      <w:bookmarkStart w:id="2" w:name="_Toc463018899"/>
      <w:r>
        <w:rPr>
          <w:rFonts w:ascii="Times New Roman" w:hAnsi="Times New Roman"/>
          <w:i/>
          <w:noProof/>
          <w:sz w:val="24"/>
        </w:rPr>
        <w:t>BIJLAGE 1.1</w:t>
      </w:r>
    </w:p>
    <w:p>
      <w:pPr>
        <w:pStyle w:val="Title"/>
        <w:spacing w:before="0" w:after="120"/>
        <w:rPr>
          <w:rFonts w:ascii="Times New Roman" w:hAnsi="Times New Roman"/>
          <w:noProof/>
          <w:sz w:val="24"/>
          <w:szCs w:val="24"/>
        </w:rPr>
      </w:pPr>
      <w:r>
        <w:rPr>
          <w:rFonts w:ascii="Times New Roman" w:hAnsi="Times New Roman"/>
          <w:noProof/>
          <w:sz w:val="24"/>
        </w:rPr>
        <w:t>Cumulatieve financiële uitvoering ESI-fondsen volgens thematische doelstelling zoals gerapporteerd door de programma's tot 31 december 2017 (in totale kosten, met selectie- en uitgavenvolumes)</w:t>
      </w:r>
    </w:p>
    <w:tbl>
      <w:tblPr>
        <w:tblW w:w="5000" w:type="pct"/>
        <w:tblInd w:w="108" w:type="dxa"/>
        <w:tblLayout w:type="fixed"/>
        <w:tblLook w:val="04A0" w:firstRow="1" w:lastRow="0" w:firstColumn="1" w:lastColumn="0" w:noHBand="0" w:noVBand="1"/>
      </w:tblPr>
      <w:tblGrid>
        <w:gridCol w:w="536"/>
        <w:gridCol w:w="2277"/>
        <w:gridCol w:w="1339"/>
        <w:gridCol w:w="1337"/>
        <w:gridCol w:w="1337"/>
        <w:gridCol w:w="1071"/>
        <w:gridCol w:w="936"/>
      </w:tblGrid>
      <w:tr>
        <w:trPr>
          <w:trHeight w:val="334"/>
        </w:trPr>
        <w:tc>
          <w:tcPr>
            <w:tcW w:w="303" w:type="pct"/>
            <w:vMerge w:val="restart"/>
            <w:tcBorders>
              <w:top w:val="single" w:sz="4" w:space="0" w:color="auto"/>
              <w:left w:val="single" w:sz="4" w:space="0" w:color="auto"/>
              <w:bottom w:val="single" w:sz="4" w:space="0" w:color="000000"/>
              <w:right w:val="nil"/>
            </w:tcBorders>
            <w:shd w:val="clear" w:color="000000" w:fill="8DB4E2"/>
            <w:vAlign w:val="center"/>
          </w:tcPr>
          <w:p>
            <w:pPr>
              <w:spacing w:after="0"/>
              <w:jc w:val="center"/>
              <w:rPr>
                <w:b/>
                <w:bCs/>
                <w:noProof/>
                <w:sz w:val="20"/>
              </w:rPr>
            </w:pPr>
          </w:p>
        </w:tc>
        <w:tc>
          <w:tcPr>
            <w:tcW w:w="1289" w:type="pct"/>
            <w:vMerge w:val="restart"/>
            <w:tcBorders>
              <w:top w:val="single" w:sz="4" w:space="0" w:color="auto"/>
              <w:left w:val="nil"/>
              <w:bottom w:val="single" w:sz="4" w:space="0" w:color="000000"/>
              <w:right w:val="single" w:sz="4" w:space="0" w:color="auto"/>
            </w:tcBorders>
            <w:shd w:val="clear" w:color="000000" w:fill="8DB4E2"/>
            <w:vAlign w:val="center"/>
            <w:hideMark/>
          </w:tcPr>
          <w:p>
            <w:pPr>
              <w:spacing w:after="0"/>
              <w:jc w:val="left"/>
              <w:rPr>
                <w:b/>
                <w:bCs/>
                <w:noProof/>
                <w:sz w:val="20"/>
              </w:rPr>
            </w:pPr>
            <w:r>
              <w:rPr>
                <w:b/>
                <w:noProof/>
                <w:sz w:val="20"/>
              </w:rPr>
              <w:t>Thematische doelstellingen</w:t>
            </w:r>
          </w:p>
        </w:tc>
        <w:tc>
          <w:tcPr>
            <w:tcW w:w="758"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Totaal geprogrammeerd bedrag</w:t>
            </w:r>
          </w:p>
        </w:tc>
        <w:tc>
          <w:tcPr>
            <w:tcW w:w="757"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Totale subsidiabele kosten van geselecteerde projecten</w:t>
            </w:r>
          </w:p>
        </w:tc>
        <w:tc>
          <w:tcPr>
            <w:tcW w:w="757"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 xml:space="preserve">Totale uitgaven gerapporteerd door geselecteerde projecten </w:t>
            </w:r>
          </w:p>
        </w:tc>
        <w:tc>
          <w:tcPr>
            <w:tcW w:w="606"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Selectiepercentage</w:t>
            </w:r>
          </w:p>
        </w:tc>
        <w:tc>
          <w:tcPr>
            <w:tcW w:w="530"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Uitgavenpercentage</w:t>
            </w:r>
          </w:p>
        </w:tc>
      </w:tr>
      <w:tr>
        <w:trPr>
          <w:trHeight w:val="254"/>
        </w:trPr>
        <w:tc>
          <w:tcPr>
            <w:tcW w:w="303" w:type="pct"/>
            <w:vMerge/>
            <w:tcBorders>
              <w:top w:val="single" w:sz="4" w:space="0" w:color="auto"/>
              <w:left w:val="single" w:sz="4" w:space="0" w:color="auto"/>
              <w:bottom w:val="single" w:sz="4" w:space="0" w:color="000000"/>
              <w:right w:val="nil"/>
            </w:tcBorders>
            <w:vAlign w:val="center"/>
            <w:hideMark/>
          </w:tcPr>
          <w:p>
            <w:pPr>
              <w:spacing w:after="0"/>
              <w:jc w:val="left"/>
              <w:rPr>
                <w:b/>
                <w:bCs/>
                <w:noProof/>
                <w:sz w:val="20"/>
              </w:rPr>
            </w:pPr>
          </w:p>
        </w:tc>
        <w:tc>
          <w:tcPr>
            <w:tcW w:w="1289" w:type="pct"/>
            <w:vMerge/>
            <w:tcBorders>
              <w:top w:val="single" w:sz="4" w:space="0" w:color="auto"/>
              <w:left w:val="nil"/>
              <w:bottom w:val="single" w:sz="4" w:space="0" w:color="000000"/>
              <w:right w:val="single" w:sz="4" w:space="0" w:color="auto"/>
            </w:tcBorders>
            <w:vAlign w:val="center"/>
            <w:hideMark/>
          </w:tcPr>
          <w:p>
            <w:pPr>
              <w:spacing w:after="0"/>
              <w:jc w:val="left"/>
              <w:rPr>
                <w:b/>
                <w:bCs/>
                <w:noProof/>
                <w:sz w:val="20"/>
              </w:rPr>
            </w:pPr>
          </w:p>
        </w:tc>
        <w:tc>
          <w:tcPr>
            <w:tcW w:w="758"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(miljoen EUR)</w:t>
            </w:r>
          </w:p>
        </w:tc>
        <w:tc>
          <w:tcPr>
            <w:tcW w:w="757"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(miljoen EUR)</w:t>
            </w:r>
          </w:p>
        </w:tc>
        <w:tc>
          <w:tcPr>
            <w:tcW w:w="757"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(miljoen EUR)</w:t>
            </w:r>
          </w:p>
        </w:tc>
        <w:tc>
          <w:tcPr>
            <w:tcW w:w="606"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530"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26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01</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Onderzoek en innovatie</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60 175,6 </w:t>
            </w:r>
          </w:p>
        </w:tc>
        <w:tc>
          <w:tcPr>
            <w:tcW w:w="757"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30 670,2 </w:t>
            </w:r>
          </w:p>
        </w:tc>
        <w:tc>
          <w:tcPr>
            <w:tcW w:w="757"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4 895,9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51,0 %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8,1 %</w:t>
            </w:r>
          </w:p>
        </w:tc>
      </w:tr>
      <w:tr>
        <w:trPr>
          <w:trHeight w:val="36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02</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Informatie- en communicatietechnologie</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18 368,0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8 772,9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900,8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47,8 %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4,9 %</w:t>
            </w:r>
          </w:p>
        </w:tc>
      </w:tr>
      <w:tr>
        <w:trPr>
          <w:trHeight w:val="192"/>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03</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Concurrentievermogen van kmo's</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85 401,9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47 014,7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15 378,3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55,1 %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18,0 %</w:t>
            </w:r>
          </w:p>
        </w:tc>
      </w:tr>
      <w:tr>
        <w:trPr>
          <w:trHeight w:val="168"/>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04</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Koolstofarme economie</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52 095,1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23 333,0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3 774,7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44,8 %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7,2 %</w:t>
            </w:r>
          </w:p>
        </w:tc>
      </w:tr>
      <w:tr>
        <w:trPr>
          <w:trHeight w:val="31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05</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Aanpassing aan klimaatverandering en risicopreventie</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38 069,3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22 134,9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12 613,0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58,1 %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33,1 %</w:t>
            </w:r>
          </w:p>
        </w:tc>
      </w:tr>
      <w:tr>
        <w:trPr>
          <w:trHeight w:val="34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06</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Milieubescherming en hulpbronnenefficiëntie</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73 147,4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38 091,3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15 917,9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52,1 %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21,8 %</w:t>
            </w:r>
          </w:p>
        </w:tc>
      </w:tr>
      <w:tr>
        <w:trPr>
          <w:trHeight w:val="483"/>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07</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Netwerkinfrastructuur voor vervoer en energie</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66 372,3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41 368,9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11 548,9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62,3 %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17,4 %</w:t>
            </w:r>
          </w:p>
        </w:tc>
      </w:tr>
      <w:tr>
        <w:trPr>
          <w:trHeight w:val="35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08</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Duurzame en kwalitatief hoogstaande werkgelegenheid</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48 788,3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24 764,5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8 210,6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50,8 %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16,8 %</w:t>
            </w:r>
          </w:p>
        </w:tc>
      </w:tr>
      <w:tr>
        <w:trPr>
          <w:trHeight w:val="28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09</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Sociale inclusie</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53 986,2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25 008,9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5 616,2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46,3 %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10,4 %</w:t>
            </w:r>
          </w:p>
        </w:tc>
      </w:tr>
      <w:tr>
        <w:trPr>
          <w:trHeight w:val="30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10</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Onderwijs en beroepsopleiding</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40 981,3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21 296,0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5 241,9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52,0 %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12,8 %</w:t>
            </w:r>
          </w:p>
        </w:tc>
      </w:tr>
      <w:tr>
        <w:trPr>
          <w:trHeight w:val="17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11</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Efficiënt openbaar bestuur</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6 109,3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2 936,4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351,9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48,1 %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5,8 %</w:t>
            </w:r>
          </w:p>
        </w:tc>
      </w:tr>
      <w:tr>
        <w:trPr>
          <w:trHeight w:val="424"/>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12</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Ultraperifere en dun bevolkte gebieden</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220,5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428,4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225,3 </w:t>
            </w:r>
          </w:p>
        </w:tc>
        <w:tc>
          <w:tcPr>
            <w:tcW w:w="606"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194,2 %</w:t>
            </w:r>
          </w:p>
        </w:tc>
        <w:tc>
          <w:tcPr>
            <w:tcW w:w="530"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102,2 %</w:t>
            </w:r>
          </w:p>
        </w:tc>
      </w:tr>
      <w:tr>
        <w:trPr>
          <w:trHeight w:val="182"/>
        </w:trPr>
        <w:tc>
          <w:tcPr>
            <w:tcW w:w="303" w:type="pct"/>
            <w:tcBorders>
              <w:top w:val="nil"/>
              <w:left w:val="single" w:sz="4" w:space="0" w:color="auto"/>
              <w:bottom w:val="single" w:sz="4" w:space="0" w:color="auto"/>
              <w:right w:val="nil"/>
            </w:tcBorders>
            <w:shd w:val="clear" w:color="auto" w:fill="auto"/>
            <w:noWrap/>
            <w:hideMark/>
          </w:tcPr>
          <w:p>
            <w:pPr>
              <w:spacing w:after="0"/>
              <w:ind w:right="-134"/>
              <w:jc w:val="left"/>
              <w:rPr>
                <w:noProof/>
                <w:sz w:val="20"/>
              </w:rPr>
            </w:pPr>
            <w:r>
              <w:rPr>
                <w:noProof/>
                <w:sz w:val="20"/>
              </w:rPr>
              <w:t>BM</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Beëindigde maatregelen</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176,3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56,9 </w:t>
            </w:r>
          </w:p>
        </w:tc>
        <w:tc>
          <w:tcPr>
            <w:tcW w:w="606"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0,0 %</w:t>
            </w:r>
          </w:p>
        </w:tc>
        <w:tc>
          <w:tcPr>
            <w:tcW w:w="530"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32,3 %</w:t>
            </w:r>
          </w:p>
        </w:tc>
      </w:tr>
      <w:tr>
        <w:trPr>
          <w:trHeight w:val="462"/>
        </w:trPr>
        <w:tc>
          <w:tcPr>
            <w:tcW w:w="303" w:type="pct"/>
            <w:tcBorders>
              <w:top w:val="nil"/>
              <w:left w:val="single" w:sz="4" w:space="0" w:color="auto"/>
              <w:bottom w:val="single" w:sz="4" w:space="0" w:color="auto"/>
              <w:right w:val="nil"/>
            </w:tcBorders>
            <w:shd w:val="clear" w:color="auto" w:fill="auto"/>
            <w:noWrap/>
          </w:tcPr>
          <w:p>
            <w:pPr>
              <w:spacing w:after="0"/>
              <w:jc w:val="left"/>
              <w:rPr>
                <w:noProof/>
                <w:sz w:val="20"/>
              </w:rPr>
            </w:pP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Diverse thematische doelstellingen (EFRO/CF/ESF)</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81 042,3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43 357,8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8 161,4 </w:t>
            </w:r>
          </w:p>
        </w:tc>
        <w:tc>
          <w:tcPr>
            <w:tcW w:w="606"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53,5 %</w:t>
            </w:r>
          </w:p>
        </w:tc>
        <w:tc>
          <w:tcPr>
            <w:tcW w:w="530"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10,1 %</w:t>
            </w:r>
          </w:p>
        </w:tc>
      </w:tr>
      <w:tr>
        <w:trPr>
          <w:trHeight w:val="141"/>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TB</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Technische bijstand</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19 097,8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9 010,2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2 791,5 </w:t>
            </w:r>
          </w:p>
        </w:tc>
        <w:tc>
          <w:tcPr>
            <w:tcW w:w="606"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47,2 %</w:t>
            </w:r>
          </w:p>
        </w:tc>
        <w:tc>
          <w:tcPr>
            <w:tcW w:w="530"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14,6 %</w:t>
            </w:r>
          </w:p>
        </w:tc>
      </w:tr>
      <w:tr>
        <w:trPr>
          <w:trHeight w:val="290"/>
        </w:trPr>
        <w:tc>
          <w:tcPr>
            <w:tcW w:w="303" w:type="pct"/>
            <w:tcBorders>
              <w:top w:val="nil"/>
              <w:left w:val="single" w:sz="4" w:space="0" w:color="auto"/>
              <w:bottom w:val="single" w:sz="4" w:space="0" w:color="auto"/>
              <w:right w:val="nil"/>
            </w:tcBorders>
            <w:shd w:val="clear" w:color="000000" w:fill="8DB4E2"/>
            <w:vAlign w:val="center"/>
            <w:hideMark/>
          </w:tcPr>
          <w:p>
            <w:pPr>
              <w:spacing w:before="120" w:after="120"/>
              <w:jc w:val="left"/>
              <w:rPr>
                <w:b/>
                <w:bCs/>
                <w:noProof/>
                <w:sz w:val="20"/>
              </w:rPr>
            </w:pPr>
            <w:r>
              <w:rPr>
                <w:b/>
                <w:noProof/>
                <w:sz w:val="20"/>
              </w:rPr>
              <w:t> </w:t>
            </w:r>
          </w:p>
        </w:tc>
        <w:tc>
          <w:tcPr>
            <w:tcW w:w="1289" w:type="pct"/>
            <w:tcBorders>
              <w:top w:val="nil"/>
              <w:left w:val="nil"/>
              <w:bottom w:val="single" w:sz="4" w:space="0" w:color="auto"/>
              <w:right w:val="single" w:sz="4" w:space="0" w:color="auto"/>
            </w:tcBorders>
            <w:shd w:val="clear" w:color="000000" w:fill="8DB4E2"/>
            <w:vAlign w:val="bottom"/>
            <w:hideMark/>
          </w:tcPr>
          <w:p>
            <w:pPr>
              <w:spacing w:before="120" w:after="120"/>
              <w:jc w:val="left"/>
              <w:rPr>
                <w:b/>
                <w:bCs/>
                <w:noProof/>
                <w:sz w:val="20"/>
              </w:rPr>
            </w:pPr>
            <w:r>
              <w:rPr>
                <w:b/>
                <w:noProof/>
                <w:sz w:val="20"/>
              </w:rPr>
              <w:t>Algemeen totaal</w:t>
            </w:r>
          </w:p>
        </w:tc>
        <w:tc>
          <w:tcPr>
            <w:tcW w:w="758" w:type="pct"/>
            <w:tcBorders>
              <w:top w:val="nil"/>
              <w:left w:val="single" w:sz="4" w:space="0" w:color="auto"/>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 xml:space="preserve">644 031,6 </w:t>
            </w:r>
          </w:p>
        </w:tc>
        <w:tc>
          <w:tcPr>
            <w:tcW w:w="757" w:type="pct"/>
            <w:tcBorders>
              <w:top w:val="nil"/>
              <w:left w:val="nil"/>
              <w:bottom w:val="single" w:sz="4" w:space="0" w:color="auto"/>
              <w:right w:val="single" w:sz="4" w:space="0" w:color="auto"/>
            </w:tcBorders>
            <w:shd w:val="clear" w:color="auto" w:fill="8DB3E2" w:themeFill="text2" w:themeFillTint="66"/>
            <w:vAlign w:val="bottom"/>
          </w:tcPr>
          <w:p>
            <w:pPr>
              <w:spacing w:before="120" w:after="120"/>
              <w:jc w:val="center"/>
              <w:rPr>
                <w:b/>
                <w:bCs/>
                <w:noProof/>
                <w:sz w:val="20"/>
              </w:rPr>
            </w:pPr>
            <w:r>
              <w:rPr>
                <w:b/>
                <w:noProof/>
                <w:sz w:val="20"/>
              </w:rPr>
              <w:t xml:space="preserve">338 188,2 </w:t>
            </w:r>
          </w:p>
        </w:tc>
        <w:tc>
          <w:tcPr>
            <w:tcW w:w="757" w:type="pct"/>
            <w:tcBorders>
              <w:top w:val="nil"/>
              <w:left w:val="nil"/>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 xml:space="preserve">95 685,3 </w:t>
            </w:r>
          </w:p>
        </w:tc>
        <w:tc>
          <w:tcPr>
            <w:tcW w:w="606" w:type="pct"/>
            <w:tcBorders>
              <w:top w:val="nil"/>
              <w:left w:val="nil"/>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52,5 %</w:t>
            </w:r>
          </w:p>
        </w:tc>
        <w:tc>
          <w:tcPr>
            <w:tcW w:w="530" w:type="pct"/>
            <w:tcBorders>
              <w:top w:val="nil"/>
              <w:left w:val="nil"/>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14,9 %</w:t>
            </w:r>
          </w:p>
        </w:tc>
      </w:tr>
    </w:tbl>
    <w:p>
      <w:pPr>
        <w:rPr>
          <w:i/>
          <w:noProof/>
          <w:sz w:val="20"/>
        </w:rPr>
      </w:pPr>
      <w:r>
        <w:rPr>
          <w:i/>
          <w:noProof/>
          <w:sz w:val="20"/>
        </w:rPr>
        <w:t xml:space="preserve">Bron: Europese Commissie, op basis van door de programma's gerapporteerde gegevens beschikbaar op ESIF Open Data </w:t>
      </w:r>
      <w:r>
        <w:rPr>
          <w:rStyle w:val="Hyperlink"/>
          <w:i/>
          <w:noProof/>
          <w:sz w:val="20"/>
        </w:rPr>
        <w:t>https://cohesiondata.ec.europa.eu/d/99js-gm52</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BIJLAGE 1.2</w:t>
      </w:r>
    </w:p>
    <w:p>
      <w:pPr>
        <w:pStyle w:val="Title"/>
        <w:spacing w:before="0" w:after="120"/>
        <w:rPr>
          <w:noProof/>
        </w:rPr>
      </w:pPr>
      <w:r>
        <w:rPr>
          <w:rFonts w:ascii="Times New Roman" w:hAnsi="Times New Roman"/>
          <w:noProof/>
          <w:sz w:val="24"/>
        </w:rPr>
        <w:t>Cumulatieve financiële uitvoering ESI-fondsen per thematische doelstelling zoals gerapporteerd door de programma's tot najaar 2018 (in totale kosten, met selectie- en uitgavenvolumes) (gegevens per 8.11.2018)</w:t>
      </w:r>
    </w:p>
    <w:tbl>
      <w:tblPr>
        <w:tblW w:w="4985" w:type="pct"/>
        <w:tblInd w:w="108" w:type="dxa"/>
        <w:tblLayout w:type="fixed"/>
        <w:tblLook w:val="04A0" w:firstRow="1" w:lastRow="0" w:firstColumn="1" w:lastColumn="0" w:noHBand="0" w:noVBand="1"/>
      </w:tblPr>
      <w:tblGrid>
        <w:gridCol w:w="402"/>
        <w:gridCol w:w="2445"/>
        <w:gridCol w:w="1355"/>
        <w:gridCol w:w="1219"/>
        <w:gridCol w:w="1355"/>
        <w:gridCol w:w="1083"/>
        <w:gridCol w:w="948"/>
      </w:tblGrid>
      <w:tr>
        <w:trPr>
          <w:trHeight w:val="334"/>
        </w:trPr>
        <w:tc>
          <w:tcPr>
            <w:tcW w:w="228" w:type="pct"/>
            <w:vMerge w:val="restart"/>
            <w:tcBorders>
              <w:top w:val="single" w:sz="4" w:space="0" w:color="auto"/>
              <w:left w:val="single" w:sz="4" w:space="0" w:color="auto"/>
              <w:bottom w:val="single" w:sz="4" w:space="0" w:color="000000"/>
              <w:right w:val="nil"/>
            </w:tcBorders>
            <w:shd w:val="clear" w:color="000000" w:fill="8DB4E2"/>
            <w:vAlign w:val="center"/>
          </w:tcPr>
          <w:p>
            <w:pPr>
              <w:spacing w:after="0"/>
              <w:jc w:val="center"/>
              <w:rPr>
                <w:b/>
                <w:bCs/>
                <w:noProof/>
                <w:sz w:val="20"/>
              </w:rPr>
            </w:pPr>
          </w:p>
        </w:tc>
        <w:tc>
          <w:tcPr>
            <w:tcW w:w="1388" w:type="pct"/>
            <w:vMerge w:val="restart"/>
            <w:tcBorders>
              <w:top w:val="single" w:sz="4" w:space="0" w:color="auto"/>
              <w:left w:val="nil"/>
              <w:bottom w:val="single" w:sz="4" w:space="0" w:color="000000"/>
              <w:right w:val="single" w:sz="4" w:space="0" w:color="auto"/>
            </w:tcBorders>
            <w:shd w:val="clear" w:color="000000" w:fill="8DB4E2"/>
            <w:vAlign w:val="center"/>
            <w:hideMark/>
          </w:tcPr>
          <w:p>
            <w:pPr>
              <w:spacing w:after="0"/>
              <w:jc w:val="left"/>
              <w:rPr>
                <w:b/>
                <w:bCs/>
                <w:noProof/>
                <w:sz w:val="20"/>
              </w:rPr>
            </w:pPr>
            <w:r>
              <w:rPr>
                <w:b/>
                <w:noProof/>
                <w:sz w:val="20"/>
              </w:rPr>
              <w:t>Thematische doelstellingen</w:t>
            </w:r>
          </w:p>
        </w:tc>
        <w:tc>
          <w:tcPr>
            <w:tcW w:w="769"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Totaal geprogrammeerd bedrag</w:t>
            </w:r>
          </w:p>
        </w:tc>
        <w:tc>
          <w:tcPr>
            <w:tcW w:w="692"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Totale subsidiabele kosten van geselecteerde projecten</w:t>
            </w:r>
          </w:p>
        </w:tc>
        <w:tc>
          <w:tcPr>
            <w:tcW w:w="769"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 xml:space="preserve">Totale uitgaven gerapporteerd door geselecteerde projecten </w:t>
            </w:r>
          </w:p>
        </w:tc>
        <w:tc>
          <w:tcPr>
            <w:tcW w:w="615"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Selectiepercentage</w:t>
            </w:r>
          </w:p>
        </w:tc>
        <w:tc>
          <w:tcPr>
            <w:tcW w:w="538"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Uitgavenpercentage</w:t>
            </w:r>
          </w:p>
        </w:tc>
      </w:tr>
      <w:tr>
        <w:trPr>
          <w:trHeight w:val="254"/>
        </w:trPr>
        <w:tc>
          <w:tcPr>
            <w:tcW w:w="228" w:type="pct"/>
            <w:vMerge/>
            <w:tcBorders>
              <w:top w:val="single" w:sz="4" w:space="0" w:color="auto"/>
              <w:left w:val="single" w:sz="4" w:space="0" w:color="auto"/>
              <w:bottom w:val="single" w:sz="4" w:space="0" w:color="000000"/>
              <w:right w:val="nil"/>
            </w:tcBorders>
            <w:vAlign w:val="center"/>
            <w:hideMark/>
          </w:tcPr>
          <w:p>
            <w:pPr>
              <w:spacing w:after="0"/>
              <w:jc w:val="left"/>
              <w:rPr>
                <w:b/>
                <w:bCs/>
                <w:noProof/>
                <w:sz w:val="20"/>
              </w:rPr>
            </w:pPr>
          </w:p>
        </w:tc>
        <w:tc>
          <w:tcPr>
            <w:tcW w:w="1388" w:type="pct"/>
            <w:vMerge/>
            <w:tcBorders>
              <w:top w:val="single" w:sz="4" w:space="0" w:color="auto"/>
              <w:left w:val="nil"/>
              <w:bottom w:val="single" w:sz="4" w:space="0" w:color="000000"/>
              <w:right w:val="single" w:sz="4" w:space="0" w:color="auto"/>
            </w:tcBorders>
            <w:vAlign w:val="center"/>
            <w:hideMark/>
          </w:tcPr>
          <w:p>
            <w:pPr>
              <w:spacing w:after="0"/>
              <w:jc w:val="left"/>
              <w:rPr>
                <w:b/>
                <w:bCs/>
                <w:noProof/>
                <w:sz w:val="20"/>
              </w:rPr>
            </w:pPr>
          </w:p>
        </w:tc>
        <w:tc>
          <w:tcPr>
            <w:tcW w:w="769"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(miljoen EUR)</w:t>
            </w:r>
          </w:p>
        </w:tc>
        <w:tc>
          <w:tcPr>
            <w:tcW w:w="692"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(miljoen EUR)</w:t>
            </w:r>
          </w:p>
        </w:tc>
        <w:tc>
          <w:tcPr>
            <w:tcW w:w="769"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(miljoen EUR)</w:t>
            </w:r>
          </w:p>
        </w:tc>
        <w:tc>
          <w:tcPr>
            <w:tcW w:w="615"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538"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26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01</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Onderzoek en innovatie</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60 251,6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39 600,6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8 413,9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65,7 %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14,0 %</w:t>
            </w:r>
          </w:p>
        </w:tc>
      </w:tr>
      <w:tr>
        <w:trPr>
          <w:trHeight w:val="36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02</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Informatie- en communicatietechnologie</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18 055,1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11 162,9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1 502,4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61,8 %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8,3 %</w:t>
            </w:r>
          </w:p>
        </w:tc>
      </w:tr>
      <w:tr>
        <w:trPr>
          <w:trHeight w:val="192"/>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03</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Concurrentievermogen van kmo's</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86 446,5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52 156,7</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22 151,7</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25,6 %</w:t>
            </w:r>
          </w:p>
        </w:tc>
      </w:tr>
      <w:tr>
        <w:trPr>
          <w:trHeight w:val="168"/>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04</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Koolstofarme economie</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49 771,9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28 027,6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6 162,4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56,3 %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12,4 %</w:t>
            </w:r>
          </w:p>
        </w:tc>
      </w:tr>
      <w:tr>
        <w:trPr>
          <w:trHeight w:val="31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05</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Aanpassing aan klimaatverandering en risicopreventie</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38 617,5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23 045,2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14 883,8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59,7 %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38,5 %</w:t>
            </w:r>
          </w:p>
        </w:tc>
      </w:tr>
      <w:tr>
        <w:trPr>
          <w:trHeight w:val="34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06</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Milieubescherming en hulpbronnenefficiëntie</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73 673,9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43 091,8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19 699,2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58,5 %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26,7 %</w:t>
            </w:r>
          </w:p>
        </w:tc>
      </w:tr>
      <w:tr>
        <w:trPr>
          <w:trHeight w:val="483"/>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07</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Netwerkinfrastructuur voor vervoer en energie</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66 171,4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49 416,5</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16 010,2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74,7 %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24,2 %</w:t>
            </w:r>
          </w:p>
        </w:tc>
      </w:tr>
      <w:tr>
        <w:trPr>
          <w:trHeight w:val="35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08</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Duurzame en kwalitatief hoogstaande werkgelegenheid</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49 543,1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30 035,8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11 281,0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60,6 %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22,8 %</w:t>
            </w:r>
          </w:p>
        </w:tc>
      </w:tr>
      <w:tr>
        <w:trPr>
          <w:trHeight w:val="28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09</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Sociale inclusie</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54 105,7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29 971,0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9 512,2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55,4 %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17,6 %</w:t>
            </w:r>
          </w:p>
        </w:tc>
      </w:tr>
      <w:tr>
        <w:trPr>
          <w:trHeight w:val="30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10</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Onderwijs en beroepsopleiding</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40 662,1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26 549,8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8 464,3</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65,3 %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20,8 %</w:t>
            </w:r>
          </w:p>
        </w:tc>
      </w:tr>
      <w:tr>
        <w:trPr>
          <w:trHeight w:val="17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11</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Efficiënt openbaar bestuur</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6 145,7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3 743,2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723,2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60,9 %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11,8 %</w:t>
            </w:r>
          </w:p>
        </w:tc>
      </w:tr>
      <w:tr>
        <w:trPr>
          <w:trHeight w:val="424"/>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12</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Ultraperifere en dun bevolkte gebieden</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220,5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527,8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334,0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239,3 %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151,4 %</w:t>
            </w:r>
          </w:p>
        </w:tc>
      </w:tr>
      <w:tr>
        <w:trPr>
          <w:trHeight w:val="182"/>
        </w:trPr>
        <w:tc>
          <w:tcPr>
            <w:tcW w:w="228" w:type="pct"/>
            <w:tcBorders>
              <w:top w:val="nil"/>
              <w:left w:val="single" w:sz="4" w:space="0" w:color="auto"/>
              <w:bottom w:val="single" w:sz="4" w:space="0" w:color="auto"/>
              <w:right w:val="nil"/>
            </w:tcBorders>
            <w:shd w:val="clear" w:color="auto" w:fill="auto"/>
            <w:noWrap/>
            <w:hideMark/>
          </w:tcPr>
          <w:p>
            <w:pPr>
              <w:spacing w:after="0"/>
              <w:ind w:right="-134"/>
              <w:jc w:val="left"/>
              <w:rPr>
                <w:noProof/>
                <w:sz w:val="20"/>
              </w:rPr>
            </w:pPr>
            <w:r>
              <w:rPr>
                <w:noProof/>
                <w:sz w:val="20"/>
              </w:rPr>
              <w:t>BM</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Beëindigde maatregelen</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172,8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73,2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0,0 %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42,4 %</w:t>
            </w:r>
          </w:p>
        </w:tc>
      </w:tr>
      <w:tr>
        <w:trPr>
          <w:trHeight w:val="462"/>
        </w:trPr>
        <w:tc>
          <w:tcPr>
            <w:tcW w:w="228" w:type="pct"/>
            <w:tcBorders>
              <w:top w:val="nil"/>
              <w:left w:val="single" w:sz="4" w:space="0" w:color="auto"/>
              <w:bottom w:val="single" w:sz="4" w:space="0" w:color="auto"/>
              <w:right w:val="nil"/>
            </w:tcBorders>
            <w:shd w:val="clear" w:color="auto" w:fill="auto"/>
            <w:noWrap/>
          </w:tcPr>
          <w:p>
            <w:pPr>
              <w:spacing w:after="0"/>
              <w:jc w:val="left"/>
              <w:rPr>
                <w:noProof/>
                <w:sz w:val="20"/>
              </w:rPr>
            </w:pP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Diverse thematische doelstellingen (EFRO/CF/ESF)</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83 770,8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56 268,6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14 085,4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67,2 %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16,8 %</w:t>
            </w:r>
          </w:p>
        </w:tc>
      </w:tr>
      <w:tr>
        <w:trPr>
          <w:trHeight w:val="141"/>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TB</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Technische bijstand</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19 049,2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11 046,9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4 115,8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58,0 %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21,6 %</w:t>
            </w:r>
          </w:p>
        </w:tc>
      </w:tr>
      <w:tr>
        <w:trPr>
          <w:trHeight w:val="290"/>
        </w:trPr>
        <w:tc>
          <w:tcPr>
            <w:tcW w:w="228" w:type="pct"/>
            <w:tcBorders>
              <w:top w:val="nil"/>
              <w:left w:val="single" w:sz="4" w:space="0" w:color="auto"/>
              <w:bottom w:val="single" w:sz="4" w:space="0" w:color="auto"/>
              <w:right w:val="nil"/>
            </w:tcBorders>
            <w:shd w:val="clear" w:color="000000" w:fill="8DB4E2"/>
            <w:vAlign w:val="center"/>
            <w:hideMark/>
          </w:tcPr>
          <w:p>
            <w:pPr>
              <w:spacing w:before="120" w:after="120"/>
              <w:jc w:val="left"/>
              <w:rPr>
                <w:b/>
                <w:bCs/>
                <w:noProof/>
                <w:sz w:val="20"/>
              </w:rPr>
            </w:pPr>
            <w:r>
              <w:rPr>
                <w:b/>
                <w:noProof/>
                <w:sz w:val="20"/>
              </w:rPr>
              <w:t> </w:t>
            </w:r>
          </w:p>
        </w:tc>
        <w:tc>
          <w:tcPr>
            <w:tcW w:w="1388" w:type="pct"/>
            <w:tcBorders>
              <w:top w:val="nil"/>
              <w:left w:val="nil"/>
              <w:bottom w:val="single" w:sz="4" w:space="0" w:color="auto"/>
              <w:right w:val="single" w:sz="4" w:space="0" w:color="auto"/>
            </w:tcBorders>
            <w:shd w:val="clear" w:color="000000" w:fill="8DB4E2"/>
            <w:vAlign w:val="bottom"/>
            <w:hideMark/>
          </w:tcPr>
          <w:p>
            <w:pPr>
              <w:spacing w:before="120" w:after="120"/>
              <w:jc w:val="left"/>
              <w:rPr>
                <w:b/>
                <w:bCs/>
                <w:noProof/>
                <w:sz w:val="20"/>
              </w:rPr>
            </w:pPr>
            <w:r>
              <w:rPr>
                <w:b/>
                <w:noProof/>
                <w:sz w:val="20"/>
              </w:rPr>
              <w:t>Totaal</w:t>
            </w:r>
          </w:p>
        </w:tc>
        <w:tc>
          <w:tcPr>
            <w:tcW w:w="769" w:type="pct"/>
            <w:tcBorders>
              <w:top w:val="single" w:sz="4" w:space="0" w:color="auto"/>
              <w:left w:val="nil"/>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646 657,9</w:t>
            </w:r>
          </w:p>
        </w:tc>
        <w:tc>
          <w:tcPr>
            <w:tcW w:w="69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404 644,6</w:t>
            </w:r>
          </w:p>
        </w:tc>
        <w:tc>
          <w:tcPr>
            <w:tcW w:w="76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137 412,5</w:t>
            </w:r>
          </w:p>
        </w:tc>
        <w:tc>
          <w:tcPr>
            <w:tcW w:w="61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62,6 %</w:t>
            </w:r>
          </w:p>
        </w:tc>
        <w:tc>
          <w:tcPr>
            <w:tcW w:w="53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21,2 %</w:t>
            </w:r>
          </w:p>
        </w:tc>
      </w:tr>
    </w:tbl>
    <w:p>
      <w:pPr>
        <w:rPr>
          <w:i/>
          <w:noProof/>
          <w:sz w:val="20"/>
        </w:rPr>
      </w:pPr>
      <w:r>
        <w:rPr>
          <w:i/>
          <w:noProof/>
          <w:sz w:val="20"/>
        </w:rPr>
        <w:t xml:space="preserve">Bron: Europese Commissie, op basis van door de programma's gerapporteerde gegevens beschikbaar op ESIF Open Data </w:t>
      </w:r>
      <w:r>
        <w:rPr>
          <w:rStyle w:val="Hyperlink"/>
          <w:i/>
          <w:noProof/>
          <w:sz w:val="20"/>
        </w:rPr>
        <w:t>https://cohesiondata.ec.europa.eu/d/99js-gm52</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BIJLAGE 2.1</w:t>
      </w:r>
    </w:p>
    <w:p>
      <w:pPr>
        <w:jc w:val="center"/>
        <w:rPr>
          <w:b/>
          <w:noProof/>
        </w:rPr>
      </w:pPr>
      <w:r>
        <w:rPr>
          <w:b/>
          <w:noProof/>
        </w:rPr>
        <w:t>Cumulatieve financiële uitvoering ESI-fondsen per lidstaat zoals gerapporteerd door de programma'</w:t>
      </w:r>
      <w:bookmarkEnd w:id="2"/>
      <w:r>
        <w:rPr>
          <w:b/>
          <w:noProof/>
        </w:rPr>
        <w:t>s</w:t>
      </w:r>
      <w:bookmarkStart w:id="3" w:name="_Toc463018900"/>
      <w:r>
        <w:rPr>
          <w:b/>
          <w:noProof/>
        </w:rPr>
        <w:t xml:space="preserve"> tot 31 december 201</w:t>
      </w:r>
      <w:bookmarkEnd w:id="3"/>
      <w:r>
        <w:rPr>
          <w:b/>
          <w:noProof/>
        </w:rPr>
        <w:t>7 (in totale kosten, met selectie- en uitgavenvolumes)</w:t>
      </w:r>
    </w:p>
    <w:tbl>
      <w:tblPr>
        <w:tblW w:w="5216" w:type="pct"/>
        <w:tblInd w:w="108" w:type="dxa"/>
        <w:tblLayout w:type="fixed"/>
        <w:tblLook w:val="04A0" w:firstRow="1" w:lastRow="0" w:firstColumn="1" w:lastColumn="0" w:noHBand="0" w:noVBand="1"/>
      </w:tblPr>
      <w:tblGrid>
        <w:gridCol w:w="1420"/>
        <w:gridCol w:w="1134"/>
        <w:gridCol w:w="1415"/>
        <w:gridCol w:w="1563"/>
        <w:gridCol w:w="1557"/>
        <w:gridCol w:w="993"/>
        <w:gridCol w:w="1133"/>
      </w:tblGrid>
      <w:tr>
        <w:trPr>
          <w:trHeight w:val="520"/>
        </w:trPr>
        <w:tc>
          <w:tcPr>
            <w:tcW w:w="770" w:type="pct"/>
            <w:vMerge w:val="restart"/>
            <w:tcBorders>
              <w:top w:val="single" w:sz="4" w:space="0" w:color="auto"/>
              <w:left w:val="single" w:sz="4" w:space="0" w:color="auto"/>
              <w:right w:val="single" w:sz="4" w:space="0" w:color="auto"/>
            </w:tcBorders>
            <w:shd w:val="clear" w:color="000000" w:fill="8DB4E2"/>
            <w:vAlign w:val="center"/>
            <w:hideMark/>
          </w:tcPr>
          <w:p>
            <w:pPr>
              <w:spacing w:after="0"/>
              <w:jc w:val="left"/>
              <w:rPr>
                <w:b/>
                <w:noProof/>
                <w:sz w:val="20"/>
              </w:rPr>
            </w:pPr>
            <w:r>
              <w:rPr>
                <w:b/>
                <w:noProof/>
                <w:sz w:val="20"/>
              </w:rPr>
              <w:t> </w:t>
            </w:r>
          </w:p>
        </w:tc>
        <w:tc>
          <w:tcPr>
            <w:tcW w:w="615"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Toegewezen EU-bedrag</w:t>
            </w:r>
          </w:p>
        </w:tc>
        <w:tc>
          <w:tcPr>
            <w:tcW w:w="768"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Totaal geprogrammeerd bedrag</w:t>
            </w:r>
          </w:p>
        </w:tc>
        <w:tc>
          <w:tcPr>
            <w:tcW w:w="848"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Totale subsidiabele kosten van geselecteerde projecten</w:t>
            </w:r>
          </w:p>
        </w:tc>
        <w:tc>
          <w:tcPr>
            <w:tcW w:w="845" w:type="pct"/>
            <w:vMerge w:val="restart"/>
            <w:tcBorders>
              <w:top w:val="single" w:sz="4" w:space="0" w:color="auto"/>
              <w:left w:val="single" w:sz="4" w:space="0" w:color="auto"/>
              <w:right w:val="single" w:sz="4" w:space="0" w:color="auto"/>
            </w:tcBorders>
            <w:shd w:val="clear" w:color="000000" w:fill="8DB4E2"/>
            <w:hideMark/>
          </w:tcPr>
          <w:p>
            <w:pPr>
              <w:spacing w:after="0"/>
              <w:jc w:val="center"/>
              <w:rPr>
                <w:b/>
                <w:bCs/>
                <w:noProof/>
                <w:sz w:val="20"/>
              </w:rPr>
            </w:pPr>
            <w:r>
              <w:rPr>
                <w:b/>
                <w:noProof/>
                <w:sz w:val="20"/>
              </w:rPr>
              <w:t xml:space="preserve">Totale uitgaven gerapporteerd door geselecteerde projecten </w:t>
            </w:r>
          </w:p>
          <w:p>
            <w:pPr>
              <w:spacing w:after="0"/>
              <w:jc w:val="center"/>
              <w:rPr>
                <w:b/>
                <w:bCs/>
                <w:noProof/>
                <w:sz w:val="20"/>
              </w:rPr>
            </w:pPr>
            <w:r>
              <w:rPr>
                <w:b/>
                <w:noProof/>
                <w:sz w:val="20"/>
              </w:rPr>
              <w:t>Eind 2017</w:t>
            </w:r>
          </w:p>
          <w:p>
            <w:pPr>
              <w:spacing w:after="0"/>
              <w:jc w:val="center"/>
              <w:rPr>
                <w:b/>
                <w:bCs/>
                <w:noProof/>
                <w:sz w:val="20"/>
              </w:rPr>
            </w:pPr>
          </w:p>
          <w:p>
            <w:pPr>
              <w:spacing w:after="0"/>
              <w:jc w:val="center"/>
              <w:rPr>
                <w:b/>
                <w:bCs/>
                <w:noProof/>
                <w:sz w:val="20"/>
              </w:rPr>
            </w:pPr>
            <w:r>
              <w:rPr>
                <w:b/>
                <w:noProof/>
                <w:sz w:val="20"/>
              </w:rPr>
              <w:t>(miljoen EUR)</w:t>
            </w:r>
          </w:p>
        </w:tc>
        <w:tc>
          <w:tcPr>
            <w:tcW w:w="539"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Percentage van projectselectie</w:t>
            </w:r>
          </w:p>
        </w:tc>
        <w:tc>
          <w:tcPr>
            <w:tcW w:w="615"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Percentage van uitgaven</w:t>
            </w:r>
          </w:p>
        </w:tc>
      </w:tr>
      <w:tr>
        <w:trPr>
          <w:trHeight w:val="260"/>
        </w:trPr>
        <w:tc>
          <w:tcPr>
            <w:tcW w:w="770" w:type="pct"/>
            <w:vMerge/>
            <w:tcBorders>
              <w:left w:val="single" w:sz="4" w:space="0" w:color="auto"/>
              <w:right w:val="single" w:sz="4" w:space="0" w:color="auto"/>
            </w:tcBorders>
            <w:vAlign w:val="center"/>
            <w:hideMark/>
          </w:tcPr>
          <w:p>
            <w:pPr>
              <w:spacing w:after="0"/>
              <w:jc w:val="left"/>
              <w:rPr>
                <w:b/>
                <w:noProof/>
                <w:sz w:val="20"/>
              </w:rPr>
            </w:pPr>
          </w:p>
        </w:tc>
        <w:tc>
          <w:tcPr>
            <w:tcW w:w="615"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2014-2020</w:t>
            </w:r>
          </w:p>
        </w:tc>
        <w:tc>
          <w:tcPr>
            <w:tcW w:w="768" w:type="pct"/>
            <w:tcBorders>
              <w:left w:val="single" w:sz="4" w:space="0" w:color="auto"/>
              <w:right w:val="single" w:sz="4" w:space="0" w:color="auto"/>
            </w:tcBorders>
            <w:shd w:val="clear" w:color="000000" w:fill="8DB4E2"/>
            <w:vAlign w:val="center"/>
          </w:tcPr>
          <w:p>
            <w:pPr>
              <w:spacing w:after="0"/>
              <w:jc w:val="center"/>
              <w:rPr>
                <w:b/>
                <w:bCs/>
                <w:noProof/>
                <w:sz w:val="20"/>
              </w:rPr>
            </w:pPr>
            <w:r>
              <w:rPr>
                <w:b/>
                <w:noProof/>
                <w:sz w:val="20"/>
              </w:rPr>
              <w:t>(EU &amp; nationaal)</w:t>
            </w:r>
          </w:p>
        </w:tc>
        <w:tc>
          <w:tcPr>
            <w:tcW w:w="848"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 xml:space="preserve">Eind 2017 </w:t>
            </w:r>
          </w:p>
        </w:tc>
        <w:tc>
          <w:tcPr>
            <w:tcW w:w="845" w:type="pct"/>
            <w:vMerge/>
            <w:tcBorders>
              <w:left w:val="single" w:sz="4" w:space="0" w:color="auto"/>
              <w:bottom w:val="single" w:sz="4" w:space="0" w:color="auto"/>
              <w:right w:val="single" w:sz="4" w:space="0" w:color="auto"/>
            </w:tcBorders>
            <w:shd w:val="clear" w:color="auto" w:fill="8DB3E2" w:themeFill="text2" w:themeFillTint="66"/>
            <w:hideMark/>
          </w:tcPr>
          <w:p>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615"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70"/>
        </w:trPr>
        <w:tc>
          <w:tcPr>
            <w:tcW w:w="770" w:type="pct"/>
            <w:vMerge/>
            <w:tcBorders>
              <w:left w:val="single" w:sz="4" w:space="0" w:color="auto"/>
              <w:bottom w:val="single" w:sz="4" w:space="0" w:color="auto"/>
              <w:right w:val="single" w:sz="4" w:space="0" w:color="auto"/>
            </w:tcBorders>
            <w:vAlign w:val="center"/>
            <w:hideMark/>
          </w:tcPr>
          <w:p>
            <w:pPr>
              <w:spacing w:after="0"/>
              <w:jc w:val="left"/>
              <w:rPr>
                <w:b/>
                <w:noProof/>
                <w:sz w:val="20"/>
              </w:rPr>
            </w:pPr>
          </w:p>
        </w:tc>
        <w:tc>
          <w:tcPr>
            <w:tcW w:w="615" w:type="pct"/>
            <w:tcBorders>
              <w:left w:val="single" w:sz="4" w:space="0" w:color="auto"/>
              <w:bottom w:val="single" w:sz="4" w:space="0" w:color="auto"/>
              <w:right w:val="single" w:sz="4" w:space="0" w:color="auto"/>
            </w:tcBorders>
            <w:shd w:val="clear" w:color="000000" w:fill="8DB4E2"/>
            <w:vAlign w:val="center"/>
          </w:tcPr>
          <w:p>
            <w:pPr>
              <w:spacing w:after="0"/>
              <w:jc w:val="center"/>
              <w:rPr>
                <w:b/>
                <w:bCs/>
                <w:noProof/>
                <w:sz w:val="20"/>
              </w:rPr>
            </w:pPr>
            <w:r>
              <w:rPr>
                <w:b/>
                <w:noProof/>
                <w:sz w:val="20"/>
              </w:rPr>
              <w:t>(miljoen EUR)</w:t>
            </w:r>
          </w:p>
        </w:tc>
        <w:tc>
          <w:tcPr>
            <w:tcW w:w="768" w:type="pct"/>
            <w:tcBorders>
              <w:left w:val="single" w:sz="4" w:space="0" w:color="auto"/>
              <w:bottom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(miljoen EUR)</w:t>
            </w:r>
          </w:p>
        </w:tc>
        <w:tc>
          <w:tcPr>
            <w:tcW w:w="848" w:type="pct"/>
            <w:tcBorders>
              <w:left w:val="single" w:sz="4" w:space="0" w:color="auto"/>
              <w:right w:val="single" w:sz="4" w:space="0" w:color="auto"/>
            </w:tcBorders>
            <w:shd w:val="clear" w:color="000000" w:fill="8DB4E2"/>
            <w:vAlign w:val="center"/>
          </w:tcPr>
          <w:p>
            <w:pPr>
              <w:spacing w:after="0"/>
              <w:jc w:val="center"/>
              <w:rPr>
                <w:b/>
                <w:noProof/>
                <w:sz w:val="20"/>
              </w:rPr>
            </w:pPr>
            <w:r>
              <w:rPr>
                <w:b/>
                <w:noProof/>
                <w:sz w:val="20"/>
              </w:rPr>
              <w:t>(miljoen EUR)</w:t>
            </w:r>
          </w:p>
        </w:tc>
        <w:tc>
          <w:tcPr>
            <w:tcW w:w="845" w:type="pct"/>
            <w:vMerge/>
            <w:tcBorders>
              <w:left w:val="single" w:sz="4" w:space="0" w:color="auto"/>
              <w:right w:val="single" w:sz="4" w:space="0" w:color="auto"/>
            </w:tcBorders>
            <w:vAlign w:val="center"/>
            <w:hideMark/>
          </w:tcPr>
          <w:p>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pPr>
              <w:spacing w:after="0"/>
              <w:jc w:val="left"/>
              <w:rPr>
                <w:b/>
                <w:bCs/>
                <w:noProof/>
                <w:sz w:val="20"/>
              </w:rPr>
            </w:pPr>
          </w:p>
        </w:tc>
        <w:tc>
          <w:tcPr>
            <w:tcW w:w="615" w:type="pct"/>
            <w:tcBorders>
              <w:left w:val="single" w:sz="4" w:space="0" w:color="auto"/>
              <w:right w:val="single" w:sz="4" w:space="0" w:color="auto"/>
            </w:tcBorders>
            <w:shd w:val="clear" w:color="auto" w:fill="8DB3E2" w:themeFill="text2" w:themeFillTint="66"/>
          </w:tcPr>
          <w:p>
            <w:pPr>
              <w:spacing w:after="0"/>
              <w:jc w:val="left"/>
              <w:rPr>
                <w:b/>
                <w:bCs/>
                <w:noProof/>
                <w:sz w:val="20"/>
              </w:rPr>
            </w:pP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Oostenrijk</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4 922,9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10 649,9</w:t>
            </w:r>
          </w:p>
        </w:tc>
        <w:tc>
          <w:tcPr>
            <w:tcW w:w="848"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5 362,3</w:t>
            </w:r>
          </w:p>
        </w:tc>
        <w:tc>
          <w:tcPr>
            <w:tcW w:w="845"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3 321,2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50,4 %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31,2 %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België</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2 741,7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6 088,8</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4 282,9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795,9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70,3 %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13,1 %</w:t>
            </w:r>
          </w:p>
        </w:tc>
      </w:tr>
      <w:tr>
        <w:trPr>
          <w:trHeight w:val="27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Bulgarije</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9 876,1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11 734,0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6 636,0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1 696,4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56,6 %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14,5 %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Kroatië</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10 727,4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12 653,7</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5 121,8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1 090,6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Cyprus</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917,3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1 169,6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507,5</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205,0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43,4 %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17,5 %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Tsjechië</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23 865,0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32 379,5</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14 951,7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3 670,5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46,2 %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11,3 %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Denemarken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1 546,8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2 264,8</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1 283,7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421,0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56,7 %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18,6 %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Estland</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4 423,5</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5 966,2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3 417,8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1 102,5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18,5 %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Finland</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3 765,0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8 435,2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5 765,5</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3 450,2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68,4 %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40,9 %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Frankrijk</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27 273,8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45 704,8</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22 078,7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8 655,5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48,3 %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18,9 %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Duitsland</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27 935,0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44 754,4</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24 941,7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9 267,5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20,7 %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Griekenland</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21 382,0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26 221,0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12 982,9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4 566,2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17,4 %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Hongarije</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25 013,9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29 649,6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28 404,1</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3 991,2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95,8 %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Ierland</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3 361,6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6 139,7</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3 843,6</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1 824,2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29,7 %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Italië</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44 656,1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75 065,7</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32 679,2</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6 598,1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43,5 %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8,8 %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Letland</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5 633,7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6 908,0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4 052,8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1 210,7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58,7 %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17,5 %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Litouwen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8 385,9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9 947,2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4 901,9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1 976,0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19,9 %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Luxemburg</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140,1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456,4</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240,3</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135,0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52,6 %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29,6 %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Malta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827,9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1 023,9</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516,6</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8,2 %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Nederland</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1 947,4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3 745,1</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2 413,0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785,3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64,4 %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21,0 %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Polen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86 111,6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104 921,4</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57 837,9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13 739,5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13,1 %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Portugal</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25 856,1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32 654,2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21 394,0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7 478,7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65,5 %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22,9 %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Roemenië</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30 882,6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37 564,3</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14 638,8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4 370,9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39,0 %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Slowakije</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15 287,3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19 559,2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10 001,2</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2 266,9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51,1 %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Slovenië</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3 930,6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4 958,0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2 464,0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690,4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Spanje</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39 835,6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56 218,3</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17 641,8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5 509,9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31,4 %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9,8 %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Zweden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3 626,7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7 938,6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4 802,9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2 020,1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25,4 %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Interreg</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9 335,4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12 441,6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7 133,6</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607,8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Verenigd Koninkrijk</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16 470,8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26 818,5</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17 890,0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4 154,3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66,7 %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15,5 %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pPr>
              <w:spacing w:before="120" w:after="120"/>
              <w:jc w:val="left"/>
              <w:rPr>
                <w:b/>
                <w:bCs/>
                <w:noProof/>
                <w:sz w:val="20"/>
              </w:rPr>
            </w:pPr>
            <w:r>
              <w:rPr>
                <w:b/>
                <w:noProof/>
                <w:sz w:val="20"/>
              </w:rPr>
              <w:t>Algemeen totaal</w:t>
            </w:r>
          </w:p>
        </w:tc>
        <w:tc>
          <w:tcPr>
            <w:tcW w:w="615" w:type="pct"/>
            <w:tcBorders>
              <w:top w:val="single" w:sz="4" w:space="0" w:color="auto"/>
              <w:bottom w:val="single" w:sz="4" w:space="0" w:color="auto"/>
            </w:tcBorders>
            <w:shd w:val="clear" w:color="auto" w:fill="8DB3E2" w:themeFill="text2" w:themeFillTint="66"/>
            <w:noWrap/>
            <w:vAlign w:val="center"/>
          </w:tcPr>
          <w:p>
            <w:pPr>
              <w:spacing w:before="120" w:after="120"/>
              <w:jc w:val="right"/>
              <w:rPr>
                <w:b/>
                <w:bCs/>
                <w:noProof/>
                <w:sz w:val="20"/>
              </w:rPr>
            </w:pPr>
            <w:r>
              <w:rPr>
                <w:b/>
                <w:noProof/>
                <w:sz w:val="20"/>
              </w:rPr>
              <w:t>460 680,0</w:t>
            </w:r>
          </w:p>
        </w:tc>
        <w:tc>
          <w:tcPr>
            <w:tcW w:w="768" w:type="pct"/>
            <w:tcBorders>
              <w:top w:val="single" w:sz="4" w:space="0" w:color="auto"/>
              <w:left w:val="single" w:sz="4" w:space="0" w:color="auto"/>
              <w:bottom w:val="single" w:sz="4" w:space="0" w:color="auto"/>
              <w:right w:val="single" w:sz="4" w:space="0" w:color="auto"/>
            </w:tcBorders>
            <w:shd w:val="clear" w:color="000000" w:fill="8DB4E2"/>
            <w:noWrap/>
            <w:vAlign w:val="center"/>
          </w:tcPr>
          <w:p>
            <w:pPr>
              <w:spacing w:before="120" w:after="120"/>
              <w:jc w:val="right"/>
              <w:rPr>
                <w:b/>
                <w:bCs/>
                <w:noProof/>
                <w:sz w:val="20"/>
              </w:rPr>
            </w:pPr>
            <w:r>
              <w:rPr>
                <w:b/>
                <w:noProof/>
                <w:sz w:val="20"/>
              </w:rPr>
              <w:t>644 031,6</w:t>
            </w:r>
          </w:p>
        </w:tc>
        <w:tc>
          <w:tcPr>
            <w:tcW w:w="848" w:type="pct"/>
            <w:tcBorders>
              <w:top w:val="single" w:sz="4" w:space="0" w:color="auto"/>
              <w:left w:val="single" w:sz="4" w:space="0" w:color="auto"/>
              <w:bottom w:val="single" w:sz="4" w:space="0" w:color="auto"/>
              <w:right w:val="single" w:sz="4" w:space="0" w:color="auto"/>
            </w:tcBorders>
            <w:shd w:val="clear" w:color="000000" w:fill="8DB4E2"/>
            <w:noWrap/>
            <w:vAlign w:val="center"/>
          </w:tcPr>
          <w:p>
            <w:pPr>
              <w:spacing w:before="120" w:after="120"/>
              <w:jc w:val="right"/>
              <w:rPr>
                <w:b/>
                <w:bCs/>
                <w:noProof/>
                <w:sz w:val="20"/>
              </w:rPr>
            </w:pPr>
            <w:r>
              <w:rPr>
                <w:b/>
                <w:noProof/>
                <w:color w:val="000000"/>
                <w:sz w:val="20"/>
              </w:rPr>
              <w:t>338 188,2</w:t>
            </w:r>
          </w:p>
        </w:tc>
        <w:tc>
          <w:tcPr>
            <w:tcW w:w="845" w:type="pct"/>
            <w:tcBorders>
              <w:top w:val="single" w:sz="4" w:space="0" w:color="auto"/>
              <w:left w:val="single" w:sz="4" w:space="0" w:color="auto"/>
              <w:bottom w:val="single" w:sz="4" w:space="0" w:color="auto"/>
              <w:right w:val="single" w:sz="4" w:space="0" w:color="auto"/>
            </w:tcBorders>
            <w:shd w:val="clear" w:color="000000" w:fill="8DB4E2"/>
            <w:noWrap/>
            <w:vAlign w:val="center"/>
          </w:tcPr>
          <w:p>
            <w:pPr>
              <w:spacing w:before="120" w:after="120"/>
              <w:jc w:val="right"/>
              <w:rPr>
                <w:b/>
                <w:bCs/>
                <w:noProof/>
                <w:sz w:val="20"/>
              </w:rPr>
            </w:pPr>
            <w:r>
              <w:rPr>
                <w:b/>
                <w:noProof/>
                <w:color w:val="000000"/>
                <w:sz w:val="20"/>
              </w:rPr>
              <w:t>95 685,3</w:t>
            </w:r>
          </w:p>
        </w:tc>
        <w:tc>
          <w:tcPr>
            <w:tcW w:w="539" w:type="pct"/>
            <w:tcBorders>
              <w:top w:val="single" w:sz="4" w:space="0" w:color="auto"/>
              <w:left w:val="single" w:sz="4" w:space="0" w:color="auto"/>
              <w:bottom w:val="single" w:sz="4" w:space="0" w:color="auto"/>
              <w:right w:val="single" w:sz="4" w:space="0" w:color="auto"/>
            </w:tcBorders>
            <w:shd w:val="clear" w:color="000000" w:fill="8DB4E2"/>
            <w:vAlign w:val="center"/>
          </w:tcPr>
          <w:p>
            <w:pPr>
              <w:spacing w:before="120" w:after="120"/>
              <w:jc w:val="right"/>
              <w:rPr>
                <w:b/>
                <w:bCs/>
                <w:noProof/>
                <w:sz w:val="20"/>
              </w:rPr>
            </w:pPr>
            <w:r>
              <w:rPr>
                <w:b/>
                <w:noProof/>
                <w:color w:val="000000"/>
                <w:sz w:val="20"/>
              </w:rPr>
              <w:t>52,5 %</w:t>
            </w:r>
          </w:p>
        </w:tc>
        <w:tc>
          <w:tcPr>
            <w:tcW w:w="615" w:type="pct"/>
            <w:tcBorders>
              <w:top w:val="single" w:sz="4" w:space="0" w:color="auto"/>
              <w:left w:val="single" w:sz="4" w:space="0" w:color="auto"/>
              <w:bottom w:val="single" w:sz="4" w:space="0" w:color="auto"/>
              <w:right w:val="single" w:sz="4" w:space="0" w:color="auto"/>
            </w:tcBorders>
            <w:shd w:val="clear" w:color="000000" w:fill="8DB4E2"/>
            <w:vAlign w:val="center"/>
          </w:tcPr>
          <w:p>
            <w:pPr>
              <w:spacing w:before="120" w:after="120"/>
              <w:jc w:val="right"/>
              <w:rPr>
                <w:b/>
                <w:bCs/>
                <w:noProof/>
                <w:sz w:val="20"/>
              </w:rPr>
            </w:pPr>
            <w:r>
              <w:rPr>
                <w:b/>
                <w:noProof/>
                <w:color w:val="000000"/>
                <w:sz w:val="20"/>
              </w:rPr>
              <w:t>14,9 %</w:t>
            </w:r>
          </w:p>
        </w:tc>
      </w:tr>
    </w:tbl>
    <w:p>
      <w:pPr>
        <w:rPr>
          <w:i/>
          <w:noProof/>
          <w:sz w:val="20"/>
        </w:rPr>
      </w:pPr>
      <w:bookmarkStart w:id="4" w:name="_Toc463018901"/>
      <w:r>
        <w:rPr>
          <w:i/>
          <w:noProof/>
          <w:sz w:val="20"/>
        </w:rPr>
        <w:t xml:space="preserve">Bron: Europese Commissie, op basis van door de programma's gerapporteerde gegevens beschikbaar op ESIF Open Data </w:t>
      </w:r>
      <w:r>
        <w:rPr>
          <w:rStyle w:val="Hyperlink"/>
          <w:i/>
          <w:noProof/>
          <w:sz w:val="20"/>
        </w:rPr>
        <w:t>https://cohesiondata.ec.europa.eu/d/99js-gm52</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BIJLAGE 2.2</w:t>
      </w:r>
    </w:p>
    <w:p>
      <w:pPr>
        <w:pStyle w:val="ListParagraph"/>
        <w:spacing w:after="120"/>
        <w:ind w:left="0"/>
        <w:contextualSpacing w:val="0"/>
        <w:jc w:val="center"/>
        <w:outlineLvl w:val="0"/>
        <w:rPr>
          <w:b/>
          <w:noProof/>
        </w:rPr>
      </w:pPr>
      <w:r>
        <w:rPr>
          <w:b/>
          <w:noProof/>
        </w:rPr>
        <w:t>Cumulatieve financiële uitvoering ESI-fondsen per lidstaat zoals gerapporteerd door de programma's tot najaar 2018 (in totale kosten, met selectie- en uitgavenvolumes) (gegevens per 8.11.2018)</w:t>
      </w:r>
    </w:p>
    <w:tbl>
      <w:tblPr>
        <w:tblW w:w="5216" w:type="pct"/>
        <w:tblInd w:w="108" w:type="dxa"/>
        <w:tblLayout w:type="fixed"/>
        <w:tblLook w:val="04A0" w:firstRow="1" w:lastRow="0" w:firstColumn="1" w:lastColumn="0" w:noHBand="0" w:noVBand="1"/>
      </w:tblPr>
      <w:tblGrid>
        <w:gridCol w:w="1418"/>
        <w:gridCol w:w="1276"/>
        <w:gridCol w:w="1277"/>
        <w:gridCol w:w="1559"/>
        <w:gridCol w:w="1559"/>
        <w:gridCol w:w="993"/>
        <w:gridCol w:w="1133"/>
      </w:tblGrid>
      <w:tr>
        <w:trPr>
          <w:trHeight w:val="520"/>
        </w:trPr>
        <w:tc>
          <w:tcPr>
            <w:tcW w:w="769" w:type="pct"/>
            <w:vMerge w:val="restart"/>
            <w:tcBorders>
              <w:top w:val="single" w:sz="4" w:space="0" w:color="auto"/>
              <w:left w:val="single" w:sz="4" w:space="0" w:color="auto"/>
              <w:right w:val="single" w:sz="4" w:space="0" w:color="auto"/>
            </w:tcBorders>
            <w:shd w:val="clear" w:color="000000" w:fill="8DB4E2"/>
            <w:vAlign w:val="center"/>
            <w:hideMark/>
          </w:tcPr>
          <w:bookmarkEnd w:id="4"/>
          <w:p>
            <w:pPr>
              <w:spacing w:after="0"/>
              <w:jc w:val="left"/>
              <w:rPr>
                <w:b/>
                <w:noProof/>
                <w:sz w:val="20"/>
              </w:rPr>
            </w:pPr>
            <w:r>
              <w:rPr>
                <w:b/>
                <w:noProof/>
                <w:sz w:val="20"/>
              </w:rPr>
              <w:t> </w:t>
            </w:r>
          </w:p>
        </w:tc>
        <w:tc>
          <w:tcPr>
            <w:tcW w:w="692"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Toegewezen EU-bedrag</w:t>
            </w:r>
          </w:p>
        </w:tc>
        <w:tc>
          <w:tcPr>
            <w:tcW w:w="693"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Totaal geprogrammeerd bedrag</w:t>
            </w:r>
          </w:p>
        </w:tc>
        <w:tc>
          <w:tcPr>
            <w:tcW w:w="846"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Totale subsidiabele kosten van geselecteerde projecten</w:t>
            </w:r>
          </w:p>
        </w:tc>
        <w:tc>
          <w:tcPr>
            <w:tcW w:w="846" w:type="pct"/>
            <w:vMerge w:val="restart"/>
            <w:tcBorders>
              <w:top w:val="single" w:sz="4" w:space="0" w:color="auto"/>
              <w:left w:val="single" w:sz="4" w:space="0" w:color="auto"/>
              <w:right w:val="single" w:sz="4" w:space="0" w:color="auto"/>
            </w:tcBorders>
            <w:shd w:val="clear" w:color="000000" w:fill="8DB4E2"/>
            <w:hideMark/>
          </w:tcPr>
          <w:p>
            <w:pPr>
              <w:spacing w:after="0"/>
              <w:jc w:val="center"/>
              <w:rPr>
                <w:b/>
                <w:bCs/>
                <w:noProof/>
                <w:sz w:val="20"/>
              </w:rPr>
            </w:pPr>
            <w:r>
              <w:rPr>
                <w:b/>
                <w:noProof/>
                <w:sz w:val="20"/>
              </w:rPr>
              <w:t xml:space="preserve">Totale uitgaven gerapporteerd door geselecteerde projecten </w:t>
            </w:r>
          </w:p>
          <w:p>
            <w:pPr>
              <w:spacing w:after="0"/>
              <w:jc w:val="center"/>
              <w:rPr>
                <w:b/>
                <w:bCs/>
                <w:noProof/>
                <w:sz w:val="20"/>
              </w:rPr>
            </w:pPr>
            <w:r>
              <w:rPr>
                <w:b/>
                <w:noProof/>
                <w:sz w:val="20"/>
              </w:rPr>
              <w:t>Najaar 2018</w:t>
            </w:r>
          </w:p>
          <w:p>
            <w:pPr>
              <w:spacing w:after="0"/>
              <w:jc w:val="center"/>
              <w:rPr>
                <w:b/>
                <w:bCs/>
                <w:noProof/>
                <w:sz w:val="20"/>
              </w:rPr>
            </w:pPr>
          </w:p>
          <w:p>
            <w:pPr>
              <w:spacing w:after="0"/>
              <w:jc w:val="center"/>
              <w:rPr>
                <w:b/>
                <w:bCs/>
                <w:noProof/>
                <w:sz w:val="20"/>
              </w:rPr>
            </w:pPr>
            <w:r>
              <w:rPr>
                <w:b/>
                <w:noProof/>
                <w:sz w:val="20"/>
              </w:rPr>
              <w:t>(miljoen EUR)</w:t>
            </w:r>
          </w:p>
        </w:tc>
        <w:tc>
          <w:tcPr>
            <w:tcW w:w="539"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Percentage van projectselectie</w:t>
            </w:r>
          </w:p>
        </w:tc>
        <w:tc>
          <w:tcPr>
            <w:tcW w:w="615"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Percentage van uitgaven</w:t>
            </w:r>
          </w:p>
        </w:tc>
      </w:tr>
      <w:tr>
        <w:trPr>
          <w:trHeight w:val="260"/>
        </w:trPr>
        <w:tc>
          <w:tcPr>
            <w:tcW w:w="769" w:type="pct"/>
            <w:vMerge/>
            <w:tcBorders>
              <w:left w:val="single" w:sz="4" w:space="0" w:color="auto"/>
              <w:right w:val="single" w:sz="4" w:space="0" w:color="auto"/>
            </w:tcBorders>
            <w:vAlign w:val="center"/>
            <w:hideMark/>
          </w:tcPr>
          <w:p>
            <w:pPr>
              <w:spacing w:after="0"/>
              <w:jc w:val="left"/>
              <w:rPr>
                <w:b/>
                <w:noProof/>
                <w:sz w:val="20"/>
              </w:rPr>
            </w:pPr>
          </w:p>
        </w:tc>
        <w:tc>
          <w:tcPr>
            <w:tcW w:w="692"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2014-2020</w:t>
            </w:r>
          </w:p>
        </w:tc>
        <w:tc>
          <w:tcPr>
            <w:tcW w:w="693" w:type="pct"/>
            <w:tcBorders>
              <w:left w:val="single" w:sz="4" w:space="0" w:color="auto"/>
              <w:right w:val="single" w:sz="4" w:space="0" w:color="auto"/>
            </w:tcBorders>
            <w:shd w:val="clear" w:color="000000" w:fill="8DB4E2"/>
            <w:vAlign w:val="center"/>
          </w:tcPr>
          <w:p>
            <w:pPr>
              <w:spacing w:after="0"/>
              <w:jc w:val="center"/>
              <w:rPr>
                <w:b/>
                <w:bCs/>
                <w:noProof/>
                <w:sz w:val="20"/>
              </w:rPr>
            </w:pPr>
            <w:r>
              <w:rPr>
                <w:b/>
                <w:noProof/>
                <w:sz w:val="20"/>
              </w:rPr>
              <w:t>(EU &amp; nationaal)</w:t>
            </w:r>
          </w:p>
        </w:tc>
        <w:tc>
          <w:tcPr>
            <w:tcW w:w="846"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 xml:space="preserve">Najaar 2018 </w:t>
            </w:r>
          </w:p>
        </w:tc>
        <w:tc>
          <w:tcPr>
            <w:tcW w:w="846" w:type="pct"/>
            <w:vMerge/>
            <w:tcBorders>
              <w:left w:val="single" w:sz="4" w:space="0" w:color="auto"/>
              <w:bottom w:val="single" w:sz="4" w:space="0" w:color="auto"/>
              <w:right w:val="single" w:sz="4" w:space="0" w:color="auto"/>
            </w:tcBorders>
            <w:shd w:val="clear" w:color="auto" w:fill="8DB3E2" w:themeFill="text2" w:themeFillTint="66"/>
            <w:hideMark/>
          </w:tcPr>
          <w:p>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615"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70"/>
        </w:trPr>
        <w:tc>
          <w:tcPr>
            <w:tcW w:w="769" w:type="pct"/>
            <w:vMerge/>
            <w:tcBorders>
              <w:left w:val="single" w:sz="4" w:space="0" w:color="auto"/>
              <w:bottom w:val="single" w:sz="4" w:space="0" w:color="auto"/>
              <w:right w:val="single" w:sz="4" w:space="0" w:color="auto"/>
            </w:tcBorders>
            <w:vAlign w:val="center"/>
            <w:hideMark/>
          </w:tcPr>
          <w:p>
            <w:pPr>
              <w:spacing w:after="0"/>
              <w:jc w:val="left"/>
              <w:rPr>
                <w:b/>
                <w:noProof/>
                <w:sz w:val="20"/>
              </w:rPr>
            </w:pPr>
          </w:p>
        </w:tc>
        <w:tc>
          <w:tcPr>
            <w:tcW w:w="692" w:type="pct"/>
            <w:tcBorders>
              <w:left w:val="single" w:sz="4" w:space="0" w:color="auto"/>
              <w:bottom w:val="single" w:sz="4" w:space="0" w:color="auto"/>
              <w:right w:val="single" w:sz="4" w:space="0" w:color="auto"/>
            </w:tcBorders>
            <w:shd w:val="clear" w:color="000000" w:fill="8DB4E2"/>
            <w:vAlign w:val="center"/>
          </w:tcPr>
          <w:p>
            <w:pPr>
              <w:spacing w:after="0"/>
              <w:jc w:val="center"/>
              <w:rPr>
                <w:b/>
                <w:bCs/>
                <w:noProof/>
                <w:sz w:val="20"/>
              </w:rPr>
            </w:pPr>
            <w:r>
              <w:rPr>
                <w:b/>
                <w:noProof/>
                <w:sz w:val="20"/>
              </w:rPr>
              <w:t>(miljoen EUR)</w:t>
            </w:r>
          </w:p>
        </w:tc>
        <w:tc>
          <w:tcPr>
            <w:tcW w:w="693" w:type="pct"/>
            <w:tcBorders>
              <w:left w:val="single" w:sz="4" w:space="0" w:color="auto"/>
              <w:bottom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(miljoen EUR)</w:t>
            </w:r>
          </w:p>
        </w:tc>
        <w:tc>
          <w:tcPr>
            <w:tcW w:w="846" w:type="pct"/>
            <w:tcBorders>
              <w:left w:val="single" w:sz="4" w:space="0" w:color="auto"/>
              <w:bottom w:val="single" w:sz="4" w:space="0" w:color="auto"/>
              <w:right w:val="single" w:sz="4" w:space="0" w:color="auto"/>
            </w:tcBorders>
            <w:shd w:val="clear" w:color="000000" w:fill="8DB4E2"/>
            <w:vAlign w:val="center"/>
          </w:tcPr>
          <w:p>
            <w:pPr>
              <w:spacing w:after="0"/>
              <w:jc w:val="center"/>
              <w:rPr>
                <w:b/>
                <w:noProof/>
                <w:sz w:val="20"/>
              </w:rPr>
            </w:pPr>
            <w:r>
              <w:rPr>
                <w:b/>
                <w:noProof/>
                <w:sz w:val="20"/>
              </w:rPr>
              <w:t>(miljoen EUR)</w:t>
            </w:r>
          </w:p>
        </w:tc>
        <w:tc>
          <w:tcPr>
            <w:tcW w:w="846" w:type="pct"/>
            <w:vMerge/>
            <w:tcBorders>
              <w:left w:val="single" w:sz="4" w:space="0" w:color="auto"/>
              <w:bottom w:val="single" w:sz="4" w:space="0" w:color="auto"/>
              <w:right w:val="single" w:sz="4" w:space="0" w:color="auto"/>
            </w:tcBorders>
            <w:vAlign w:val="center"/>
            <w:hideMark/>
          </w:tcPr>
          <w:p>
            <w:pPr>
              <w:spacing w:after="0"/>
              <w:jc w:val="left"/>
              <w:rPr>
                <w:b/>
                <w:bCs/>
                <w:noProof/>
                <w:sz w:val="20"/>
              </w:rPr>
            </w:pPr>
          </w:p>
        </w:tc>
        <w:tc>
          <w:tcPr>
            <w:tcW w:w="539" w:type="pct"/>
            <w:tcBorders>
              <w:left w:val="single" w:sz="4" w:space="0" w:color="auto"/>
              <w:bottom w:val="single" w:sz="4" w:space="0" w:color="auto"/>
              <w:right w:val="single" w:sz="4" w:space="0" w:color="auto"/>
            </w:tcBorders>
            <w:shd w:val="clear" w:color="auto" w:fill="8DB3E2" w:themeFill="text2" w:themeFillTint="66"/>
          </w:tcPr>
          <w:p>
            <w:pPr>
              <w:spacing w:after="0"/>
              <w:jc w:val="left"/>
              <w:rPr>
                <w:b/>
                <w:bCs/>
                <w:noProof/>
                <w:sz w:val="20"/>
              </w:rPr>
            </w:pPr>
          </w:p>
        </w:tc>
        <w:tc>
          <w:tcPr>
            <w:tcW w:w="615" w:type="pct"/>
            <w:tcBorders>
              <w:left w:val="single" w:sz="4" w:space="0" w:color="auto"/>
              <w:bottom w:val="single" w:sz="4" w:space="0" w:color="auto"/>
              <w:right w:val="single" w:sz="4" w:space="0" w:color="auto"/>
            </w:tcBorders>
            <w:shd w:val="clear" w:color="auto" w:fill="8DB3E2" w:themeFill="text2" w:themeFillTint="66"/>
          </w:tcPr>
          <w:p>
            <w:pPr>
              <w:spacing w:after="0"/>
              <w:jc w:val="left"/>
              <w:rPr>
                <w:b/>
                <w:bCs/>
                <w:noProof/>
                <w:sz w:val="20"/>
              </w:rPr>
            </w:pP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Oostenrijk</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4 922,9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10 649,8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5 877,1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3 902,1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36,6 %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België</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2 741,7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6 088,8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4 600,0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1 264,7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75,5 %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20,8 %</w:t>
            </w:r>
          </w:p>
        </w:tc>
      </w:tr>
      <w:tr>
        <w:trPr>
          <w:trHeight w:val="27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Bulgarije</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9 876,1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11 726,4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7 787,0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2 585,5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66,4 %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22,0 %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Kroatië</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917,3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1 169,7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683,2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265,2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58,4 %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22,7 %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Cyprus</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23 786,3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33 309,7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19 187,0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6 327,1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19,0 %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Tsjechië</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27 935,0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44 742,6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28 170,5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12 675,1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63,0 %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28,3 %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Denemarken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1 546,8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2 264,8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1 380,7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539,6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61,0 %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23,8 %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Estland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4 423,5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5 965,7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3 919,6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1 631,7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65,7 %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27,4 %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Finland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39 589,2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55 795,8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24 438,0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7 295,3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43,8 %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13,1 %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Frankrijk</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3 765,0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8 435,2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6 070,1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3 907,6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46,3 %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Duitsland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27 277,4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46 088,0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25 764,2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12 114,3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26,3 %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Griekenland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21 382,0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26 662,1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16 087,8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5 216,1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60,3 %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19,6 %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Hongarije</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10 727,4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12 649,1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7 277,4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1 753,8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13,9 %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Ierland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25 013,9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29 649,6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29 948,3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6 274,2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101,0 %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21,2 %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Italië</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3 361,6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6 139,7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4 264,0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2 174,2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69,4 %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35,4 %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Letland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44 656,1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76 108,9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42 318,4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10 848,5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14,3 %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Litouwen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8 385,9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9 947,2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6 251,2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2 706,0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27,2 %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Luxemburg</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140,1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456,4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249,3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181,4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54,6 %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39,7 %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Malta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5 633,7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6 907,2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4 872,6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1 677,4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24,3 %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Nederland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827,9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1 023,9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879,0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145,1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85,9 %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14,2 %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Polen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1 947,4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3 802,6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2 754,5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1 088,1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72,4 %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28,6 %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Portugal</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86 111,6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104 913,3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68 297,0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21 706,6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65,1 %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20,7 %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Roemenië</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25 856,1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32 752,8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25 602,6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9 843,2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78,2 %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30,1 %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Slowakije</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30 882,6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37 527,5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18 919,2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6 299,6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50,4 %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16,8 %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Slovenië</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3 626,7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8 052,7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5 023,8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2 556,0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31,7 %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Spanje</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3 930,6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4 958,0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3 076,0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1 081,0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21,8 %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Zweden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15 260,4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19 519,9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12 678,1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3 217,6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64,9 %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16,5 %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Interreg</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9 335,4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12 540,0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9 024,9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1 416,3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Verenigd Koninkrijk</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16 470,8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26 810,6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19 243,1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6 719,0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71,8 %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25,1 %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pPr>
              <w:spacing w:before="120" w:after="120"/>
              <w:jc w:val="left"/>
              <w:rPr>
                <w:b/>
                <w:bCs/>
                <w:noProof/>
                <w:sz w:val="20"/>
              </w:rPr>
            </w:pPr>
            <w:r>
              <w:rPr>
                <w:b/>
                <w:noProof/>
                <w:sz w:val="20"/>
              </w:rPr>
              <w:t>Algemeen totaal</w:t>
            </w:r>
          </w:p>
        </w:tc>
        <w:tc>
          <w:tcPr>
            <w:tcW w:w="692" w:type="pct"/>
            <w:tcBorders>
              <w:top w:val="single" w:sz="4" w:space="0" w:color="auto"/>
              <w:left w:val="nil"/>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460 331,4</w:t>
            </w:r>
          </w:p>
        </w:tc>
        <w:tc>
          <w:tcPr>
            <w:tcW w:w="693"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646 657,9</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404 644,6</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137 412,5</w:t>
            </w:r>
          </w:p>
        </w:tc>
        <w:tc>
          <w:tcPr>
            <w:tcW w:w="53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pPr>
              <w:spacing w:before="120" w:after="120"/>
              <w:jc w:val="left"/>
              <w:rPr>
                <w:b/>
                <w:bCs/>
                <w:noProof/>
                <w:sz w:val="20"/>
              </w:rPr>
            </w:pPr>
            <w:r>
              <w:rPr>
                <w:b/>
                <w:noProof/>
                <w:sz w:val="20"/>
              </w:rPr>
              <w:t>62,6 %</w:t>
            </w:r>
          </w:p>
        </w:tc>
        <w:tc>
          <w:tcPr>
            <w:tcW w:w="61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pPr>
              <w:spacing w:before="120" w:after="120"/>
              <w:jc w:val="left"/>
              <w:rPr>
                <w:b/>
                <w:bCs/>
                <w:noProof/>
                <w:sz w:val="20"/>
              </w:rPr>
            </w:pPr>
            <w:r>
              <w:rPr>
                <w:b/>
                <w:noProof/>
                <w:sz w:val="20"/>
              </w:rPr>
              <w:t>21,2 %</w:t>
            </w:r>
          </w:p>
        </w:tc>
      </w:tr>
    </w:tbl>
    <w:p>
      <w:pPr>
        <w:rPr>
          <w:i/>
          <w:noProof/>
          <w:sz w:val="20"/>
        </w:rPr>
      </w:pPr>
      <w:r>
        <w:rPr>
          <w:i/>
          <w:noProof/>
          <w:sz w:val="20"/>
        </w:rPr>
        <w:t xml:space="preserve">Bron: Europese Commissie, op basis van door de programma's gerapporteerde gegevens beschikbaar op ESIF Open Data </w:t>
      </w:r>
      <w:r>
        <w:rPr>
          <w:rStyle w:val="Hyperlink"/>
          <w:i/>
          <w:noProof/>
          <w:sz w:val="20"/>
        </w:rPr>
        <w:t>https://cohesiondata.ec.europa.eu/d/99js-gm52</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BIJLAGE 3</w:t>
      </w:r>
    </w:p>
    <w:p>
      <w:pPr>
        <w:pStyle w:val="ListParagraph"/>
        <w:spacing w:after="0"/>
        <w:ind w:left="0"/>
        <w:contextualSpacing w:val="0"/>
        <w:jc w:val="center"/>
        <w:outlineLvl w:val="0"/>
        <w:rPr>
          <w:b/>
          <w:noProof/>
        </w:rPr>
      </w:pPr>
      <w:r>
        <w:rPr>
          <w:b/>
          <w:noProof/>
        </w:rPr>
        <w:t>ESI-fondsen – geplande bedragen voor klimaatdoelstellingen en selectiepercentages aan het eind van 2017</w:t>
      </w:r>
    </w:p>
    <w:p>
      <w:pPr>
        <w:rPr>
          <w:noProof/>
          <w:sz w:val="20"/>
        </w:rPr>
      </w:pPr>
    </w:p>
    <w:tbl>
      <w:tblPr>
        <w:tblW w:w="9214" w:type="dxa"/>
        <w:tblInd w:w="108" w:type="dxa"/>
        <w:tblLayout w:type="fixed"/>
        <w:tblLook w:val="04A0" w:firstRow="1" w:lastRow="0" w:firstColumn="1" w:lastColumn="0" w:noHBand="0" w:noVBand="1"/>
      </w:tblPr>
      <w:tblGrid>
        <w:gridCol w:w="1028"/>
        <w:gridCol w:w="1099"/>
        <w:gridCol w:w="1134"/>
        <w:gridCol w:w="992"/>
        <w:gridCol w:w="1559"/>
        <w:gridCol w:w="1701"/>
        <w:gridCol w:w="1701"/>
      </w:tblGrid>
      <w:tr>
        <w:trPr>
          <w:trHeight w:val="15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pPr>
              <w:spacing w:after="0"/>
              <w:jc w:val="center"/>
              <w:rPr>
                <w:b/>
                <w:noProof/>
                <w:color w:val="000000"/>
                <w:sz w:val="22"/>
                <w:szCs w:val="22"/>
              </w:rPr>
            </w:pPr>
            <w:r>
              <w:rPr>
                <w:b/>
                <w:noProof/>
                <w:color w:val="000000"/>
                <w:sz w:val="22"/>
              </w:rPr>
              <w:t>Fonds</w:t>
            </w:r>
          </w:p>
        </w:tc>
        <w:tc>
          <w:tcPr>
            <w:tcW w:w="109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Totaal gepland EU-bedrag</w:t>
            </w:r>
          </w:p>
        </w:tc>
        <w:tc>
          <w:tcPr>
            <w:tcW w:w="2126"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Totaal gepland EU-bedrag voor klimaatverandering</w:t>
            </w:r>
          </w:p>
        </w:tc>
        <w:tc>
          <w:tcPr>
            <w:tcW w:w="155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Totaal geselecteerd eind 2017 (geraamd EU-percentage)</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waarvan toegewezen aan acties op het gebied van klimaatverandering</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Selectiepercentage van klimaatacties ten opzichte van alle geselecteerde activiteiten (2017)</w:t>
            </w:r>
          </w:p>
        </w:tc>
      </w:tr>
      <w:tr>
        <w:trPr>
          <w:trHeight w:val="600"/>
        </w:trPr>
        <w:tc>
          <w:tcPr>
            <w:tcW w:w="1028"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pPr>
              <w:spacing w:after="0"/>
              <w:jc w:val="left"/>
              <w:rPr>
                <w:b/>
                <w:noProof/>
                <w:color w:val="000000"/>
                <w:sz w:val="22"/>
                <w:szCs w:val="22"/>
              </w:rPr>
            </w:pPr>
            <w:r>
              <w:rPr>
                <w:b/>
                <w:noProof/>
                <w:color w:val="000000"/>
                <w:sz w:val="22"/>
              </w:rPr>
              <w:t> </w:t>
            </w:r>
          </w:p>
        </w:tc>
        <w:tc>
          <w:tcPr>
            <w:tcW w:w="1099"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(miljard EUR)</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(miljard EUR)</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w:t>
            </w:r>
          </w:p>
        </w:tc>
        <w:tc>
          <w:tcPr>
            <w:tcW w:w="1559"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(miljard EUR)</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(miljard EUR)</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CF</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63,3</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17,4</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28 %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40,4</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10,5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26 %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Elfpo</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99,8</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57,5</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58 %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50,0</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21,5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43 %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EFMZV</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5,7</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1,0</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18 %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1,3</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0,95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72 %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EFRO</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199,0</w:t>
            </w:r>
          </w:p>
        </w:tc>
        <w:tc>
          <w:tcPr>
            <w:tcW w:w="1134" w:type="dxa"/>
            <w:tcBorders>
              <w:top w:val="nil"/>
              <w:left w:val="nil"/>
              <w:bottom w:val="single" w:sz="4" w:space="0" w:color="auto"/>
              <w:right w:val="single" w:sz="4" w:space="0" w:color="auto"/>
            </w:tcBorders>
            <w:shd w:val="clear" w:color="auto" w:fill="auto"/>
            <w:noWrap/>
            <w:hideMark/>
          </w:tcPr>
          <w:p>
            <w:pPr>
              <w:tabs>
                <w:tab w:val="center" w:pos="459"/>
                <w:tab w:val="right" w:pos="918"/>
              </w:tabs>
              <w:spacing w:after="0"/>
              <w:jc w:val="right"/>
              <w:rPr>
                <w:noProof/>
                <w:color w:val="000000"/>
                <w:sz w:val="22"/>
                <w:szCs w:val="22"/>
              </w:rPr>
            </w:pPr>
            <w:r>
              <w:rPr>
                <w:noProof/>
                <w:color w:val="000000"/>
                <w:sz w:val="22"/>
              </w:rPr>
              <w:t>38,2</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19 %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105,0</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15,4</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15 %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ESF/ Jongerenwerkgelegenheidsinitiatief</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92,8</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1,1</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1 %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54,5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2,9</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5 %</w:t>
            </w:r>
          </w:p>
        </w:tc>
      </w:tr>
      <w:tr>
        <w:trPr>
          <w:trHeight w:val="3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pPr>
              <w:spacing w:before="120" w:after="120"/>
              <w:jc w:val="left"/>
              <w:rPr>
                <w:b/>
                <w:bCs/>
                <w:noProof/>
                <w:sz w:val="20"/>
              </w:rPr>
            </w:pPr>
            <w:r>
              <w:rPr>
                <w:b/>
                <w:noProof/>
                <w:sz w:val="20"/>
              </w:rPr>
              <w:t>Totaal</w:t>
            </w:r>
          </w:p>
        </w:tc>
        <w:tc>
          <w:tcPr>
            <w:tcW w:w="109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460,7</w:t>
            </w:r>
          </w:p>
        </w:tc>
        <w:tc>
          <w:tcPr>
            <w:tcW w:w="1134"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115,3</w:t>
            </w:r>
          </w:p>
        </w:tc>
        <w:tc>
          <w:tcPr>
            <w:tcW w:w="992"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25 %</w:t>
            </w:r>
          </w:p>
        </w:tc>
        <w:tc>
          <w:tcPr>
            <w:tcW w:w="155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251,2</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51,3</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20 %</w:t>
            </w:r>
          </w:p>
        </w:tc>
      </w:tr>
    </w:tbl>
    <w:p>
      <w:pPr>
        <w:rPr>
          <w:i/>
          <w:noProof/>
          <w:sz w:val="20"/>
        </w:rPr>
      </w:pPr>
      <w:r>
        <w:rPr>
          <w:i/>
          <w:noProof/>
          <w:sz w:val="20"/>
        </w:rPr>
        <w:t>Bron: Europese Commissie</w:t>
      </w:r>
    </w:p>
    <w:sectPr>
      <w:headerReference w:type="even" r:id="rId19"/>
      <w:headerReference w:type="default" r:id="rId20"/>
      <w:footerReference w:type="even" r:id="rId21"/>
      <w:footerReference w:type="default" r:id="rId22"/>
      <w:headerReference w:type="first" r:id="rId23"/>
      <w:footerReference w:type="first" r:id="rId24"/>
      <w:pgSz w:w="11906" w:h="16838"/>
      <w:pgMar w:top="1021" w:right="1701" w:bottom="1021" w:left="1588"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57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432656"/>
    <w:multiLevelType w:val="multilevel"/>
    <w:tmpl w:val="2DB0FF5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408"/>
        </w:tabs>
        <w:ind w:left="1408"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8"/>
  </w:num>
  <w:num w:numId="5">
    <w:abstractNumId w:val="11"/>
  </w:num>
  <w:num w:numId="6">
    <w:abstractNumId w:val="8"/>
  </w:num>
  <w:num w:numId="7">
    <w:abstractNumId w:val="5"/>
  </w:num>
  <w:num w:numId="8">
    <w:abstractNumId w:val="4"/>
  </w:num>
  <w:num w:numId="9">
    <w:abstractNumId w:val="22"/>
  </w:num>
  <w:num w:numId="10">
    <w:abstractNumId w:val="24"/>
  </w:num>
  <w:num w:numId="11">
    <w:abstractNumId w:val="23"/>
  </w:num>
  <w:num w:numId="12">
    <w:abstractNumId w:val="28"/>
  </w:num>
  <w:num w:numId="13">
    <w:abstractNumId w:val="7"/>
  </w:num>
  <w:num w:numId="14">
    <w:abstractNumId w:val="12"/>
  </w:num>
  <w:num w:numId="15">
    <w:abstractNumId w:val="15"/>
  </w:num>
  <w:num w:numId="16">
    <w:abstractNumId w:val="13"/>
  </w:num>
  <w:num w:numId="17">
    <w:abstractNumId w:val="2"/>
  </w:num>
  <w:num w:numId="18">
    <w:abstractNumId w:val="16"/>
  </w:num>
  <w:num w:numId="19">
    <w:abstractNumId w:val="29"/>
  </w:num>
  <w:num w:numId="20">
    <w:abstractNumId w:val="25"/>
  </w:num>
  <w:num w:numId="21">
    <w:abstractNumId w:val="20"/>
  </w:num>
  <w:num w:numId="22">
    <w:abstractNumId w:val="27"/>
  </w:num>
  <w:num w:numId="23">
    <w:abstractNumId w:val="14"/>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31"/>
  </w:num>
  <w:num w:numId="33">
    <w:abstractNumId w:val="10"/>
  </w:num>
  <w:num w:numId="34">
    <w:abstractNumId w:val="3"/>
  </w:num>
  <w:num w:numId="35">
    <w:abstractNumId w:val="26"/>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9"/>
  </w:num>
  <w:num w:numId="43">
    <w:abstractNumId w:val="17"/>
  </w:num>
  <w:num w:numId="44">
    <w:abstractNumId w:val="30"/>
  </w:num>
  <w:num w:numId="45">
    <w:abstractNumId w:val="19"/>
  </w:num>
  <w:num w:numId="46">
    <w:abstractNumId w:val="6"/>
  </w:num>
  <w:num w:numId="47">
    <w:abstractNumId w:val="21"/>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ACCOMPAGNANT.CP" w:val="bij"/>
    <w:docVar w:name="LW_ANNEX_NBR_FIRST" w:val="1"/>
    <w:docVar w:name="LW_ANNEX_NBR_LAST" w:val="3"/>
    <w:docVar w:name="LW_ANNEX_UNIQUE" w:val="0"/>
    <w:docVar w:name="LW_CORRIGENDUM" w:val="&lt;UNUSED&gt;"/>
    <w:docVar w:name="LW_COVERPAGE_EXISTS" w:val="True"/>
    <w:docVar w:name="LW_COVERPAGE_GUID" w:val="B896B4E8-D5AD-4AFF-97F3-B76D0B2798E4"/>
    <w:docVar w:name="LW_COVERPAGE_TYPE" w:val="1"/>
    <w:docVar w:name="LW_CROSSREFERENCE" w:val="&lt;UNUSED&gt;"/>
    <w:docVar w:name="LW_DocType" w:val="NOT"/>
    <w:docVar w:name="LW_EMISSION" w:val="19.12.2018"/>
    <w:docVar w:name="LW_EMISSION_ISODATE" w:val="2018-12-19"/>
    <w:docVar w:name="LW_EMISSION_LOCATION" w:val="BRX"/>
    <w:docVar w:name="LW_EMISSION_PREFIX" w:val="Brussel, "/>
    <w:docVar w:name="LW_EMISSION_SUFFIX" w:val=" "/>
    <w:docVar w:name="LW_ID_DOCTYPE_NONLW" w:val="CP-039"/>
    <w:docVar w:name="LW_LANGUE" w:val="NL"/>
    <w:docVar w:name="LW_LEVEL_OF_SENSITIVITY" w:val="Standard treatment"/>
    <w:docVar w:name="LW_NOM.INST" w:val="EUROPESE COMMISSIE"/>
    <w:docVar w:name="LW_NOM.INST_JOINTDOC" w:val="&lt;EMPTY&gt;"/>
    <w:docVar w:name="LW_OBJETACTEPRINCIPAL.CP" w:val="Europese structuur- en investeringsfondsen 2014-2020_x000b_Samenvattend verslag van 2018 over de jaarlijkse uitvoeringsverslagen van de programma's voor de periode 2014-2017_x000b_"/>
    <w:docVar w:name="LW_PART_NBR" w:val="&lt;UNUSED&gt;"/>
    <w:docVar w:name="LW_PART_NBR_TOTAL" w:val="&lt;UNUSED&gt;"/>
    <w:docVar w:name="LW_REF.INST.NEW" w:val="COM"/>
    <w:docVar w:name="LW_REF.INST.NEW_ADOPTED" w:val="final"/>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JLAGE_x000b_"/>
    <w:docVar w:name="LW_TYPEACTEPRINCIPAL.CP" w:val="VERSLAG VAN DE COMMISSIE AAN HET EUROPEES PARLEMENT, DE RAAD, HET EUROPEES ECONOMISCH EN SOCIAAL COMITÉ EN HET COMITÉ VAN DE REGIO'S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autoRedefine/>
    <w:qFormat/>
    <w:pPr>
      <w:keepNext/>
      <w:numPr>
        <w:numId w:val="3"/>
      </w:numPr>
      <w:spacing w:before="240"/>
      <w:outlineLvl w:val="0"/>
    </w:pPr>
    <w:rPr>
      <w:b/>
      <w:smallCaps/>
    </w:rPr>
  </w:style>
  <w:style w:type="paragraph" w:styleId="Heading2">
    <w:name w:val="heading 2"/>
    <w:basedOn w:val="Normal"/>
    <w:next w:val="Text2"/>
    <w:autoRedefine/>
    <w:qFormat/>
    <w:pPr>
      <w:keepNext/>
      <w:numPr>
        <w:ilvl w:val="1"/>
        <w:numId w:val="3"/>
      </w:numPr>
      <w:spacing w:before="120"/>
      <w:outlineLvl w:val="1"/>
    </w:pPr>
    <w:rPr>
      <w:b/>
    </w:rPr>
  </w:style>
  <w:style w:type="paragraph" w:styleId="Heading3">
    <w:name w:val="heading 3"/>
    <w:basedOn w:val="Normal"/>
    <w:next w:val="Text3"/>
    <w:autoRedefine/>
    <w:qFormat/>
    <w:pPr>
      <w:keepNext/>
      <w:numPr>
        <w:ilvl w:val="2"/>
        <w:numId w:val="3"/>
      </w:numPr>
      <w:tabs>
        <w:tab w:val="clear" w:pos="1408"/>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nl-NL"/>
    </w:rPr>
  </w:style>
  <w:style w:type="character" w:customStyle="1" w:styleId="DateChar">
    <w:name w:val="Date Char"/>
    <w:link w:val="Date"/>
    <w:uiPriority w:val="99"/>
    <w:rPr>
      <w:sz w:val="24"/>
      <w:lang w:eastAsia="nl-NL"/>
    </w:rPr>
  </w:style>
  <w:style w:type="character" w:customStyle="1" w:styleId="SignatureChar">
    <w:name w:val="Signature Char"/>
    <w:link w:val="Signature"/>
    <w:uiPriority w:val="99"/>
    <w:rPr>
      <w:sz w:val="24"/>
      <w:lang w:eastAsia="nl-NL"/>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nl-NL"/>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nl-NL"/>
    </w:rPr>
  </w:style>
  <w:style w:type="character" w:customStyle="1" w:styleId="CommentSubjectChar">
    <w:name w:val="Comment Subject Char"/>
    <w:link w:val="CommentSubject"/>
    <w:uiPriority w:val="99"/>
    <w:semiHidden/>
    <w:rPr>
      <w:b/>
      <w:bCs/>
      <w:lang w:eastAsia="nl-N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styleId="Revision">
    <w:name w:val="Revision"/>
    <w:hidden/>
    <w:uiPriority w:val="99"/>
    <w:semiHidden/>
    <w:rPr>
      <w:sz w:val="24"/>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sz w:val="24"/>
      <w:lang w:eastAsia="nl-NL"/>
    </w:rPr>
  </w:style>
  <w:style w:type="character" w:customStyle="1" w:styleId="A1">
    <w:name w:val="A1"/>
    <w:uiPriority w:val="99"/>
    <w:rPr>
      <w:rFonts w:cs="Soho Pro"/>
      <w:b/>
      <w:bCs/>
      <w:color w:val="000000"/>
      <w:sz w:val="46"/>
      <w:szCs w:val="46"/>
    </w:rPr>
  </w:style>
  <w:style w:type="character" w:customStyle="1" w:styleId="FootnoteTextChar">
    <w:name w:val="Footnote Text Char"/>
    <w:link w:val="FootnoteText"/>
    <w:semiHidden/>
    <w:rPr>
      <w:lang w:eastAsia="nl-NL"/>
    </w:rPr>
  </w:style>
  <w:style w:type="paragraph" w:styleId="NoSpacing">
    <w:name w:val="No Spacing"/>
    <w:uiPriority w:val="1"/>
    <w:qFormat/>
    <w:pPr>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TitleChar">
    <w:name w:val="Title Char"/>
    <w:basedOn w:val="DefaultParagraphFont"/>
    <w:link w:val="Title"/>
    <w:rPr>
      <w:rFonts w:ascii="Arial" w:hAnsi="Arial"/>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autoRedefine/>
    <w:qFormat/>
    <w:pPr>
      <w:keepNext/>
      <w:numPr>
        <w:numId w:val="3"/>
      </w:numPr>
      <w:spacing w:before="240"/>
      <w:outlineLvl w:val="0"/>
    </w:pPr>
    <w:rPr>
      <w:b/>
      <w:smallCaps/>
    </w:rPr>
  </w:style>
  <w:style w:type="paragraph" w:styleId="Heading2">
    <w:name w:val="heading 2"/>
    <w:basedOn w:val="Normal"/>
    <w:next w:val="Text2"/>
    <w:autoRedefine/>
    <w:qFormat/>
    <w:pPr>
      <w:keepNext/>
      <w:numPr>
        <w:ilvl w:val="1"/>
        <w:numId w:val="3"/>
      </w:numPr>
      <w:spacing w:before="120"/>
      <w:outlineLvl w:val="1"/>
    </w:pPr>
    <w:rPr>
      <w:b/>
    </w:rPr>
  </w:style>
  <w:style w:type="paragraph" w:styleId="Heading3">
    <w:name w:val="heading 3"/>
    <w:basedOn w:val="Normal"/>
    <w:next w:val="Text3"/>
    <w:autoRedefine/>
    <w:qFormat/>
    <w:pPr>
      <w:keepNext/>
      <w:numPr>
        <w:ilvl w:val="2"/>
        <w:numId w:val="3"/>
      </w:numPr>
      <w:tabs>
        <w:tab w:val="clear" w:pos="1408"/>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nl-NL"/>
    </w:rPr>
  </w:style>
  <w:style w:type="character" w:customStyle="1" w:styleId="DateChar">
    <w:name w:val="Date Char"/>
    <w:link w:val="Date"/>
    <w:uiPriority w:val="99"/>
    <w:rPr>
      <w:sz w:val="24"/>
      <w:lang w:eastAsia="nl-NL"/>
    </w:rPr>
  </w:style>
  <w:style w:type="character" w:customStyle="1" w:styleId="SignatureChar">
    <w:name w:val="Signature Char"/>
    <w:link w:val="Signature"/>
    <w:uiPriority w:val="99"/>
    <w:rPr>
      <w:sz w:val="24"/>
      <w:lang w:eastAsia="nl-NL"/>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nl-NL"/>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nl-NL"/>
    </w:rPr>
  </w:style>
  <w:style w:type="character" w:customStyle="1" w:styleId="CommentSubjectChar">
    <w:name w:val="Comment Subject Char"/>
    <w:link w:val="CommentSubject"/>
    <w:uiPriority w:val="99"/>
    <w:semiHidden/>
    <w:rPr>
      <w:b/>
      <w:bCs/>
      <w:lang w:eastAsia="nl-N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styleId="Revision">
    <w:name w:val="Revision"/>
    <w:hidden/>
    <w:uiPriority w:val="99"/>
    <w:semiHidden/>
    <w:rPr>
      <w:sz w:val="24"/>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sz w:val="24"/>
      <w:lang w:eastAsia="nl-NL"/>
    </w:rPr>
  </w:style>
  <w:style w:type="character" w:customStyle="1" w:styleId="A1">
    <w:name w:val="A1"/>
    <w:uiPriority w:val="99"/>
    <w:rPr>
      <w:rFonts w:cs="Soho Pro"/>
      <w:b/>
      <w:bCs/>
      <w:color w:val="000000"/>
      <w:sz w:val="46"/>
      <w:szCs w:val="46"/>
    </w:rPr>
  </w:style>
  <w:style w:type="character" w:customStyle="1" w:styleId="FootnoteTextChar">
    <w:name w:val="Footnote Text Char"/>
    <w:link w:val="FootnoteText"/>
    <w:semiHidden/>
    <w:rPr>
      <w:lang w:eastAsia="nl-NL"/>
    </w:rPr>
  </w:style>
  <w:style w:type="paragraph" w:styleId="NoSpacing">
    <w:name w:val="No Spacing"/>
    <w:uiPriority w:val="1"/>
    <w:qFormat/>
    <w:pPr>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TitleChar">
    <w:name w:val="Title Char"/>
    <w:basedOn w:val="DefaultParagraphFont"/>
    <w:link w:val="Title"/>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3789">
      <w:bodyDiv w:val="1"/>
      <w:marLeft w:val="0"/>
      <w:marRight w:val="0"/>
      <w:marTop w:val="0"/>
      <w:marBottom w:val="0"/>
      <w:divBdr>
        <w:top w:val="none" w:sz="0" w:space="0" w:color="auto"/>
        <w:left w:val="none" w:sz="0" w:space="0" w:color="auto"/>
        <w:bottom w:val="none" w:sz="0" w:space="0" w:color="auto"/>
        <w:right w:val="none" w:sz="0" w:space="0" w:color="auto"/>
      </w:divBdr>
    </w:div>
    <w:div w:id="105395631">
      <w:bodyDiv w:val="1"/>
      <w:marLeft w:val="0"/>
      <w:marRight w:val="0"/>
      <w:marTop w:val="0"/>
      <w:marBottom w:val="0"/>
      <w:divBdr>
        <w:top w:val="none" w:sz="0" w:space="0" w:color="auto"/>
        <w:left w:val="none" w:sz="0" w:space="0" w:color="auto"/>
        <w:bottom w:val="none" w:sz="0" w:space="0" w:color="auto"/>
        <w:right w:val="none" w:sz="0" w:space="0" w:color="auto"/>
      </w:divBdr>
    </w:div>
    <w:div w:id="264653264">
      <w:bodyDiv w:val="1"/>
      <w:marLeft w:val="0"/>
      <w:marRight w:val="0"/>
      <w:marTop w:val="0"/>
      <w:marBottom w:val="0"/>
      <w:divBdr>
        <w:top w:val="none" w:sz="0" w:space="0" w:color="auto"/>
        <w:left w:val="none" w:sz="0" w:space="0" w:color="auto"/>
        <w:bottom w:val="none" w:sz="0" w:space="0" w:color="auto"/>
        <w:right w:val="none" w:sz="0" w:space="0" w:color="auto"/>
      </w:divBdr>
    </w:div>
    <w:div w:id="341202234">
      <w:bodyDiv w:val="1"/>
      <w:marLeft w:val="0"/>
      <w:marRight w:val="0"/>
      <w:marTop w:val="0"/>
      <w:marBottom w:val="0"/>
      <w:divBdr>
        <w:top w:val="none" w:sz="0" w:space="0" w:color="auto"/>
        <w:left w:val="none" w:sz="0" w:space="0" w:color="auto"/>
        <w:bottom w:val="none" w:sz="0" w:space="0" w:color="auto"/>
        <w:right w:val="none" w:sz="0" w:space="0" w:color="auto"/>
      </w:divBdr>
    </w:div>
    <w:div w:id="379743353">
      <w:bodyDiv w:val="1"/>
      <w:marLeft w:val="0"/>
      <w:marRight w:val="0"/>
      <w:marTop w:val="0"/>
      <w:marBottom w:val="0"/>
      <w:divBdr>
        <w:top w:val="none" w:sz="0" w:space="0" w:color="auto"/>
        <w:left w:val="none" w:sz="0" w:space="0" w:color="auto"/>
        <w:bottom w:val="none" w:sz="0" w:space="0" w:color="auto"/>
        <w:right w:val="none" w:sz="0" w:space="0" w:color="auto"/>
      </w:divBdr>
    </w:div>
    <w:div w:id="409499115">
      <w:bodyDiv w:val="1"/>
      <w:marLeft w:val="0"/>
      <w:marRight w:val="0"/>
      <w:marTop w:val="0"/>
      <w:marBottom w:val="0"/>
      <w:divBdr>
        <w:top w:val="none" w:sz="0" w:space="0" w:color="auto"/>
        <w:left w:val="none" w:sz="0" w:space="0" w:color="auto"/>
        <w:bottom w:val="none" w:sz="0" w:space="0" w:color="auto"/>
        <w:right w:val="none" w:sz="0" w:space="0" w:color="auto"/>
      </w:divBdr>
    </w:div>
    <w:div w:id="552624649">
      <w:bodyDiv w:val="1"/>
      <w:marLeft w:val="0"/>
      <w:marRight w:val="0"/>
      <w:marTop w:val="0"/>
      <w:marBottom w:val="0"/>
      <w:divBdr>
        <w:top w:val="none" w:sz="0" w:space="0" w:color="auto"/>
        <w:left w:val="none" w:sz="0" w:space="0" w:color="auto"/>
        <w:bottom w:val="none" w:sz="0" w:space="0" w:color="auto"/>
        <w:right w:val="none" w:sz="0" w:space="0" w:color="auto"/>
      </w:divBdr>
    </w:div>
    <w:div w:id="668405891">
      <w:bodyDiv w:val="1"/>
      <w:marLeft w:val="0"/>
      <w:marRight w:val="0"/>
      <w:marTop w:val="0"/>
      <w:marBottom w:val="0"/>
      <w:divBdr>
        <w:top w:val="none" w:sz="0" w:space="0" w:color="auto"/>
        <w:left w:val="none" w:sz="0" w:space="0" w:color="auto"/>
        <w:bottom w:val="none" w:sz="0" w:space="0" w:color="auto"/>
        <w:right w:val="none" w:sz="0" w:space="0" w:color="auto"/>
      </w:divBdr>
    </w:div>
    <w:div w:id="830559506">
      <w:bodyDiv w:val="1"/>
      <w:marLeft w:val="0"/>
      <w:marRight w:val="0"/>
      <w:marTop w:val="0"/>
      <w:marBottom w:val="0"/>
      <w:divBdr>
        <w:top w:val="none" w:sz="0" w:space="0" w:color="auto"/>
        <w:left w:val="none" w:sz="0" w:space="0" w:color="auto"/>
        <w:bottom w:val="none" w:sz="0" w:space="0" w:color="auto"/>
        <w:right w:val="none" w:sz="0" w:space="0" w:color="auto"/>
      </w:divBdr>
    </w:div>
    <w:div w:id="998848848">
      <w:bodyDiv w:val="1"/>
      <w:marLeft w:val="0"/>
      <w:marRight w:val="0"/>
      <w:marTop w:val="0"/>
      <w:marBottom w:val="0"/>
      <w:divBdr>
        <w:top w:val="none" w:sz="0" w:space="0" w:color="auto"/>
        <w:left w:val="none" w:sz="0" w:space="0" w:color="auto"/>
        <w:bottom w:val="none" w:sz="0" w:space="0" w:color="auto"/>
        <w:right w:val="none" w:sz="0" w:space="0" w:color="auto"/>
      </w:divBdr>
    </w:div>
    <w:div w:id="1053314550">
      <w:bodyDiv w:val="1"/>
      <w:marLeft w:val="0"/>
      <w:marRight w:val="0"/>
      <w:marTop w:val="0"/>
      <w:marBottom w:val="0"/>
      <w:divBdr>
        <w:top w:val="none" w:sz="0" w:space="0" w:color="auto"/>
        <w:left w:val="none" w:sz="0" w:space="0" w:color="auto"/>
        <w:bottom w:val="none" w:sz="0" w:space="0" w:color="auto"/>
        <w:right w:val="none" w:sz="0" w:space="0" w:color="auto"/>
      </w:divBdr>
    </w:div>
    <w:div w:id="1073697664">
      <w:bodyDiv w:val="1"/>
      <w:marLeft w:val="0"/>
      <w:marRight w:val="0"/>
      <w:marTop w:val="0"/>
      <w:marBottom w:val="0"/>
      <w:divBdr>
        <w:top w:val="none" w:sz="0" w:space="0" w:color="auto"/>
        <w:left w:val="none" w:sz="0" w:space="0" w:color="auto"/>
        <w:bottom w:val="none" w:sz="0" w:space="0" w:color="auto"/>
        <w:right w:val="none" w:sz="0" w:space="0" w:color="auto"/>
      </w:divBdr>
    </w:div>
    <w:div w:id="1237130920">
      <w:bodyDiv w:val="1"/>
      <w:marLeft w:val="0"/>
      <w:marRight w:val="0"/>
      <w:marTop w:val="0"/>
      <w:marBottom w:val="0"/>
      <w:divBdr>
        <w:top w:val="none" w:sz="0" w:space="0" w:color="auto"/>
        <w:left w:val="none" w:sz="0" w:space="0" w:color="auto"/>
        <w:bottom w:val="none" w:sz="0" w:space="0" w:color="auto"/>
        <w:right w:val="none" w:sz="0" w:space="0" w:color="auto"/>
      </w:divBdr>
    </w:div>
    <w:div w:id="1402754758">
      <w:bodyDiv w:val="1"/>
      <w:marLeft w:val="0"/>
      <w:marRight w:val="0"/>
      <w:marTop w:val="0"/>
      <w:marBottom w:val="0"/>
      <w:divBdr>
        <w:top w:val="none" w:sz="0" w:space="0" w:color="auto"/>
        <w:left w:val="none" w:sz="0" w:space="0" w:color="auto"/>
        <w:bottom w:val="none" w:sz="0" w:space="0" w:color="auto"/>
        <w:right w:val="none" w:sz="0" w:space="0" w:color="auto"/>
      </w:divBdr>
    </w:div>
    <w:div w:id="1559366801">
      <w:bodyDiv w:val="1"/>
      <w:marLeft w:val="0"/>
      <w:marRight w:val="0"/>
      <w:marTop w:val="0"/>
      <w:marBottom w:val="0"/>
      <w:divBdr>
        <w:top w:val="none" w:sz="0" w:space="0" w:color="auto"/>
        <w:left w:val="none" w:sz="0" w:space="0" w:color="auto"/>
        <w:bottom w:val="none" w:sz="0" w:space="0" w:color="auto"/>
        <w:right w:val="none" w:sz="0" w:space="0" w:color="auto"/>
      </w:divBdr>
    </w:div>
    <w:div w:id="1586963555">
      <w:bodyDiv w:val="1"/>
      <w:marLeft w:val="0"/>
      <w:marRight w:val="0"/>
      <w:marTop w:val="0"/>
      <w:marBottom w:val="0"/>
      <w:divBdr>
        <w:top w:val="none" w:sz="0" w:space="0" w:color="auto"/>
        <w:left w:val="none" w:sz="0" w:space="0" w:color="auto"/>
        <w:bottom w:val="none" w:sz="0" w:space="0" w:color="auto"/>
        <w:right w:val="none" w:sz="0" w:space="0" w:color="auto"/>
      </w:divBdr>
    </w:div>
    <w:div w:id="1608850126">
      <w:bodyDiv w:val="1"/>
      <w:marLeft w:val="0"/>
      <w:marRight w:val="0"/>
      <w:marTop w:val="0"/>
      <w:marBottom w:val="0"/>
      <w:divBdr>
        <w:top w:val="none" w:sz="0" w:space="0" w:color="auto"/>
        <w:left w:val="none" w:sz="0" w:space="0" w:color="auto"/>
        <w:bottom w:val="none" w:sz="0" w:space="0" w:color="auto"/>
        <w:right w:val="none" w:sz="0" w:space="0" w:color="auto"/>
      </w:divBdr>
    </w:div>
    <w:div w:id="1753969070">
      <w:bodyDiv w:val="1"/>
      <w:marLeft w:val="0"/>
      <w:marRight w:val="0"/>
      <w:marTop w:val="0"/>
      <w:marBottom w:val="0"/>
      <w:divBdr>
        <w:top w:val="none" w:sz="0" w:space="0" w:color="auto"/>
        <w:left w:val="none" w:sz="0" w:space="0" w:color="auto"/>
        <w:bottom w:val="none" w:sz="0" w:space="0" w:color="auto"/>
        <w:right w:val="none" w:sz="0" w:space="0" w:color="auto"/>
      </w:divBdr>
    </w:div>
    <w:div w:id="1852909911">
      <w:bodyDiv w:val="1"/>
      <w:marLeft w:val="0"/>
      <w:marRight w:val="0"/>
      <w:marTop w:val="0"/>
      <w:marBottom w:val="0"/>
      <w:divBdr>
        <w:top w:val="none" w:sz="0" w:space="0" w:color="auto"/>
        <w:left w:val="none" w:sz="0" w:space="0" w:color="auto"/>
        <w:bottom w:val="none" w:sz="0" w:space="0" w:color="auto"/>
        <w:right w:val="none" w:sz="0" w:space="0" w:color="auto"/>
      </w:divBdr>
    </w:div>
    <w:div w:id="19533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bb5b62be-9070-4997-be9c-d8fdab182e16</Id>
  <Names>
    <Latin>
      <FirstName>John</FirstName>
      <LastName>WALSH</LastName>
    </Latin>
    <Greek>
      <FirstName/>
      <LastName/>
    </Greek>
    <Cyrillic>
      <FirstName/>
      <LastName/>
    </Cyrillic>
    <DocumentScript>
      <FirstName>John</FirstName>
      <LastName>WALSH</LastName>
      <FullName>John WALSH</FullName>
    </DocumentScript>
  </Names>
  <Initials>JFW</Initials>
  <Gender>m</Gender>
  <Email>John.Walsh@ec.europa.eu</Email>
  <Service>REGIO.B.2</Service>
  <Function ShowInSignature="true">Team Leader - Administrator</Function>
  <WebAddress/>
  <InheritedWebAddress>WebAddress</InheritedWebAddress>
  <OrgaEntity1>
    <Id>4dc35747-c691-429e-8d45-7d224e35618c</Id>
    <LogicalLevel>1</LogicalLevel>
    <Name>REGIO</Name>
    <HeadLine1>DIRECTORATE-GENERAL</HeadLine1>
    <HeadLine2>REGIONAL AND URBAN POLICY</HeadLine2>
    <PrimaryAddressId>f03b5801-04c9-4931-aa17-c6d6c70bc579</PrimaryAddressId>
    <SecondaryAddressId/>
    <WebAddress>WebAddress</WebAddress>
    <InheritedWebAddress>WebAddress</InheritedWebAddress>
    <ShowInHeader>true</ShowInHeader>
  </OrgaEntity1>
  <OrgaEntity2>
    <Id>5fde0302-9f78-447d-a02f-7a6dc2f65c28</Id>
    <LogicalLevel>2</LogicalLevel>
    <Name>REGIO.B</Name>
    <HeadLine1>Policy</HeadLine1>
    <HeadLine2/>
    <PrimaryAddressId>f03b5801-04c9-4931-aa17-c6d6c70bc579</PrimaryAddressId>
    <SecondaryAddressId/>
    <WebAddress/>
    <InheritedWebAddress>WebAddress</InheritedWebAddress>
    <ShowInHeader>true</ShowInHeader>
  </OrgaEntity2>
  <OrgaEntity3>
    <Id>a495e182-0f36-42f4-a0f5-b3391992667d</Id>
    <LogicalLevel>3</LogicalLevel>
    <Name>REGIO.B.2</Name>
    <HeadLine1>Evaluation and European Semester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+32 229 66061</Phone>
    <Office>BU-5 03/071</Office>
  </MainWorkplace>
  <Workplaces>
    <Workplace IsMain="false">
      <AddressId>1264fb81-f6bb-475e-9f9d-a937d3be6ee2</AddressId>
      <Fax/>
      <Phone/>
      <Office/>
    </Workplace>
    <Workplace IsMain="true">
      <AddressId>f03b5801-04c9-4931-aa17-c6d6c70bc579</AddressId>
      <Fax/>
      <Phone>+32 229 66061</Phone>
      <Office>BU-5 03/071</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Created>
    <Version>4.5</Version>
    <Date>2018-09-10T09:03:48</Date>
    <Language>EN</Language>
  </Created>
  <Edited>
    <Version>10.0.37613.0</Version>
    <Date>2018-11-14T10:30:35</Date>
  </Edited>
  <DocumentModel>
    <Id>0b054141-88b1-4efb-8c91-2905cb0bed6c</Id>
    <Name>Note</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F639-654D-4C65-97FC-85BDAC2CD0B6}">
  <ds:schemaRefs/>
</ds:datastoreItem>
</file>

<file path=customXml/itemProps2.xml><?xml version="1.0" encoding="utf-8"?>
<ds:datastoreItem xmlns:ds="http://schemas.openxmlformats.org/officeDocument/2006/customXml" ds:itemID="{CF1CA1EA-6ED9-4F36-842C-55C6CBFB857B}">
  <ds:schemaRefs/>
</ds:datastoreItem>
</file>

<file path=customXml/itemProps3.xml><?xml version="1.0" encoding="utf-8"?>
<ds:datastoreItem xmlns:ds="http://schemas.openxmlformats.org/officeDocument/2006/customXml" ds:itemID="{8A11F063-8246-4FF1-B7DF-B4CC6A242F21}">
  <ds:schemaRefs/>
</ds:datastoreItem>
</file>

<file path=customXml/itemProps4.xml><?xml version="1.0" encoding="utf-8"?>
<ds:datastoreItem xmlns:ds="http://schemas.openxmlformats.org/officeDocument/2006/customXml" ds:itemID="{68723D51-F0A4-4F75-82E0-A7D50988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1812</Words>
  <Characters>8394</Characters>
  <Application>Microsoft Office Word</Application>
  <DocSecurity>0</DocSecurity>
  <PresentationFormat>Microsoft Word 14.0</PresentationFormat>
  <Lines>1199</Lines>
  <Paragraphs>1020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9186</CharactersWithSpaces>
  <SharedDoc>false</SharedDoc>
  <HLinks>
    <vt:vector size="6" baseType="variant">
      <vt:variant>
        <vt:i4>2752576</vt:i4>
      </vt:variant>
      <vt:variant>
        <vt:i4>0</vt:i4>
      </vt:variant>
      <vt:variant>
        <vt:i4>0</vt:i4>
      </vt:variant>
      <vt:variant>
        <vt:i4>5</vt:i4>
      </vt:variant>
      <vt:variant>
        <vt:lpwstr>http://ec.europa.eu/budget/library/biblio/documents/2015/analysis-of-the-budgetary-implementation-of-the-european-structural-and-investment-funds-in-2015_en.pdf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 Fesus</dc:creator>
  <cp:keywords>EL4</cp:keywords>
  <cp:lastModifiedBy>DIGIT/C6</cp:lastModifiedBy>
  <cp:revision>10</cp:revision>
  <cp:lastPrinted>2018-11-16T14:45:00Z</cp:lastPrinted>
  <dcterms:created xsi:type="dcterms:W3CDTF">2018-11-20T13:30:00Z</dcterms:created>
  <dcterms:modified xsi:type="dcterms:W3CDTF">2018-12-19T07:22:00Z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Gabriella Fesus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Part">
    <vt:lpwstr>&lt;UNUSED&gt;</vt:lpwstr>
  </property>
  <property fmtid="{D5CDD505-2E9C-101B-9397-08002B2CF9AE}" pid="14" name="Total parts">
    <vt:lpwstr>&lt;UNUSED&gt;</vt:lpwstr>
  </property>
  <property fmtid="{D5CDD505-2E9C-101B-9397-08002B2CF9AE}" pid="15" name="DocStatus">
    <vt:lpwstr>Green</vt:lpwstr>
  </property>
  <property fmtid="{D5CDD505-2E9C-101B-9397-08002B2CF9AE}" pid="16" name="Level of sensitivity">
    <vt:lpwstr>Standard treatment</vt:lpwstr>
  </property>
  <property fmtid="{D5CDD505-2E9C-101B-9397-08002B2CF9AE}" pid="17" name="First annex">
    <vt:lpwstr>1</vt:lpwstr>
  </property>
  <property fmtid="{D5CDD505-2E9C-101B-9397-08002B2CF9AE}" pid="18" name="Last annex">
    <vt:lpwstr>3</vt:lpwstr>
  </property>
  <property fmtid="{D5CDD505-2E9C-101B-9397-08002B2CF9AE}" pid="19" name="Unique annex">
    <vt:lpwstr>0</vt:lpwstr>
  </property>
</Properties>
</file>