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31" w:rsidRDefault="005C2A5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4C4D0AB-8F00-46A1-A121-349B3B828AFB" style="width:451pt;height:379pt">
            <v:imagedata r:id="rId12" o:title=""/>
          </v:shape>
        </w:pict>
      </w:r>
    </w:p>
    <w:p w:rsidR="009F5731" w:rsidRDefault="009F5731">
      <w:pPr>
        <w:rPr>
          <w:noProof/>
        </w:rPr>
        <w:sectPr w:rsidR="009F5731">
          <w:footerReference w:type="default" r:id="rId13"/>
          <w:pgSz w:w="11907" w:h="16839"/>
          <w:pgMar w:top="1134" w:right="1417" w:bottom="1134" w:left="1417" w:header="709" w:footer="709" w:gutter="0"/>
          <w:pgNumType w:start="0"/>
          <w:cols w:space="720"/>
          <w:docGrid w:linePitch="360"/>
        </w:sectPr>
      </w:pPr>
    </w:p>
    <w:p w:rsidR="009F5731" w:rsidRDefault="005C2A57">
      <w:pPr>
        <w:pStyle w:val="Exposdesmotifstitre"/>
        <w:rPr>
          <w:noProof/>
        </w:rPr>
      </w:pPr>
      <w:r>
        <w:rPr>
          <w:noProof/>
        </w:rPr>
        <w:lastRenderedPageBreak/>
        <w:t>ΑΙΤΙΟΛΟΓΙΚΗ ΕΚΘΕΣΗ</w:t>
      </w:r>
    </w:p>
    <w:p w:rsidR="009F5731" w:rsidRDefault="005C2A57">
      <w:pPr>
        <w:pStyle w:val="ManualHeading1"/>
        <w:rPr>
          <w:noProof/>
        </w:rPr>
      </w:pPr>
      <w:r>
        <w:rPr>
          <w:noProof/>
        </w:rPr>
        <w:t>1.</w:t>
      </w:r>
      <w:r>
        <w:rPr>
          <w:noProof/>
        </w:rPr>
        <w:tab/>
        <w:t>ΠΛΑΙΣΙΟ ΤΗΣ ΠΡΟΤΑΣΗΣ</w:t>
      </w:r>
    </w:p>
    <w:p w:rsidR="009F5731" w:rsidRDefault="005C2A57">
      <w:pPr>
        <w:pStyle w:val="ManualHeading2"/>
        <w:rPr>
          <w:rFonts w:eastAsia="Arial Unicode MS"/>
          <w:noProof/>
        </w:rPr>
      </w:pPr>
      <w:r>
        <w:rPr>
          <w:noProof/>
          <w:color w:val="000000"/>
          <w:u w:color="000000"/>
          <w:bdr w:val="nil"/>
        </w:rPr>
        <w:t>•</w:t>
      </w:r>
      <w:r>
        <w:rPr>
          <w:noProof/>
        </w:rPr>
        <w:tab/>
        <w:t>Αιτιολόγηση και στόχοι της πρότασης</w:t>
      </w:r>
    </w:p>
    <w:p w:rsidR="009F5731" w:rsidRDefault="005C2A57">
      <w:pPr>
        <w:pBdr>
          <w:top w:val="nil"/>
          <w:left w:val="nil"/>
          <w:bottom w:val="nil"/>
          <w:right w:val="nil"/>
          <w:between w:val="nil"/>
          <w:bar w:val="nil"/>
        </w:pBdr>
        <w:spacing w:before="0" w:after="240"/>
        <w:rPr>
          <w:noProof/>
        </w:rPr>
      </w:pPr>
      <w:r>
        <w:rPr>
          <w:noProof/>
        </w:rPr>
        <w:t xml:space="preserve">Στις 29 Μαρτίου 2017 το Ηνωμένο Βασίλειο γνωστοποίησε την πρόθεσή </w:t>
      </w:r>
      <w:r>
        <w:rPr>
          <w:noProof/>
        </w:rPr>
        <w:t>του να αποχωρήσει από την Ένωση, δυνάμει του άρθρου 50 της Συνθήκης για την Ευρωπαϊκή Ένωση. Αυτό σημαίνει ότι, εάν δεν κυρωθεί η συμφωνία αποχώρησης</w:t>
      </w:r>
      <w:r>
        <w:rPr>
          <w:rStyle w:val="FootnoteReference"/>
          <w:noProof/>
        </w:rPr>
        <w:footnoteReference w:id="1"/>
      </w:r>
      <w:r>
        <w:rPr>
          <w:noProof/>
        </w:rPr>
        <w:t>, το πρωτογενές και το παράγωγο δίκαιο της Ένωσης θα παύσουν να ισχύουν στο Ηνωμένο Βασίλειο από τις 30 Μα</w:t>
      </w:r>
      <w:r>
        <w:rPr>
          <w:noProof/>
        </w:rPr>
        <w:t>ρτίου 2019 («η ημερομηνία αποχώρησης»). Τη χρονική αυτή στιγμή το Ηνωμένο Βασίλειο θα καταστεί τρίτη χώρα.</w:t>
      </w:r>
    </w:p>
    <w:p w:rsidR="009F5731" w:rsidRDefault="005C2A57">
      <w:pPr>
        <w:pBdr>
          <w:top w:val="nil"/>
          <w:left w:val="nil"/>
          <w:bottom w:val="nil"/>
          <w:right w:val="nil"/>
          <w:between w:val="nil"/>
          <w:bar w:val="nil"/>
        </w:pBdr>
        <w:spacing w:before="0" w:after="240"/>
        <w:rPr>
          <w:noProof/>
        </w:rPr>
      </w:pPr>
      <w:r>
        <w:rPr>
          <w:noProof/>
        </w:rPr>
        <w:t>Σύμφωνα με την ανακοίνωση της Επιτροπής με τίτλο «Προετοιμασία για την αποχώρηση του Ηνωμένου Βασιλείου από την Ευρωπαϊκή Ένωση στις 30 Μαρτίου 2019:</w:t>
      </w:r>
      <w:r>
        <w:rPr>
          <w:noProof/>
        </w:rPr>
        <w:t xml:space="preserve"> σχέδιο δράσης έκτακτης ανάγκης»</w:t>
      </w:r>
      <w:r>
        <w:rPr>
          <w:rStyle w:val="FootnoteReference"/>
          <w:noProof/>
        </w:rPr>
        <w:footnoteReference w:id="2"/>
      </w:r>
      <w:r>
        <w:rPr>
          <w:noProof/>
        </w:rPr>
        <w:t xml:space="preserve"> «Η Επιτροπή δεσμεύεται επίσης να εξασφαλίσει τη συνέχιση των τρεχόντων προγραμμάτων PEACE και INTERREG μεταξύ των παραμεθόριων κομητειών της Ιρλανδίας και της Βόρειας Ιρλανδίας, στα οποία το Ηνωμένο Βασίλειο είναι εταίρος»</w:t>
      </w:r>
      <w:r>
        <w:rPr>
          <w:noProof/>
        </w:rPr>
        <w:t>.</w:t>
      </w:r>
    </w:p>
    <w:p w:rsidR="009F5731" w:rsidRDefault="005C2A57">
      <w:pPr>
        <w:pBdr>
          <w:top w:val="nil"/>
          <w:left w:val="nil"/>
          <w:bottom w:val="nil"/>
          <w:right w:val="nil"/>
          <w:between w:val="nil"/>
          <w:bar w:val="nil"/>
        </w:pBdr>
        <w:spacing w:before="0" w:after="240"/>
        <w:rPr>
          <w:noProof/>
        </w:rPr>
      </w:pPr>
      <w:r>
        <w:rPr>
          <w:noProof/>
        </w:rPr>
        <w:t>Στις 13 Δεκεμβρίου 2018 το Ευρωπαϊκό Συμβούλιο (άρθρο 50) απηύθυνε εκ νέου έκκληση να ενταθούν οι εργασίες για την προετοιμασία σε όλα τα επίπεδα όσον αφορά τις επιπτώσεις από την αποχώρηση του Ηνωμένου Βασιλείου, λαμβανομένης υπόψη κάθε πιθανής έκβασης.</w:t>
      </w:r>
      <w:r>
        <w:rPr>
          <w:noProof/>
        </w:rPr>
        <w:t xml:space="preserve"> Η παρούσα πράξη εντάσσεται στη δέσμη μέτρων που εκδίδει η Επιτροπή σε συνέχεια της παραπάνω έκκλησης.</w:t>
      </w:r>
    </w:p>
    <w:p w:rsidR="009F5731" w:rsidRDefault="005C2A57">
      <w:pPr>
        <w:pBdr>
          <w:top w:val="nil"/>
          <w:left w:val="nil"/>
          <w:bottom w:val="nil"/>
          <w:right w:val="nil"/>
          <w:between w:val="nil"/>
          <w:bar w:val="nil"/>
        </w:pBdr>
        <w:spacing w:before="0" w:after="240"/>
        <w:rPr>
          <w:noProof/>
        </w:rPr>
      </w:pPr>
      <w:r>
        <w:rPr>
          <w:noProof/>
        </w:rPr>
        <w:t>Η παρούσα πρόταση έχει σκοπό να εξασφαλίσει τη συνέχιση των δύο διμερών προγραμμάτων συνεργασίας στα οποία συμμετέχει η Ιρλανδία, και συγκεκριμένα του πρ</w:t>
      </w:r>
      <w:r>
        <w:rPr>
          <w:noProof/>
        </w:rPr>
        <w:t>ογράμματος PEACE IV (Ιρλανδία-Ηνωμένο Βασίλειο) και του προγράμματος «Ηνωμένο Βασίλειο-Ιρλανδία» (Ιρλανδία-Βόρεια Ιρλανδία-Σκωτία).</w:t>
      </w:r>
    </w:p>
    <w:p w:rsidR="009F5731" w:rsidRDefault="005C2A57">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rsidR="009F5731" w:rsidRDefault="005C2A57">
      <w:pPr>
        <w:pBdr>
          <w:top w:val="nil"/>
          <w:left w:val="nil"/>
          <w:bottom w:val="nil"/>
          <w:right w:val="nil"/>
          <w:between w:val="nil"/>
          <w:bar w:val="nil"/>
        </w:pBdr>
        <w:spacing w:before="0" w:after="240"/>
        <w:rPr>
          <w:noProof/>
        </w:rPr>
      </w:pPr>
      <w:r>
        <w:rPr>
          <w:noProof/>
        </w:rPr>
        <w:t>Σκοπός της παρούσας πρότασης είναι η συνέχιση των υφιστάμενων προ</w:t>
      </w:r>
      <w:r>
        <w:rPr>
          <w:noProof/>
        </w:rPr>
        <w:t>γραμμάτων.</w:t>
      </w:r>
    </w:p>
    <w:p w:rsidR="009F5731" w:rsidRDefault="005C2A57">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rsidR="009F5731" w:rsidRDefault="005C2A57">
      <w:pPr>
        <w:pBdr>
          <w:top w:val="nil"/>
          <w:left w:val="nil"/>
          <w:bottom w:val="nil"/>
          <w:right w:val="nil"/>
          <w:between w:val="nil"/>
          <w:bar w:val="nil"/>
        </w:pBdr>
        <w:spacing w:before="0" w:after="240"/>
        <w:rPr>
          <w:rFonts w:eastAsia="Arial Unicode MS"/>
          <w:noProof/>
        </w:rPr>
      </w:pPr>
      <w:r>
        <w:rPr>
          <w:noProof/>
        </w:rPr>
        <w:t>Η παρούσα πρόταση συνάδει πλήρως με την εντολή του Συμβουλίου για τη διεξαγωγή διαπραγματεύσεων με το Ηνωμένο Βασίλειο σχετικά με την αποχώρησή του από την Ένωση</w:t>
      </w:r>
      <w:r>
        <w:rPr>
          <w:rStyle w:val="FootnoteReference"/>
          <w:noProof/>
        </w:rPr>
        <w:footnoteReference w:id="3"/>
      </w:r>
      <w:r>
        <w:rPr>
          <w:noProof/>
        </w:rPr>
        <w:t>.</w:t>
      </w:r>
      <w:r>
        <w:rPr>
          <w:rStyle w:val="CommentReference"/>
          <w:rFonts w:asciiTheme="minorHAnsi" w:hAnsiTheme="minorHAnsi" w:cstheme="minorBidi"/>
          <w:noProof/>
        </w:rPr>
        <w:t xml:space="preserve"> </w:t>
      </w:r>
    </w:p>
    <w:p w:rsidR="009F5731" w:rsidRDefault="005C2A57">
      <w:pPr>
        <w:pStyle w:val="ManualHeading1"/>
        <w:rPr>
          <w:noProof/>
        </w:rPr>
      </w:pPr>
      <w:r>
        <w:rPr>
          <w:noProof/>
        </w:rPr>
        <w:t>2.</w:t>
      </w:r>
      <w:r>
        <w:rPr>
          <w:noProof/>
        </w:rPr>
        <w:tab/>
        <w:t>ΝΟΜΙΚΗ ΒΑΣΗ, ΕΠΙΚΟΥΡΙΚΟΤΗΤΑ ΚΑΙ ΑΝΑΛ</w:t>
      </w:r>
      <w:r>
        <w:rPr>
          <w:noProof/>
        </w:rPr>
        <w:t>ΟΓΙΚΟΤΗΤΑ</w:t>
      </w:r>
    </w:p>
    <w:p w:rsidR="009F5731" w:rsidRDefault="005C2A57">
      <w:pPr>
        <w:pStyle w:val="ManualHeading2"/>
        <w:rPr>
          <w:rFonts w:eastAsia="Arial Unicode MS"/>
          <w:noProof/>
          <w:u w:color="000000"/>
          <w:bdr w:val="nil"/>
        </w:rPr>
      </w:pPr>
      <w:r>
        <w:rPr>
          <w:noProof/>
        </w:rPr>
        <w:t>•</w:t>
      </w:r>
      <w:r>
        <w:rPr>
          <w:noProof/>
        </w:rPr>
        <w:tab/>
        <w:t>Νομική βάση</w:t>
      </w:r>
    </w:p>
    <w:p w:rsidR="009F5731" w:rsidRDefault="005C2A57">
      <w:pPr>
        <w:pStyle w:val="ManualHeading2"/>
        <w:rPr>
          <w:rFonts w:eastAsia="Arial Unicode MS"/>
          <w:noProof/>
          <w:u w:color="000000"/>
          <w:bdr w:val="nil"/>
        </w:rPr>
      </w:pPr>
      <w:r>
        <w:rPr>
          <w:noProof/>
        </w:rPr>
        <w:t>Άρθρο 178 της ΣΛΕΕ•</w:t>
      </w:r>
      <w:r>
        <w:rPr>
          <w:noProof/>
        </w:rPr>
        <w:tab/>
        <w:t xml:space="preserve">Επικουρικότητα (σε περίπτωση μη αποκλειστικής αρμοδιότητας) </w:t>
      </w:r>
    </w:p>
    <w:p w:rsidR="009F5731" w:rsidRDefault="005C2A57">
      <w:pPr>
        <w:pBdr>
          <w:top w:val="nil"/>
          <w:left w:val="nil"/>
          <w:bottom w:val="nil"/>
          <w:right w:val="nil"/>
          <w:between w:val="nil"/>
          <w:bar w:val="nil"/>
        </w:pBdr>
        <w:spacing w:before="0" w:after="240"/>
        <w:rPr>
          <w:rFonts w:eastAsia="Arial Unicode MS"/>
          <w:noProof/>
        </w:rPr>
      </w:pPr>
      <w:r>
        <w:rPr>
          <w:noProof/>
        </w:rPr>
        <w:t xml:space="preserve">Καθώς η προτεινόμενη πράξη έχει σκοπό να εξασφαλίσει τη συνέχιση των δύο προγραμμάτων συνεργασίας που διέπονται από τον κανονισμό (ΕΕ) αριθ. 1299/2013, η </w:t>
      </w:r>
      <w:r>
        <w:rPr>
          <w:noProof/>
        </w:rPr>
        <w:lastRenderedPageBreak/>
        <w:t>συμμόρφωση των εν λόγω προγραμμάτων με την αρχή της επικουρικότητας εξετάστηκε ήδη κατά την έκδοσή του</w:t>
      </w:r>
      <w:r>
        <w:rPr>
          <w:noProof/>
        </w:rPr>
        <w:t>ς.</w:t>
      </w:r>
    </w:p>
    <w:p w:rsidR="009F5731" w:rsidRDefault="005C2A57">
      <w:pPr>
        <w:pStyle w:val="ManualHeading2"/>
        <w:rPr>
          <w:rFonts w:eastAsia="Arial Unicode MS"/>
          <w:noProof/>
          <w:u w:color="000000"/>
          <w:bdr w:val="nil"/>
        </w:rPr>
      </w:pPr>
      <w:r>
        <w:rPr>
          <w:noProof/>
        </w:rPr>
        <w:t>•</w:t>
      </w:r>
      <w:r>
        <w:rPr>
          <w:noProof/>
        </w:rPr>
        <w:tab/>
        <w:t>Αναλογικότητα</w:t>
      </w:r>
    </w:p>
    <w:p w:rsidR="009F5731" w:rsidRDefault="005C2A57">
      <w:pPr>
        <w:pBdr>
          <w:top w:val="nil"/>
          <w:left w:val="nil"/>
          <w:bottom w:val="nil"/>
          <w:right w:val="nil"/>
          <w:between w:val="nil"/>
          <w:bar w:val="nil"/>
        </w:pBdr>
        <w:spacing w:before="0" w:after="240"/>
        <w:rPr>
          <w:rFonts w:eastAsia="Arial Unicode MS"/>
          <w:noProof/>
        </w:rPr>
      </w:pPr>
      <w:r>
        <w:rPr>
          <w:noProof/>
        </w:rPr>
        <w:t>Η πρόταση κρίνεται αναλογική, καθώς προβλέπει τις αναγκαίες νομικές αλλαγές και συγχρόνως δεν υπερβαίνει τα απολύτως απαραίτητα για την επίτευξη της εύρυθμης συνέχισης των δύο προγραμμάτων συνεργασίας Βορρά-Νότου που αφορούν τα εδάφη της</w:t>
      </w:r>
      <w:r>
        <w:rPr>
          <w:noProof/>
        </w:rPr>
        <w:t xml:space="preserve"> Βόρειας Ιρλανδίας. </w:t>
      </w:r>
    </w:p>
    <w:p w:rsidR="009F5731" w:rsidRDefault="005C2A57">
      <w:pPr>
        <w:pStyle w:val="ManualHeading2"/>
        <w:rPr>
          <w:rFonts w:eastAsia="Arial Unicode MS"/>
          <w:noProof/>
          <w:u w:color="000000"/>
          <w:bdr w:val="nil"/>
        </w:rPr>
      </w:pPr>
      <w:r>
        <w:rPr>
          <w:noProof/>
        </w:rPr>
        <w:t>•</w:t>
      </w:r>
      <w:r>
        <w:rPr>
          <w:noProof/>
        </w:rPr>
        <w:tab/>
        <w:t>Επιλογή της νομικής πράξης</w:t>
      </w:r>
    </w:p>
    <w:p w:rsidR="009F5731" w:rsidRDefault="005C2A57">
      <w:pPr>
        <w:pBdr>
          <w:top w:val="nil"/>
          <w:left w:val="nil"/>
          <w:bottom w:val="nil"/>
          <w:right w:val="nil"/>
          <w:between w:val="nil"/>
          <w:bar w:val="nil"/>
        </w:pBdr>
        <w:spacing w:before="0" w:after="240"/>
        <w:rPr>
          <w:noProof/>
        </w:rPr>
      </w:pPr>
      <w:r>
        <w:rPr>
          <w:noProof/>
        </w:rPr>
        <w:t xml:space="preserve">Δεδομένου ότι η πράξη βασίζεται στον κανονισμό (ΕΕ) αριθ. 1299/2013, η πρόταση κανονισμού αποτελεί τη μόνη κατάλληλη μορφή. </w:t>
      </w:r>
    </w:p>
    <w:p w:rsidR="009F5731" w:rsidRDefault="005C2A57">
      <w:pPr>
        <w:pBdr>
          <w:top w:val="nil"/>
          <w:left w:val="nil"/>
          <w:bottom w:val="nil"/>
          <w:right w:val="nil"/>
          <w:between w:val="nil"/>
          <w:bar w:val="nil"/>
        </w:pBdr>
        <w:spacing w:before="0" w:after="240"/>
        <w:rPr>
          <w:noProof/>
        </w:rPr>
      </w:pPr>
      <w:r>
        <w:rPr>
          <w:noProof/>
        </w:rPr>
        <w:t>Λόγω του ότι ο παρών κανονισμός, ο οποίος αρχίζει να ισχύει την επομένη της δημοσ</w:t>
      </w:r>
      <w:r>
        <w:rPr>
          <w:noProof/>
        </w:rPr>
        <w:t xml:space="preserve">ίευσής του στην </w:t>
      </w:r>
      <w:r>
        <w:rPr>
          <w:i/>
          <w:noProof/>
        </w:rPr>
        <w:t>Επίσημη Εφημερίδα της Ευρωπαϊκής Ένωσης</w:t>
      </w:r>
      <w:r>
        <w:rPr>
          <w:noProof/>
        </w:rPr>
        <w:t>, θα εφαρμοστεί μόνον εάν δεν τεθεί σε ισχύ συμφωνία αποχώρησης που να έχει συναφθεί με το Ηνωμένο Βασίλειο σύμφωνα με το άρθρο 50 παράγραφος 2 της Συνθήκης για την Ευρωπαϊκή Ένωση πριν από την ημερομη</w:t>
      </w:r>
      <w:r>
        <w:rPr>
          <w:noProof/>
        </w:rPr>
        <w:t>νία κατά την οποία παύουν να εφαρμόζονται στο Ηνωμένο Βασίλειο και εντός αυτού οι Συνθήκες, κρίνεται σκοπιμότερο να εκδοθεί η προτεινόμενη ad hoc πράξη από ό,τι κανονισμός με τη μορφή τροποποιητικής πράξης.</w:t>
      </w:r>
    </w:p>
    <w:p w:rsidR="009F5731" w:rsidRDefault="005C2A57">
      <w:pPr>
        <w:pStyle w:val="ManualHeading1"/>
        <w:rPr>
          <w:noProof/>
        </w:rPr>
      </w:pPr>
      <w:r>
        <w:rPr>
          <w:noProof/>
        </w:rPr>
        <w:t>3.</w:t>
      </w:r>
      <w:r>
        <w:rPr>
          <w:noProof/>
        </w:rPr>
        <w:tab/>
        <w:t xml:space="preserve">ΑΠΟΤΕΛΕΣΜΑΤΑ ΤΩΝ ΕΚ ΤΩΝ ΥΣΤΕΡΩΝ ΑΞΙΟΛΟΓΗΣΕΩΝ, </w:t>
      </w:r>
      <w:r>
        <w:rPr>
          <w:noProof/>
        </w:rPr>
        <w:t>ΤΩΝ ΔΙΑΒΟΥΛΕΥΣΕΩΝ ΜΕ ΤΑ ΕΝΔΙΑΦΕΡΟΜΕΝΑ ΜΕΡΗ ΚΑΙ ΤΩΝ ΕΚΤΙΜΗΣΕΩΝ ΕΠΙΠΤΩΣΕΩΝ</w:t>
      </w:r>
    </w:p>
    <w:p w:rsidR="009F5731" w:rsidRDefault="005C2A57">
      <w:pPr>
        <w:pStyle w:val="ManualHeading2"/>
        <w:rPr>
          <w:rFonts w:eastAsia="Arial Unicode MS"/>
          <w:noProof/>
          <w:u w:color="000000"/>
          <w:bdr w:val="nil"/>
        </w:rPr>
      </w:pPr>
      <w:r>
        <w:rPr>
          <w:noProof/>
        </w:rPr>
        <w:t>•</w:t>
      </w:r>
      <w:r>
        <w:rPr>
          <w:noProof/>
        </w:rPr>
        <w:tab/>
        <w:t>Διαβουλεύσεις με τα ενδιαφερόμενα μέρη</w:t>
      </w:r>
    </w:p>
    <w:p w:rsidR="009F5731" w:rsidRDefault="005C2A57">
      <w:pPr>
        <w:pBdr>
          <w:top w:val="nil"/>
          <w:left w:val="nil"/>
          <w:bottom w:val="nil"/>
          <w:right w:val="nil"/>
          <w:between w:val="nil"/>
          <w:bar w:val="nil"/>
        </w:pBdr>
        <w:spacing w:before="0" w:after="240"/>
        <w:rPr>
          <w:noProof/>
          <w:color w:val="000000" w:themeColor="text1"/>
        </w:rPr>
      </w:pPr>
      <w:r>
        <w:rPr>
          <w:noProof/>
          <w:color w:val="000000" w:themeColor="text1"/>
        </w:rPr>
        <w:t>Λόγω της επείγουσας ανάγκης να εκπονηθεί η πρόταση, έτσι ώστε να εγκριθεί εγκαίρως από τους συννομοθέτες, δεν ήταν δυνατόν να διεξαχθεί διαβού</w:t>
      </w:r>
      <w:r>
        <w:rPr>
          <w:noProof/>
          <w:color w:val="000000" w:themeColor="text1"/>
        </w:rPr>
        <w:t xml:space="preserve">λευση των ενδιαφερόμενων μερών. </w:t>
      </w:r>
    </w:p>
    <w:p w:rsidR="009F5731" w:rsidRDefault="005C2A57">
      <w:pPr>
        <w:pStyle w:val="ManualHeading2"/>
        <w:rPr>
          <w:rFonts w:eastAsia="Arial Unicode MS"/>
          <w:noProof/>
          <w:u w:color="000000"/>
          <w:bdr w:val="nil"/>
        </w:rPr>
      </w:pPr>
      <w:r>
        <w:rPr>
          <w:noProof/>
        </w:rPr>
        <w:t>•</w:t>
      </w:r>
      <w:r>
        <w:rPr>
          <w:noProof/>
        </w:rPr>
        <w:tab/>
        <w:t>Εκτίμηση επιπτώσεων</w:t>
      </w:r>
    </w:p>
    <w:p w:rsidR="009F5731" w:rsidRDefault="005C2A57">
      <w:pPr>
        <w:pBdr>
          <w:top w:val="nil"/>
          <w:left w:val="nil"/>
          <w:bottom w:val="nil"/>
          <w:right w:val="nil"/>
          <w:between w:val="nil"/>
          <w:bar w:val="nil"/>
        </w:pBdr>
        <w:spacing w:before="0" w:after="240"/>
        <w:rPr>
          <w:rFonts w:eastAsia="Arial Unicode MS"/>
          <w:noProof/>
        </w:rPr>
      </w:pPr>
      <w:r>
        <w:rPr>
          <w:noProof/>
          <w:color w:val="000000" w:themeColor="text1"/>
        </w:rPr>
        <w:t xml:space="preserve">Λόγω της φύσης του προτεινόμενου μέτρου, δεν διενεργήθηκε εκτίμηση επιπτώσεων, σύμφωνα με τις κατευθυντήριες γραμμές για τη βελτίωση της νομοθεσίας. Δεν υπάρχουν άλλες ουσιαστικά διαφορετικές επιλογές </w:t>
      </w:r>
      <w:r>
        <w:rPr>
          <w:noProof/>
          <w:color w:val="000000" w:themeColor="text1"/>
        </w:rPr>
        <w:t xml:space="preserve">πολιτικής. </w:t>
      </w:r>
      <w:r>
        <w:rPr>
          <w:noProof/>
        </w:rPr>
        <w:t>Το προτεινόμενο μέτρο αποτελεί τη μόνη βιώσιμη πολιτική επιλογή που θα εξασφαλίσει την απρόσκοπτη συνέχιση των δύο διμερών προγραμμάτων συνεργασίας στα οποία συμμετέχει η Ιρλανδία, και συγκεκριμένα του προγράμματος PEACE IV (Ιρλανδία-Ηνωμένο Βασ</w:t>
      </w:r>
      <w:r>
        <w:rPr>
          <w:noProof/>
        </w:rPr>
        <w:t>ίλειο) και του προγράμματος «Ηνωμένο Βασίλειο-Ιρλανδία» (Ιρλανδία-Βόρεια Ιρλανδία-Σκωτία), αφότου αποχωρήσει το Ηνωμένο Βασίλειο από την Ένωση.</w:t>
      </w:r>
    </w:p>
    <w:p w:rsidR="009F5731" w:rsidRDefault="005C2A57">
      <w:pPr>
        <w:pStyle w:val="ManualHeading1"/>
        <w:rPr>
          <w:noProof/>
        </w:rPr>
      </w:pPr>
      <w:r>
        <w:rPr>
          <w:noProof/>
        </w:rPr>
        <w:t>4.</w:t>
      </w:r>
      <w:r>
        <w:rPr>
          <w:noProof/>
        </w:rPr>
        <w:tab/>
        <w:t>ΔΗΜΟΣΙΟΝΟΜΙΚΕΣ ΕΠΙΠΤΩΣΕΙΣ</w:t>
      </w:r>
    </w:p>
    <w:p w:rsidR="009F5731" w:rsidRDefault="005C2A57">
      <w:pPr>
        <w:pBdr>
          <w:top w:val="nil"/>
          <w:left w:val="nil"/>
          <w:bottom w:val="nil"/>
          <w:right w:val="nil"/>
          <w:between w:val="nil"/>
          <w:bar w:val="nil"/>
        </w:pBdr>
        <w:spacing w:before="0" w:after="240"/>
        <w:rPr>
          <w:noProof/>
          <w:color w:val="000000" w:themeColor="text1"/>
        </w:rPr>
      </w:pPr>
      <w:r>
        <w:rPr>
          <w:noProof/>
        </w:rPr>
        <w:t xml:space="preserve">Η παρούσα πρόταση έχει σκοπό να εξασφαλίσει, σε περίπτωση που δεν επικυρωθεί η </w:t>
      </w:r>
      <w:r>
        <w:rPr>
          <w:noProof/>
        </w:rPr>
        <w:t>συμφωνία αποχώρησης, τη συνέχιση των δύο διμερών προγραμμάτων συνεργασίας στα οποία συμμετέχει η Ιρλανδία, και συγκεκριμένα του προγράμματος PEACE IV (Ιρλανδία-Ηνωμένο Βασίλειο) και του προγράμματος «Ηνωμένο Βασίλειο-Ιρλανδία» (Ιρλανδία-Βόρεια Ιρλανδία-Σκω</w:t>
      </w:r>
      <w:r>
        <w:rPr>
          <w:noProof/>
        </w:rPr>
        <w:t>τία), χωρίς να τροποποιηθούν τα κονδύλια που τους έχουν χορηγηθεί και η χρηματοδότησή τους.</w:t>
      </w:r>
      <w:r>
        <w:rPr>
          <w:noProof/>
          <w:color w:val="000000" w:themeColor="text1"/>
        </w:rPr>
        <w:t xml:space="preserve"> Τα δύο προγράμματα θα συνεχίσουν να χρηματοδοτούνται από τον προϋπολογισμό της Ένωσης. Η δυνατότητα εκτέλεσης των αναγκαίων οικονομικών και λοιπών ελέγχων σε όλες τ</w:t>
      </w:r>
      <w:r>
        <w:rPr>
          <w:noProof/>
          <w:color w:val="000000" w:themeColor="text1"/>
        </w:rPr>
        <w:t xml:space="preserve">ις συμμετέχουσες περιφέρειες θα πρέπει να επιβεβαιωθεί με συμφωνία μεταξύ της Επιτροπής και των αρχών του Ηνωμένου Βασιλείου και θα αποτελεί προϋπόθεση για την εκταμίευση της χρηματοδότησης. </w:t>
      </w:r>
    </w:p>
    <w:p w:rsidR="009F5731" w:rsidRDefault="009F5731">
      <w:pPr>
        <w:rPr>
          <w:noProof/>
        </w:rPr>
        <w:sectPr w:rsidR="009F5731">
          <w:footerReference w:type="default" r:id="rId14"/>
          <w:footerReference w:type="first" r:id="rId15"/>
          <w:pgSz w:w="11907" w:h="16839"/>
          <w:pgMar w:top="1134" w:right="1417" w:bottom="1134" w:left="1417" w:header="709" w:footer="709" w:gutter="0"/>
          <w:cols w:space="708"/>
          <w:docGrid w:linePitch="360"/>
        </w:sectPr>
      </w:pPr>
    </w:p>
    <w:p w:rsidR="009F5731" w:rsidRDefault="005C2A57">
      <w:pPr>
        <w:pStyle w:val="Rfrenceinterinstitutionnelle"/>
        <w:rPr>
          <w:noProof/>
        </w:rPr>
      </w:pPr>
      <w:r>
        <w:rPr>
          <w:noProof/>
        </w:rPr>
        <w:t>2018/04</w:t>
      </w:r>
      <w:r>
        <w:rPr>
          <w:noProof/>
        </w:rPr>
        <w:t>32 (COD)</w:t>
      </w:r>
    </w:p>
    <w:p w:rsidR="009F5731" w:rsidRDefault="005C2A57">
      <w:pPr>
        <w:pStyle w:val="Statut"/>
        <w:rPr>
          <w:noProof/>
        </w:rPr>
      </w:pPr>
      <w:r>
        <w:rPr>
          <w:noProof/>
        </w:rPr>
        <w:t>Πρόταση</w:t>
      </w:r>
    </w:p>
    <w:p w:rsidR="009F5731" w:rsidRDefault="005C2A57">
      <w:pPr>
        <w:pStyle w:val="Typedudocument"/>
        <w:rPr>
          <w:noProof/>
        </w:rPr>
      </w:pPr>
      <w:r>
        <w:rPr>
          <w:noProof/>
        </w:rPr>
        <w:t>ΚΑΝΟΝΙΣΜΟΣ ΤΟΥ ΕΥΡΩΠΑΪΚΟΥ ΚΟΙΝΟΒΟΥΛΙΟΥ ΚΑΙ ΤΟΥ ΣΥΜΒΟΥΛΙΟΥ</w:t>
      </w:r>
    </w:p>
    <w:p w:rsidR="009F5731" w:rsidRDefault="005C2A57">
      <w:pPr>
        <w:pStyle w:val="Titreobjet"/>
        <w:rPr>
          <w:noProof/>
        </w:rPr>
      </w:pPr>
      <w:r>
        <w:rPr>
          <w:noProof/>
        </w:rPr>
        <w:t>για την εξασφάλιση της συνέχισης των προγραμμάτων εδαφικής συνεργασίας PEACE IV (Ιρλανδία-Ηνωμένο Βασίλειο) και «Ηνωμένο Βασίλειο-Ιρλανδία» (Ιρλανδία-Βόρεια Ιρλανδία-Σκωτία) στο πλα</w:t>
      </w:r>
      <w:r>
        <w:rPr>
          <w:noProof/>
        </w:rPr>
        <w:t>ίσιο της αποχώρησης του Ηνωμένου Βασιλείου από την Ευρωπαϊκή Ένωση</w:t>
      </w:r>
    </w:p>
    <w:p w:rsidR="009F5731" w:rsidRDefault="005C2A57">
      <w:pPr>
        <w:pStyle w:val="Institutionquiagit"/>
        <w:rPr>
          <w:noProof/>
        </w:rPr>
      </w:pPr>
      <w:r>
        <w:rPr>
          <w:noProof/>
        </w:rPr>
        <w:t>ΤΟ ΕΥΡΩΠΑΪΚΟ ΚΟΙΝΟΒΟΥΛΙΟ ΚΑΙ ΤΟ ΣΥΜΒΟΥΛΙΟ ΤΗΣ ΕΥΡΩΠΑΪΚΗΣ ΕΝΩΣΗΣ,</w:t>
      </w:r>
    </w:p>
    <w:p w:rsidR="009F5731" w:rsidRDefault="005C2A57">
      <w:pPr>
        <w:rPr>
          <w:noProof/>
        </w:rPr>
      </w:pPr>
      <w:r>
        <w:rPr>
          <w:noProof/>
        </w:rPr>
        <w:t>Έχοντας υπόψη τη Συνθήκη για τη λειτουργία της Ευρωπαϊκής Ένωσης και ιδίως το άρθρο 178,</w:t>
      </w:r>
    </w:p>
    <w:p w:rsidR="009F5731" w:rsidRDefault="005C2A57">
      <w:pPr>
        <w:rPr>
          <w:noProof/>
          <w:szCs w:val="24"/>
        </w:rPr>
      </w:pPr>
      <w:r>
        <w:rPr>
          <w:noProof/>
        </w:rPr>
        <w:t>Έχοντας υπόψη την πρόταση της Ευρωπ</w:t>
      </w:r>
      <w:r>
        <w:rPr>
          <w:noProof/>
        </w:rPr>
        <w:t xml:space="preserve">αϊκής Επιτροπής, </w:t>
      </w:r>
    </w:p>
    <w:p w:rsidR="009F5731" w:rsidRDefault="005C2A57">
      <w:pPr>
        <w:rPr>
          <w:noProof/>
        </w:rPr>
      </w:pPr>
      <w:r>
        <w:rPr>
          <w:noProof/>
        </w:rPr>
        <w:t>Κατόπιν διαβίβασης του σχεδίου νομοθετικής πράξης στα εθνικά κοινοβούλια,</w:t>
      </w:r>
    </w:p>
    <w:p w:rsidR="009F5731" w:rsidRDefault="005C2A57">
      <w:pPr>
        <w:rPr>
          <w:noProof/>
        </w:rPr>
      </w:pPr>
      <w:r>
        <w:rPr>
          <w:noProof/>
        </w:rPr>
        <w:t>Έχοντας υπόψη τη γνώμη της Ευρωπαϊκής Οικονομικής και Κοινωνικής Επιτροπής</w:t>
      </w:r>
      <w:r>
        <w:rPr>
          <w:rStyle w:val="FootnoteReference"/>
          <w:noProof/>
        </w:rPr>
        <w:footnoteReference w:id="4"/>
      </w:r>
      <w:r>
        <w:rPr>
          <w:noProof/>
        </w:rPr>
        <w:t xml:space="preserve">, </w:t>
      </w:r>
    </w:p>
    <w:p w:rsidR="009F5731" w:rsidRDefault="005C2A57">
      <w:pPr>
        <w:rPr>
          <w:noProof/>
        </w:rPr>
      </w:pPr>
      <w:r>
        <w:rPr>
          <w:noProof/>
        </w:rPr>
        <w:t>Έχοντας υπόψη τη γνώμη της Επιτροπής των Περιφερειών</w:t>
      </w:r>
      <w:r>
        <w:rPr>
          <w:rStyle w:val="FootnoteReference"/>
          <w:noProof/>
        </w:rPr>
        <w:footnoteReference w:id="5"/>
      </w:r>
      <w:r>
        <w:rPr>
          <w:noProof/>
        </w:rPr>
        <w:t>,</w:t>
      </w:r>
    </w:p>
    <w:p w:rsidR="009F5731" w:rsidRDefault="005C2A57">
      <w:pPr>
        <w:rPr>
          <w:noProof/>
        </w:rPr>
      </w:pPr>
      <w:r>
        <w:rPr>
          <w:noProof/>
        </w:rPr>
        <w:t xml:space="preserve">Αποφασίζοντας σύμφωνα με τη </w:t>
      </w:r>
      <w:r>
        <w:rPr>
          <w:noProof/>
        </w:rPr>
        <w:t>συνήθη νομοθετική διαδικασία,</w:t>
      </w:r>
    </w:p>
    <w:p w:rsidR="009F5731" w:rsidRDefault="005C2A57">
      <w:pPr>
        <w:rPr>
          <w:noProof/>
        </w:rPr>
      </w:pPr>
      <w:r>
        <w:rPr>
          <w:noProof/>
        </w:rPr>
        <w:t>Εκτιμώντας τα ακόλουθα:</w:t>
      </w:r>
    </w:p>
    <w:p w:rsidR="009F5731" w:rsidRDefault="005C2A57">
      <w:pPr>
        <w:pStyle w:val="ManualConsidrant"/>
        <w:rPr>
          <w:noProof/>
        </w:rPr>
      </w:pPr>
      <w:r>
        <w:t>(1)</w:t>
      </w:r>
      <w:r>
        <w:tab/>
      </w:r>
      <w:r>
        <w:rPr>
          <w:noProof/>
        </w:rPr>
        <w:t xml:space="preserve">Στις 29 Μαρτίου 2017 το Ηνωμένο Βασίλειο γνωστοποίησε την πρόθεσή του να αποχωρήσει από την Ένωση, δυνάμει του άρθρου 50 της Συνθήκης για την Ευρωπαϊκή Ένωση. Οι Συνθήκες θα παύσουν να εφαρμόζονται </w:t>
      </w:r>
      <w:r>
        <w:rPr>
          <w:noProof/>
        </w:rPr>
        <w:t>στο Ηνωμένο Βασίλειο από την ημερομηνία έναρξης ισχύος της συμφωνίας αποχώρησης ή, ελλείψει συμφωνίας, δύο έτη μετά την εν λόγω γνωστοποίηση, ήτοι στις 30 Μαρτίου 2019, εκτός εάν το Ευρωπαϊκό Συμβούλιο, σε συμφωνία με το Ηνωμένο Βασίλειο, αποφασίσει ομόφων</w:t>
      </w:r>
      <w:r>
        <w:rPr>
          <w:noProof/>
        </w:rPr>
        <w:t>α να παρατείνει την εν λόγω προθεσμία.</w:t>
      </w:r>
      <w:r>
        <w:rPr>
          <w:noProof/>
          <w:sz w:val="23"/>
        </w:rPr>
        <w:t xml:space="preserve"> </w:t>
      </w:r>
    </w:p>
    <w:p w:rsidR="009F5731" w:rsidRDefault="005C2A57">
      <w:pPr>
        <w:pStyle w:val="ManualConsidrant"/>
        <w:rPr>
          <w:noProof/>
        </w:rPr>
      </w:pPr>
      <w:r>
        <w:t>(2)</w:t>
      </w:r>
      <w:r>
        <w:tab/>
      </w:r>
      <w:r>
        <w:rPr>
          <w:noProof/>
        </w:rPr>
        <w:t>Η αποχώρηση λαμβάνει χώρα κατά τη διάρκεια της περιόδου προγραμματισμού 2014-2020 στην οποία το Ηνωμένο Βασίλειο συμμετέχει σε δεκαπέντε προγράμματα στο πλαίσιο του στόχου της ευρωπαϊκής εδαφικής συνεργασίας («πρ</w:t>
      </w:r>
      <w:r>
        <w:rPr>
          <w:noProof/>
        </w:rPr>
        <w:t>ογράμματα συνεργασίας»). Δύο από τα προγράμματα αυτά είναι προγράμματα που αφορούν τη Βόρεια Ιρλανδία και στηρίζουν την ειρήνη και τη συμφιλίωση καθώς και τη συνεργασία Βορρά-Νότου στο πλαίσιο της «Συμφωνίας της Μεγάλης Παρασκευής». Η Ένωση προτίθεται να σ</w:t>
      </w:r>
      <w:r>
        <w:rPr>
          <w:noProof/>
        </w:rPr>
        <w:t>υνεχίσει τα προγράμματα αυτά, ακόμη και εάν το Ηνωμένο Βασίλειο αποχωρήσει από αυτήν χωρίς να έχει τεθεί σε ισχύ συμφωνία αποχώρησης πριν από την ημερομηνία κατά την οποία παύουν να εφαρμόζονται στο Ηνωμένο Βασίλειο και εντός αυτού οι Συνθήκες βάσει του άρ</w:t>
      </w:r>
      <w:r>
        <w:rPr>
          <w:noProof/>
        </w:rPr>
        <w:t xml:space="preserve">θρου 50 παράγραφος 3 της Συνθήκης για την Ευρωπαϊκή Ένωση. Κατά συνέπεια, ο παρών κανονισμός θα πρέπει να περιορίζεται σε αυτά τα δύο προγράμματα συνεργασίας. </w:t>
      </w:r>
    </w:p>
    <w:p w:rsidR="009F5731" w:rsidRDefault="005C2A57">
      <w:pPr>
        <w:pStyle w:val="ManualConsidrant"/>
        <w:rPr>
          <w:noProof/>
        </w:rPr>
      </w:pPr>
      <w:r>
        <w:t>(3)</w:t>
      </w:r>
      <w:r>
        <w:tab/>
      </w:r>
      <w:r>
        <w:rPr>
          <w:noProof/>
        </w:rPr>
        <w:t>Τα δύο προγράμματα συνεργασίας διέπονται συγκεκριμένα από τον κανονισμό (ΕΕ) αριθ. 1299/2013</w:t>
      </w:r>
      <w:r>
        <w:rPr>
          <w:noProof/>
        </w:rPr>
        <w:t xml:space="preserve"> του Ευρωπαϊκού Κοινοβουλίου και του Συμβουλίου</w:t>
      </w:r>
      <w:r>
        <w:rPr>
          <w:rStyle w:val="FootnoteReference"/>
          <w:noProof/>
        </w:rPr>
        <w:footnoteReference w:id="6"/>
      </w:r>
      <w:r>
        <w:rPr>
          <w:noProof/>
        </w:rPr>
        <w:t>, τον κανονισμό (ΕΕ) αριθ. 1303/2013 του Ευρωπαϊκού Κοινοβουλίου και του Συμβουλίου</w:t>
      </w:r>
      <w:r>
        <w:rPr>
          <w:rStyle w:val="FootnoteReference"/>
          <w:noProof/>
        </w:rPr>
        <w:footnoteReference w:id="7"/>
      </w:r>
      <w:r>
        <w:rPr>
          <w:noProof/>
        </w:rPr>
        <w:t>, καθώς και τον κανονισμό (ΕΕ, Ευρατόμ) 2018/1046 του Ευρωπαϊκού Κοινοβουλίου και του Συμβουλίου</w:t>
      </w:r>
      <w:r>
        <w:rPr>
          <w:rStyle w:val="FootnoteReference"/>
          <w:noProof/>
        </w:rPr>
        <w:footnoteReference w:id="8"/>
      </w:r>
      <w:r>
        <w:rPr>
          <w:noProof/>
        </w:rPr>
        <w:t>. Οι διατάξεις του παρόντος</w:t>
      </w:r>
      <w:r>
        <w:rPr>
          <w:noProof/>
        </w:rPr>
        <w:t xml:space="preserve"> κανονισμού θα πρέπει να επιτρέπουν τη συνέχιση  των εν λόγω δύο προγραμμάτων συνεργασίας μετά την αποχώρηση του Ηνωμένου Βασιλείου από την Ένωση σύμφωνα με τους προαναφερθέντες κανονισμούς.</w:t>
      </w:r>
    </w:p>
    <w:p w:rsidR="009F5731" w:rsidRDefault="005C2A57">
      <w:pPr>
        <w:pStyle w:val="ManualConsidrant"/>
        <w:rPr>
          <w:noProof/>
        </w:rPr>
      </w:pPr>
      <w:r>
        <w:t>(4)</w:t>
      </w:r>
      <w:r>
        <w:tab/>
      </w:r>
      <w:r>
        <w:rPr>
          <w:noProof/>
        </w:rPr>
        <w:t>Όσον αφορά τα προγράμματα διμερούς συνεργασίας PEACE IV (Ιρλα</w:t>
      </w:r>
      <w:r>
        <w:rPr>
          <w:noProof/>
        </w:rPr>
        <w:t>νδία-Ηνωμένο Βασίλειο) και «Ηνωμένο Βασίλειο-Ιρλανδία» (Ιρλανδία-Βόρεια Ιρλανδία-Σκωτία), η αρχή διαχείρισης εντοπίζεται στον ειδικό οργανισμό για τα προγράμματα της ΕΕ που συστάθηκε βάσει της συμφωνίας μεταξύ της κυβέρνησης της Ιρλανδίας και της κυβέρνηση</w:t>
      </w:r>
      <w:r>
        <w:rPr>
          <w:noProof/>
        </w:rPr>
        <w:t>ς του Ηνωμένου Βασιλείου της Μεγάλης Βρετανίας και της Βόρειας Ιρλανδίας για τη θέσπιση εκτελεστικών φορέων, η οποία υπογράφτηκε στις 8 Μαρτίου 1999 (η βρετανοϊρλανδική συμφωνία της 8ης Μαρτίου 1999). Δεδομένου ότι τα δύο αυτά προγράμματα συνεργασίας αφορο</w:t>
      </w:r>
      <w:r>
        <w:rPr>
          <w:noProof/>
        </w:rPr>
        <w:t xml:space="preserve">ύν τη Βόρεια Ιρλανδία, θα πρέπει να συνεχιστούν με τις απαραίτητες συμπληρωματικές διατάξεις. </w:t>
      </w:r>
    </w:p>
    <w:p w:rsidR="009F5731" w:rsidRDefault="005C2A57">
      <w:pPr>
        <w:pStyle w:val="ManualConsidrant"/>
        <w:rPr>
          <w:noProof/>
        </w:rPr>
      </w:pPr>
      <w:r>
        <w:t>(5)</w:t>
      </w:r>
      <w:r>
        <w:tab/>
      </w:r>
      <w:r>
        <w:rPr>
          <w:noProof/>
        </w:rPr>
        <w:t xml:space="preserve">Για τους σκοπούς της συνέχισης των προγραμμάτων αυτών, θα πρέπει να διασαφηνιστεί ότι, με την επιφύλαξη του άρθρου 20 παράγραφοι 2 και 3 του κανονισμού (ΕΕ) </w:t>
      </w:r>
      <w:r>
        <w:rPr>
          <w:noProof/>
        </w:rPr>
        <w:t xml:space="preserve">αριθ. 1299/2013, τα εν λόγω προγράμματα συνεργασίας μπορούν να καλύπτουν τις συμμετέχουσες περιφέρειες στο Ηνωμένο Βασίλειο, οι οποίες θα πρέπει να είναι ισοδύναμες των περιφερειών του επιπέδου NUTS 3.  </w:t>
      </w:r>
    </w:p>
    <w:p w:rsidR="009F5731" w:rsidRDefault="005C2A57">
      <w:pPr>
        <w:pStyle w:val="ManualConsidrant"/>
        <w:rPr>
          <w:noProof/>
        </w:rPr>
      </w:pPr>
      <w:r>
        <w:t>(6)</w:t>
      </w:r>
      <w:r>
        <w:tab/>
      </w:r>
      <w:r>
        <w:rPr>
          <w:noProof/>
        </w:rPr>
        <w:t>Για τους σκοπούς της συνέχισης της χρηματοδότησης των προγραμμάτων αυτών από τον γενικό προϋπολογισμό της ΕΕ, θα πρέπει να συναφθεί μεταξύ της Επιτροπής και των αρχών του Ηνωμένου Βασιλείου διοικητική συμφωνία που θα αρχίσει να ισχύει από την ημερομηνία κα</w:t>
      </w:r>
      <w:r>
        <w:rPr>
          <w:noProof/>
        </w:rPr>
        <w:t>τά την οποία θα παύσουν να εφαρμόζονται στο Ηνωμένο Βασίλειο και εντός αυτού οι Συνθήκες, έτσι ώστε να καταστεί δυνατή η διενέργεια οικονομικών και λοιπών ελέγχων στα αντίστοιχα προγράμματα. Εάν δεν μπορούν να διενεργηθούν οι απαραίτητοι οικονομικοί και λο</w:t>
      </w:r>
      <w:r>
        <w:rPr>
          <w:noProof/>
        </w:rPr>
        <w:t xml:space="preserve">ιποί έλεγχοι, τότε η Επιτροπή θα πρέπει να έχει τη δυνατότητα να διακόπτει τις προθεσμίες πληρωμής, να αναστέλλει τις πληρωμές και να επιβάλλει δημοσιονομικές διορθώσεις, όπως προβλέπεται στα άρθρα 83, 142, 144 και 145 του κανονισμού (ΕΕ) αριθ. 1303/2013. </w:t>
      </w:r>
    </w:p>
    <w:p w:rsidR="009F5731" w:rsidRDefault="005C2A57">
      <w:pPr>
        <w:pStyle w:val="ManualConsidrant"/>
        <w:rPr>
          <w:noProof/>
        </w:rPr>
      </w:pPr>
      <w:r>
        <w:t>(7)</w:t>
      </w:r>
      <w:r>
        <w:tab/>
      </w:r>
      <w:r>
        <w:rPr>
          <w:noProof/>
        </w:rPr>
        <w:t>Σύμφωνα με το άρθρο 76 του κανονισμού (ΕΕ) αριθ. 1303/2013, η απόφαση C(2015) 8564 της Επιτροπής, της 30ής Νοεμβρίου 2015, για την έγκριση του προγράμματος PEACE IV (Ιρλανδία-Ηνωμένο Βασίλειο), όπως τροποποιήθηκε από την απόφαση C(2018) 5126, της 26ης</w:t>
      </w:r>
      <w:r>
        <w:rPr>
          <w:noProof/>
        </w:rPr>
        <w:t xml:space="preserve"> Ιουλίου 2018, καθώς και η απόφαση C(2015) 890, της 12ης Φεβρουαρίου 2015, για την έγκριση του προγράμματος Interreg VA, όπως τροποποιήθηκε από την απόφαση C(2016) 1547, της 10ης Μαρτίου 2016, θα πρέπει να συνεχίσουν να αποτελούν την απόφαση χρηματοδότησης</w:t>
      </w:r>
      <w:r>
        <w:rPr>
          <w:noProof/>
        </w:rPr>
        <w:t xml:space="preserve"> κατά την έννοια του δημοσιονομικού κανονισμού και, επομένως, τη νομική δέσμευση κατά την έννοια του εν λόγω κανονισμού. Το Ηνωμένο Βασίλειο παραμένει υπεύθυνο για τις δημοσιονομικές υποχρεώσεις που ανέλαβε ως κράτος μέλος όσον αφορά τις νομικές αυτές δεσμ</w:t>
      </w:r>
      <w:r>
        <w:rPr>
          <w:noProof/>
        </w:rPr>
        <w:t xml:space="preserve">εύσεις της Ένωσης.  </w:t>
      </w:r>
    </w:p>
    <w:p w:rsidR="009F5731" w:rsidRDefault="005C2A57">
      <w:pPr>
        <w:pStyle w:val="ManualConsidrant"/>
        <w:rPr>
          <w:noProof/>
        </w:rPr>
      </w:pPr>
      <w:r>
        <w:t>(8)</w:t>
      </w:r>
      <w:r>
        <w:tab/>
      </w:r>
      <w:r>
        <w:rPr>
          <w:noProof/>
        </w:rPr>
        <w:t>Από την ημερομηνία κατά την οποία θα σταματήσουν να εφαρμόζονται οι Συνθήκες στο Ηνωμένο Βασίλειο, αυτό θα παύσει να αποτελεί «εντός Ένωσης μέρος της περιοχής του προγράμματος» κατά την έννοια του άρθρου 20 παράγραφος 1 του κανονισ</w:t>
      </w:r>
      <w:r>
        <w:rPr>
          <w:noProof/>
        </w:rPr>
        <w:t>μού (ΕΕ) αριθ. 1299/2013.  Κατά συνέπεια, θα πρέπει να προσαρμοστούν οι διατάξεις σχετικά με την επιλεξιμότητα των πράξεων ανάλογα με τον τόπο.</w:t>
      </w:r>
    </w:p>
    <w:p w:rsidR="009F5731" w:rsidRDefault="005C2A57">
      <w:pPr>
        <w:pStyle w:val="ManualConsidrant"/>
        <w:rPr>
          <w:noProof/>
        </w:rPr>
      </w:pPr>
      <w:r>
        <w:t>(9)</w:t>
      </w:r>
      <w:r>
        <w:tab/>
      </w:r>
      <w:r>
        <w:rPr>
          <w:noProof/>
        </w:rPr>
        <w:t>Για να καταστεί δυνατή η ταχεία εφαρμογή των μέτρων που προβλέπονται στον παρόντα κανονισμό, ο παρών κανονισ</w:t>
      </w:r>
      <w:r>
        <w:rPr>
          <w:noProof/>
        </w:rPr>
        <w:t xml:space="preserve">μός θα πρέπει να τεθεί σε ισχύ την επομένη της δημοσίευσής του στην </w:t>
      </w:r>
      <w:r>
        <w:rPr>
          <w:i/>
          <w:noProof/>
        </w:rPr>
        <w:t>Επίσημη Εφημερίδα της Ευρωπαϊκής Ένωσης</w:t>
      </w:r>
      <w:r>
        <w:rPr>
          <w:noProof/>
        </w:rPr>
        <w:t xml:space="preserve">. Ο παρών κανονισμός θα πρέπει να εφαρμοστεί μόνο σε περίπτωση που δεν τεθεί σε ισχύ συμφωνία αποχώρησης που να έχει συναφθεί με το Ηνωμένο Βασίλειο </w:t>
      </w:r>
      <w:r>
        <w:rPr>
          <w:noProof/>
        </w:rPr>
        <w:t>σύμφωνα με το άρθρο 50 παράγραφος 2 της Συνθήκης για την Ευρωπαϊκή Ένωση πριν από την ημερομηνία κατά την οποία θα παύσουν να εφαρμόζονται στο Ηνωμένο Βασίλειο και εντός αυτού οι Συνθήκες βάσει του άρθρου 50 παράγραφος 3 της Συνθήκης για την Ευρωπαϊκή Ένωσ</w:t>
      </w:r>
      <w:r>
        <w:rPr>
          <w:noProof/>
        </w:rPr>
        <w:t>η,</w:t>
      </w:r>
    </w:p>
    <w:p w:rsidR="009F5731" w:rsidRDefault="005C2A57">
      <w:pPr>
        <w:pStyle w:val="Formuledadoption"/>
        <w:rPr>
          <w:noProof/>
        </w:rPr>
      </w:pPr>
      <w:r>
        <w:rPr>
          <w:noProof/>
        </w:rPr>
        <w:t>ΕΞΕΔΩΣΑΝ ΤΟΝ ΠΑΡΟΝΤΑ ΚΑΝΟΝΙΣΜΟ:</w:t>
      </w:r>
    </w:p>
    <w:p w:rsidR="009F5731" w:rsidRDefault="005C2A57">
      <w:pPr>
        <w:pStyle w:val="Titrearticle"/>
        <w:rPr>
          <w:noProof/>
        </w:rPr>
      </w:pPr>
      <w:r>
        <w:rPr>
          <w:noProof/>
        </w:rPr>
        <w:t>Άρθρο 1</w:t>
      </w:r>
      <w:r>
        <w:rPr>
          <w:noProof/>
        </w:rPr>
        <w:br/>
      </w:r>
      <w:r>
        <w:rPr>
          <w:b/>
          <w:noProof/>
        </w:rPr>
        <w:t>Αντικείμενο και πεδίο εφαρμογής</w:t>
      </w:r>
    </w:p>
    <w:p w:rsidR="009F5731" w:rsidRDefault="005C2A57">
      <w:pPr>
        <w:rPr>
          <w:noProof/>
        </w:rPr>
      </w:pPr>
      <w:r>
        <w:rPr>
          <w:noProof/>
        </w:rPr>
        <w:t xml:space="preserve">Οι διατάξεις του παρόντος κανονισμού έχουν σκοπό να αντιμετωπίσουν τις συνέπειες από την αποχώρηση του Ηνωμένου Βασιλείου από την Ένωση, σε περίπτωση που δεν τεθεί σε ισχύ συμφωνία </w:t>
      </w:r>
      <w:r>
        <w:rPr>
          <w:noProof/>
        </w:rPr>
        <w:t>αποχώρησης που να έχει συναφθεί με το Ηνωμένο Βασίλειο σύμφωνα με το άρθρο 50 παράγραφος 2 της Συνθήκης για την Ευρωπαϊκή Ένωση πριν από την ημερομηνία κατά την οποία παύσουν να εφαρμόζονται στο Ηνωμένο Βασίλειο και εντός αυτού οι Συνθήκες βάσει του άρθρου</w:t>
      </w:r>
      <w:r>
        <w:rPr>
          <w:noProof/>
        </w:rPr>
        <w:t xml:space="preserve"> 50 παράγραφος 3 της Συνθήκης για την Ευρωπαϊκή Ένωση. Οι διατάξεις του παρόντος κανονισμού αφορούν τη συνέχιση των ακόλουθων δύο προγραμμάτων συνεργασίας που διέπει ο κανονισμός (ΕΕ) αριθ. 1299/2013 («προγράμματα συνεργασίας») με τη συμμετοχή του Ηνωμένου</w:t>
      </w:r>
      <w:r>
        <w:rPr>
          <w:noProof/>
        </w:rPr>
        <w:t xml:space="preserve"> Βασιλείου («τα προγράμματα συνεργασίας»): </w:t>
      </w:r>
    </w:p>
    <w:p w:rsidR="009F5731" w:rsidRDefault="005C2A57">
      <w:pPr>
        <w:pStyle w:val="Point0number"/>
        <w:numPr>
          <w:ilvl w:val="0"/>
          <w:numId w:val="15"/>
        </w:numPr>
        <w:rPr>
          <w:noProof/>
        </w:rPr>
      </w:pPr>
      <w:r>
        <w:rPr>
          <w:noProof/>
        </w:rPr>
        <w:t xml:space="preserve">PEACE IV (Ιρλανδία-Ηνωμένο Βασίλειο)· </w:t>
      </w:r>
    </w:p>
    <w:p w:rsidR="009F5731" w:rsidRDefault="005C2A57">
      <w:pPr>
        <w:pStyle w:val="Point0number"/>
        <w:rPr>
          <w:noProof/>
        </w:rPr>
      </w:pPr>
      <w:r>
        <w:rPr>
          <w:noProof/>
        </w:rPr>
        <w:t>«Ηνωμένο Βασίλειο-Ιρλανδία» (Ιρλανδία-Βόρεια Ιρλανδία-Σκωτία).</w:t>
      </w:r>
    </w:p>
    <w:p w:rsidR="009F5731" w:rsidRDefault="005C2A57">
      <w:pPr>
        <w:rPr>
          <w:noProof/>
        </w:rPr>
      </w:pPr>
      <w:r>
        <w:rPr>
          <w:noProof/>
        </w:rPr>
        <w:t>Ο κανονισμός (ΕΕ) αριθ. 1299/2013 συνεχίζει να εφαρμόζεται στα προγράμματα συνεργασίας που υπόκεινται στις δια</w:t>
      </w:r>
      <w:r>
        <w:rPr>
          <w:noProof/>
        </w:rPr>
        <w:t xml:space="preserve">τάξεις του παρόντος κανονισμού. </w:t>
      </w:r>
    </w:p>
    <w:p w:rsidR="009F5731" w:rsidRDefault="005C2A57">
      <w:pPr>
        <w:pStyle w:val="Titrearticle"/>
        <w:ind w:left="1080"/>
        <w:rPr>
          <w:noProof/>
        </w:rPr>
      </w:pPr>
      <w:r>
        <w:rPr>
          <w:noProof/>
        </w:rPr>
        <w:t xml:space="preserve">Άρθρο 2 </w:t>
      </w:r>
      <w:r>
        <w:rPr>
          <w:noProof/>
        </w:rPr>
        <w:br/>
      </w:r>
      <w:r>
        <w:rPr>
          <w:b/>
          <w:noProof/>
        </w:rPr>
        <w:t>Γεωγραφική κάλυψη</w:t>
      </w:r>
    </w:p>
    <w:p w:rsidR="009F5731" w:rsidRDefault="005C2A57">
      <w:pPr>
        <w:rPr>
          <w:noProof/>
        </w:rPr>
      </w:pPr>
      <w:r>
        <w:rPr>
          <w:noProof/>
        </w:rPr>
        <w:t>Με την επιφύλαξη του άρθρου 20 παράγραφοι 2 και 3 του κανονισμού (ΕΕ) αριθ. 1299/2013, τα προγράμματα συνεργασίας μπορούν να καλύπτουν τις συμμετέχουσες περιφέρειες στο Ηνωμένο Βασίλειο, οι οποίες</w:t>
      </w:r>
      <w:r>
        <w:rPr>
          <w:noProof/>
        </w:rPr>
        <w:t xml:space="preserve"> είναι ισοδύναμες των περιφερειών του επιπέδου NUTS 3.</w:t>
      </w:r>
    </w:p>
    <w:p w:rsidR="009F5731" w:rsidRDefault="005C2A57">
      <w:pPr>
        <w:pStyle w:val="Titrearticle"/>
        <w:rPr>
          <w:noProof/>
        </w:rPr>
      </w:pPr>
      <w:r>
        <w:rPr>
          <w:noProof/>
        </w:rPr>
        <w:t>Άρθρο 3</w:t>
      </w:r>
      <w:r>
        <w:rPr>
          <w:noProof/>
        </w:rPr>
        <w:br/>
      </w:r>
      <w:r>
        <w:rPr>
          <w:b/>
          <w:noProof/>
        </w:rPr>
        <w:t>Αρχές του προγράμματος</w:t>
      </w:r>
    </w:p>
    <w:p w:rsidR="009F5731" w:rsidRDefault="005C2A57">
      <w:pPr>
        <w:rPr>
          <w:noProof/>
        </w:rPr>
      </w:pPr>
      <w:r>
        <w:rPr>
          <w:noProof/>
        </w:rPr>
        <w:t>Κατά παρέκκλιση από το άρθρο 21 παράγραφος 1 του κανονισμού (ΕΕ) αριθ. 1299/2013,</w:t>
      </w:r>
    </w:p>
    <w:p w:rsidR="009F5731" w:rsidRDefault="005C2A57">
      <w:pPr>
        <w:pStyle w:val="ListDash"/>
        <w:rPr>
          <w:noProof/>
        </w:rPr>
      </w:pPr>
      <w:r>
        <w:rPr>
          <w:noProof/>
        </w:rPr>
        <w:t>ο ειδικός οργανισμός για τα προγράμματα της ΕΕ (SEUPB), ο οποίος φιλοξενεί την αρχή διαχ</w:t>
      </w:r>
      <w:r>
        <w:rPr>
          <w:noProof/>
        </w:rPr>
        <w:t>είρισης και την αρχή πιστοποίησης του προγράμματος PEACE IV (Ιρλανδία-Ηνωμένο Βασίλειο), καθώς και του προγράμματος «Ηνωμένο Βασίλειο-Ιρλανδία» (Ιρλανδία-Βόρεια Ιρλανδία-Σκωτία), συνεχίζει να ασκεί τα καθήκοντά του·</w:t>
      </w:r>
    </w:p>
    <w:p w:rsidR="009F5731" w:rsidRDefault="005C2A57">
      <w:pPr>
        <w:pStyle w:val="ListDash"/>
        <w:spacing w:before="0" w:after="200" w:line="276" w:lineRule="auto"/>
        <w:jc w:val="left"/>
        <w:rPr>
          <w:i/>
          <w:noProof/>
        </w:rPr>
      </w:pPr>
      <w:r>
        <w:rPr>
          <w:noProof/>
        </w:rPr>
        <w:t>το υπουργείο Οικονομικών της Βόρειας Ιρλ</w:t>
      </w:r>
      <w:r>
        <w:rPr>
          <w:noProof/>
        </w:rPr>
        <w:t xml:space="preserve">ανδίας παραμένει η αρχή οικονομικού ελέγχου των εν λόγω προγραμμάτων. </w:t>
      </w:r>
      <w:bookmarkStart w:id="0" w:name="_GoBack"/>
      <w:bookmarkEnd w:id="0"/>
    </w:p>
    <w:p w:rsidR="009F5731" w:rsidRDefault="005C2A57">
      <w:pPr>
        <w:pStyle w:val="Titrearticle"/>
        <w:rPr>
          <w:b/>
          <w:i w:val="0"/>
          <w:noProof/>
          <w:szCs w:val="24"/>
        </w:rPr>
      </w:pPr>
      <w:r>
        <w:rPr>
          <w:noProof/>
        </w:rPr>
        <w:t>Άρθρο 4</w:t>
      </w:r>
      <w:r>
        <w:rPr>
          <w:noProof/>
        </w:rPr>
        <w:br/>
      </w:r>
      <w:r>
        <w:rPr>
          <w:b/>
          <w:noProof/>
        </w:rPr>
        <w:t>Αρμοδιότητες της Επιτροπής σχετικά με τους ελέγχους</w:t>
      </w:r>
    </w:p>
    <w:p w:rsidR="009F5731" w:rsidRDefault="005C2A57">
      <w:pPr>
        <w:rPr>
          <w:noProof/>
        </w:rPr>
      </w:pPr>
      <w:r>
        <w:rPr>
          <w:noProof/>
        </w:rPr>
        <w:t>Η εφαρμογή των κανόνων σχετικά με τους οικονομικούς και λοιπούς ελέγχους των αντίστοιχων προγραμμάτων συμφωνείται μεταξύ της</w:t>
      </w:r>
      <w:r>
        <w:rPr>
          <w:noProof/>
        </w:rPr>
        <w:t xml:space="preserve"> Επιτροπής και των αρχών του Ηνωμένου Βασιλείου. Οι οικονομικοί και λοιποί έλεγχοι καλύπτουν το σύνολο της περιόδου των προγραμμάτων συνεργασίας.</w:t>
      </w:r>
    </w:p>
    <w:p w:rsidR="009F5731" w:rsidRDefault="005C2A57">
      <w:pPr>
        <w:rPr>
          <w:noProof/>
        </w:rPr>
      </w:pPr>
      <w:r>
        <w:rPr>
          <w:noProof/>
        </w:rPr>
        <w:t>Σε περίπτωση που δεν μπορούν να ολοκληρωθούν οι απαραίτητοι οικονομικοί και λοιποί έλεγχοι των προγραμμάτων σε</w:t>
      </w:r>
      <w:r>
        <w:rPr>
          <w:noProof/>
        </w:rPr>
        <w:t xml:space="preserve"> όλες τις σχετικές περιφέρειες, τούτο αποτελεί σοβαρή ανεπάρκεια του συστήματος διαχείρισης και ελέγχου για τους σκοπούς των μέτρων που ορίζονται στα άρθρα 83, 142, 144 και 145 του κανονισμού (EΕ) αριθ. 1303/2013.</w:t>
      </w:r>
    </w:p>
    <w:p w:rsidR="009F5731" w:rsidRDefault="005C2A57">
      <w:pPr>
        <w:pStyle w:val="Titrearticle"/>
        <w:rPr>
          <w:noProof/>
        </w:rPr>
      </w:pPr>
      <w:r>
        <w:rPr>
          <w:noProof/>
        </w:rPr>
        <w:t>Άρθρο 5</w:t>
      </w:r>
      <w:r>
        <w:rPr>
          <w:noProof/>
        </w:rPr>
        <w:br/>
      </w:r>
      <w:r>
        <w:rPr>
          <w:b/>
          <w:noProof/>
        </w:rPr>
        <w:t>Επιλεξιμότητα πράξεων βάσει της γε</w:t>
      </w:r>
      <w:r>
        <w:rPr>
          <w:b/>
          <w:noProof/>
        </w:rPr>
        <w:t>ωγραφικής θέσης</w:t>
      </w:r>
    </w:p>
    <w:p w:rsidR="009F5731" w:rsidRDefault="005C2A57">
      <w:pPr>
        <w:rPr>
          <w:noProof/>
        </w:rPr>
      </w:pPr>
      <w:r>
        <w:rPr>
          <w:noProof/>
        </w:rPr>
        <w:t>Το ανώτατο όριο που προβλέπεται στο άρθρο 20 παράγραφος 2 στοιχείο β) του κανονισμού (ΕΕ) αριθ. 1299/2013 δεν ισχύει για τα προγράμματα συνεργασίας.</w:t>
      </w:r>
    </w:p>
    <w:p w:rsidR="009F5731" w:rsidRDefault="005C2A57">
      <w:pPr>
        <w:pStyle w:val="Titrearticle"/>
        <w:rPr>
          <w:noProof/>
        </w:rPr>
      </w:pPr>
      <w:r>
        <w:rPr>
          <w:noProof/>
        </w:rPr>
        <w:t>Άρθρο 6</w:t>
      </w:r>
      <w:r>
        <w:br/>
      </w:r>
      <w:r>
        <w:rPr>
          <w:b/>
          <w:noProof/>
        </w:rPr>
        <w:t>Έναρξη ισχύος και εφαρμογή</w:t>
      </w:r>
    </w:p>
    <w:p w:rsidR="009F5731" w:rsidRDefault="005C2A57">
      <w:pPr>
        <w:rPr>
          <w:noProof/>
        </w:rPr>
      </w:pPr>
      <w:r>
        <w:rPr>
          <w:noProof/>
        </w:rPr>
        <w:t>Ο παρών κανονισμός αρχίζει να ισχύει την επομένη της δημ</w:t>
      </w:r>
      <w:r>
        <w:rPr>
          <w:noProof/>
        </w:rPr>
        <w:t xml:space="preserve">οσίευσής του στην </w:t>
      </w:r>
      <w:r>
        <w:rPr>
          <w:i/>
          <w:noProof/>
        </w:rPr>
        <w:t>Επίσημη Εφημερίδα της Ευρωπαϊκής Ένωσης</w:t>
      </w:r>
      <w:r>
        <w:rPr>
          <w:noProof/>
        </w:rPr>
        <w:t xml:space="preserve">. </w:t>
      </w:r>
    </w:p>
    <w:p w:rsidR="009F5731" w:rsidRDefault="005C2A57">
      <w:pPr>
        <w:keepNext/>
        <w:rPr>
          <w:noProof/>
        </w:rPr>
      </w:pPr>
      <w:r>
        <w:rPr>
          <w:noProof/>
        </w:rPr>
        <w:t>Εφαρμόζεται από την επομένη της ημέρας κατά την οποία παύουν να εφαρμόζονται στο Ηνωμένο Βασίλειο και εντός αυτού οι Συνθήκες, σύμφωνα με το άρθρο 50 παράγραφος 3 της Συνθήκης για την Ευρωπαϊκή Έν</w:t>
      </w:r>
      <w:r>
        <w:rPr>
          <w:noProof/>
        </w:rPr>
        <w:t>ωση.</w:t>
      </w:r>
    </w:p>
    <w:p w:rsidR="009F5731" w:rsidRDefault="005C2A57">
      <w:pPr>
        <w:keepNext/>
        <w:rPr>
          <w:noProof/>
        </w:rPr>
      </w:pPr>
      <w:r>
        <w:rPr>
          <w:noProof/>
        </w:rPr>
        <w:t>Ωστόσο, ο παρών κανονισμός δεν εφαρμόζεται εάν τεθεί σε ισχύ πριν από την ημερομηνία αυτή συμφωνία αποχώρησης που συνάφθηκε με το Ηνωμένο Βασίλειο σύμφωνα με το άρθρο 50 παράγραφος 2 της Συνθήκης για την Ευρωπαϊκή Ένωση.</w:t>
      </w:r>
    </w:p>
    <w:p w:rsidR="009F5731" w:rsidRDefault="005C2A57">
      <w:pPr>
        <w:pStyle w:val="Applicationdirecte"/>
        <w:rPr>
          <w:noProof/>
        </w:rPr>
      </w:pPr>
      <w:r>
        <w:rPr>
          <w:noProof/>
        </w:rPr>
        <w:t xml:space="preserve">Ο παρών κανονισμός είναι </w:t>
      </w:r>
      <w:r>
        <w:rPr>
          <w:noProof/>
        </w:rPr>
        <w:t>δεσμευτικός ως προς όλα τα μέρη του και ισχύει άμεσα σε κάθε κράτος μέλος.</w:t>
      </w:r>
    </w:p>
    <w:p w:rsidR="009F5731" w:rsidRDefault="005C2A57">
      <w:pPr>
        <w:pStyle w:val="Fait"/>
        <w:rPr>
          <w:noProof/>
        </w:rPr>
      </w:pPr>
      <w:r>
        <w:t>Βρυξέλλες,</w:t>
      </w:r>
    </w:p>
    <w:p w:rsidR="009F5731" w:rsidRDefault="005C2A57">
      <w:pPr>
        <w:pStyle w:val="Institutionquisigne"/>
        <w:rPr>
          <w:noProof/>
        </w:rPr>
      </w:pPr>
      <w:r>
        <w:rPr>
          <w:noProof/>
        </w:rPr>
        <w:t>Για το Ευρωπαϊκό Κοινοβούλιο</w:t>
      </w:r>
      <w:r>
        <w:rPr>
          <w:noProof/>
        </w:rPr>
        <w:tab/>
        <w:t>Για το Συμβούλιο</w:t>
      </w:r>
    </w:p>
    <w:p w:rsidR="009F5731" w:rsidRDefault="005C2A57">
      <w:pPr>
        <w:pStyle w:val="Personnequisigne"/>
        <w:rPr>
          <w:i w:val="0"/>
          <w:noProof/>
        </w:rPr>
      </w:pPr>
      <w:r>
        <w:rPr>
          <w:noProof/>
        </w:rPr>
        <w:t>Ο Πρόεδρος</w:t>
      </w:r>
      <w:r>
        <w:rPr>
          <w:noProof/>
        </w:rPr>
        <w:tab/>
        <w:t>Ο Πρόεδρος</w:t>
      </w:r>
    </w:p>
    <w:p w:rsidR="009F5731" w:rsidRDefault="009F5731">
      <w:pPr>
        <w:pStyle w:val="Personnequisigne"/>
        <w:rPr>
          <w:noProof/>
        </w:rPr>
        <w:sectPr w:rsidR="009F5731">
          <w:pgSz w:w="11907" w:h="16839"/>
          <w:pgMar w:top="1134" w:right="1417" w:bottom="1134" w:left="1417" w:header="709" w:footer="709" w:gutter="0"/>
          <w:cols w:space="708"/>
          <w:docGrid w:linePitch="360"/>
        </w:sectPr>
      </w:pPr>
    </w:p>
    <w:p w:rsidR="009F5731" w:rsidRDefault="005C2A57">
      <w:pPr>
        <w:pStyle w:val="Fichefinanciretitre"/>
        <w:rPr>
          <w:noProof/>
        </w:rPr>
      </w:pPr>
      <w:r>
        <w:rPr>
          <w:noProof/>
        </w:rPr>
        <w:t>ΝΟΜΟΘΕΤΙΚΟ ΔΗΜΟΣΙΟΝΟΜΙΚΟ ΔΕΛΤΙΟ</w:t>
      </w:r>
    </w:p>
    <w:p w:rsidR="009F5731" w:rsidRDefault="005C2A57">
      <w:pPr>
        <w:pStyle w:val="ManualHeading1"/>
        <w:rPr>
          <w:noProof/>
        </w:rPr>
      </w:pPr>
      <w:bookmarkStart w:id="1" w:name="_Toc514938007"/>
      <w:bookmarkStart w:id="2" w:name="_Toc520485025"/>
      <w:r>
        <w:t>1.</w:t>
      </w:r>
      <w:r>
        <w:tab/>
      </w:r>
      <w:r>
        <w:rPr>
          <w:noProof/>
        </w:rPr>
        <w:t>ΠΛΑΙΣΙΟ ΤΗΣ ΠΡΟΤΑΣΗΣ/ΠΡΩΤΟΒΟΥΛΙΑΣ</w:t>
      </w:r>
      <w:bookmarkEnd w:id="1"/>
      <w:bookmarkEnd w:id="2"/>
      <w:r>
        <w:rPr>
          <w:noProof/>
        </w:rPr>
        <w:t xml:space="preserve"> </w:t>
      </w:r>
    </w:p>
    <w:p w:rsidR="009F5731" w:rsidRDefault="005C2A57">
      <w:pPr>
        <w:pStyle w:val="ManualHeading2"/>
        <w:rPr>
          <w:noProof/>
        </w:rPr>
      </w:pPr>
      <w:bookmarkStart w:id="3" w:name="_Toc514938008"/>
      <w:bookmarkStart w:id="4" w:name="_Toc520485026"/>
      <w:r>
        <w:t>1.1.</w:t>
      </w:r>
      <w:r>
        <w:tab/>
      </w:r>
      <w:r>
        <w:rPr>
          <w:noProof/>
        </w:rPr>
        <w:t>Τίτλο</w:t>
      </w:r>
      <w:r>
        <w:rPr>
          <w:noProof/>
        </w:rPr>
        <w:t>ς της πρότασης/πρωτοβουλίας</w:t>
      </w:r>
      <w:bookmarkEnd w:id="3"/>
      <w:bookmarkEnd w:id="4"/>
    </w:p>
    <w:p w:rsidR="009F5731" w:rsidRDefault="005C2A57">
      <w:pPr>
        <w:pStyle w:val="ManualHeading2"/>
        <w:rPr>
          <w:i/>
          <w:noProof/>
        </w:rPr>
      </w:pPr>
      <w:bookmarkStart w:id="5" w:name="_Toc514938011"/>
      <w:bookmarkStart w:id="6" w:name="_Toc520485027"/>
      <w:r>
        <w:t>1.2.</w:t>
      </w:r>
      <w:r>
        <w:tab/>
      </w:r>
      <w:r>
        <w:rPr>
          <w:noProof/>
        </w:rPr>
        <w:t>Σχετικοί τομείς πολιτικής</w:t>
      </w:r>
      <w:bookmarkEnd w:id="5"/>
      <w:bookmarkEnd w:id="6"/>
      <w:r>
        <w:rPr>
          <w:i/>
          <w:noProof/>
        </w:rPr>
        <w:t xml:space="preserve"> </w:t>
      </w:r>
    </w:p>
    <w:p w:rsidR="009F5731" w:rsidRDefault="005C2A57">
      <w:pPr>
        <w:pStyle w:val="Text1"/>
        <w:pBdr>
          <w:top w:val="single" w:sz="4" w:space="1" w:color="auto"/>
          <w:left w:val="single" w:sz="4" w:space="4" w:color="auto"/>
          <w:bottom w:val="single" w:sz="4" w:space="1" w:color="auto"/>
          <w:right w:val="single" w:sz="4" w:space="4" w:color="auto"/>
        </w:pBdr>
        <w:rPr>
          <w:noProof/>
        </w:rPr>
      </w:pPr>
      <w:r>
        <w:rPr>
          <w:noProof/>
        </w:rPr>
        <w:t>Πρόταση κανονισμού του Ευρωπαϊκού Κοινοβουλίου και του Συμβουλίου σχετικά με ειδικές διατάξεις για τη διαχείριση των προγραμμάτων ευρωπαϊκής εδαφικής συνεργασίας στο πλαίσιο της αποχώρησης του Ηνω</w:t>
      </w:r>
      <w:r>
        <w:rPr>
          <w:noProof/>
        </w:rPr>
        <w:t>μένου Βασιλείου από την Ευρωπαϊκή Ένωση.</w:t>
      </w:r>
    </w:p>
    <w:p w:rsidR="009F5731" w:rsidRDefault="005C2A57">
      <w:pPr>
        <w:pStyle w:val="ManualHeading2"/>
        <w:rPr>
          <w:bCs/>
          <w:noProof/>
          <w:szCs w:val="24"/>
        </w:rPr>
      </w:pPr>
      <w:bookmarkStart w:id="7" w:name="_Toc514938025"/>
      <w:bookmarkStart w:id="8" w:name="_Toc520485034"/>
      <w:r>
        <w:t>1.3.</w:t>
      </w:r>
      <w:r>
        <w:tab/>
      </w:r>
      <w:r>
        <w:rPr>
          <w:noProof/>
        </w:rPr>
        <w:t>Αιτιολόγηση της πρότασης/πρωτοβουλίας</w:t>
      </w:r>
      <w:bookmarkEnd w:id="7"/>
      <w:bookmarkEnd w:id="8"/>
      <w:r>
        <w:rPr>
          <w:noProof/>
        </w:rPr>
        <w:t xml:space="preserve"> </w:t>
      </w:r>
    </w:p>
    <w:p w:rsidR="009F5731" w:rsidRDefault="005C2A57">
      <w:pPr>
        <w:pStyle w:val="ManualHeading3"/>
        <w:rPr>
          <w:noProof/>
        </w:rPr>
      </w:pPr>
      <w:bookmarkStart w:id="9" w:name="_Toc514938026"/>
      <w:bookmarkStart w:id="10" w:name="_Toc520485035"/>
      <w:r>
        <w:t>1.3.1.</w:t>
      </w:r>
      <w:r>
        <w:tab/>
      </w:r>
      <w:r>
        <w:rPr>
          <w:noProof/>
        </w:rPr>
        <w:t>Βραχυπρόθεσμη ή μακροπρόθεσμη κάλυψη αναγκών, συμπεριλαμβανομένου λεπτομερούς χρονοδιαγράμματος για τη σταδιακή υλοποίηση της πρωτοβουλίας</w:t>
      </w:r>
      <w:bookmarkEnd w:id="9"/>
      <w:bookmarkEnd w:id="10"/>
    </w:p>
    <w:p w:rsidR="009F5731" w:rsidRDefault="005C2A57">
      <w:pPr>
        <w:pStyle w:val="Text1"/>
        <w:pBdr>
          <w:top w:val="single" w:sz="4" w:space="1" w:color="auto"/>
          <w:left w:val="single" w:sz="4" w:space="4" w:color="auto"/>
          <w:bottom w:val="single" w:sz="4" w:space="1" w:color="auto"/>
          <w:right w:val="single" w:sz="4" w:space="4" w:color="auto"/>
        </w:pBdr>
        <w:rPr>
          <w:noProof/>
        </w:rPr>
      </w:pPr>
      <w:r>
        <w:rPr>
          <w:noProof/>
        </w:rPr>
        <w:t>Ο παρών κανονισμός αρχίζε</w:t>
      </w:r>
      <w:r>
        <w:rPr>
          <w:noProof/>
        </w:rPr>
        <w:t>ι να ισχύει την επομένη της δημοσίευσής του στην Επίσημη Εφημερίδα της Ευρωπαϊκής Ένωσης.</w:t>
      </w:r>
    </w:p>
    <w:p w:rsidR="009F5731" w:rsidRDefault="005C2A57">
      <w:pPr>
        <w:pStyle w:val="Text1"/>
        <w:pBdr>
          <w:top w:val="single" w:sz="4" w:space="1" w:color="auto"/>
          <w:left w:val="single" w:sz="4" w:space="4" w:color="auto"/>
          <w:bottom w:val="single" w:sz="4" w:space="1" w:color="auto"/>
          <w:right w:val="single" w:sz="4" w:space="4" w:color="auto"/>
        </w:pBdr>
        <w:rPr>
          <w:noProof/>
        </w:rPr>
      </w:pPr>
      <w:r>
        <w:rPr>
          <w:noProof/>
        </w:rPr>
        <w:t>Εφαρμόζεται από την ημερομηνία που έπεται της ημέρας κατά την οποία παύουν να εφαρμόζονται οι Συνθήκες στο Ηνωμένο Βασίλειο και εντός αυτού, σύμφωνα με το άρθρο 50 πα</w:t>
      </w:r>
      <w:r>
        <w:rPr>
          <w:noProof/>
        </w:rPr>
        <w:t>ράγραφος 3 της Συνθήκης για την Ευρωπαϊκή Ένωση.</w:t>
      </w:r>
    </w:p>
    <w:p w:rsidR="009F5731" w:rsidRDefault="005C2A57">
      <w:pPr>
        <w:pStyle w:val="Text1"/>
        <w:pBdr>
          <w:top w:val="single" w:sz="4" w:space="1" w:color="auto"/>
          <w:left w:val="single" w:sz="4" w:space="4" w:color="auto"/>
          <w:bottom w:val="single" w:sz="4" w:space="1" w:color="auto"/>
          <w:right w:val="single" w:sz="4" w:space="4" w:color="auto"/>
        </w:pBdr>
        <w:rPr>
          <w:noProof/>
        </w:rPr>
      </w:pPr>
      <w:r>
        <w:rPr>
          <w:noProof/>
        </w:rPr>
        <w:t>Ο παρών κανονισμός δεν εφαρμόζεται εάν τεθεί σε ισχύ πριν από την ημερομηνία αυτή συμφωνία αποχώρησης που συνάφθηκε με το Ηνωμένο Βασίλειο σύμφωνα με το άρθρο 50 παράγραφος 2 της Συνθήκης για την Ευρωπαϊκή Έ</w:t>
      </w:r>
      <w:r>
        <w:rPr>
          <w:noProof/>
        </w:rPr>
        <w:t>νωση.</w:t>
      </w:r>
    </w:p>
    <w:p w:rsidR="009F5731" w:rsidRDefault="005C2A57">
      <w:pPr>
        <w:pStyle w:val="ManualHeading3"/>
        <w:rPr>
          <w:bCs/>
          <w:noProof/>
          <w:szCs w:val="24"/>
        </w:rPr>
      </w:pPr>
      <w:bookmarkStart w:id="11" w:name="_Toc514938029"/>
      <w:bookmarkStart w:id="12" w:name="_Toc520485036"/>
      <w:r>
        <w:t>1.3.2.</w:t>
      </w:r>
      <w:r>
        <w:tab/>
      </w:r>
      <w:r>
        <w:rPr>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w:t>
      </w:r>
      <w:r>
        <w:rPr>
          <w:noProof/>
        </w:rPr>
        <w:t>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bookmarkEnd w:id="11"/>
      <w:bookmarkEnd w:id="12"/>
    </w:p>
    <w:p w:rsidR="009F5731" w:rsidRDefault="005C2A57">
      <w:pPr>
        <w:pStyle w:val="Text1"/>
        <w:pBdr>
          <w:top w:val="single" w:sz="4" w:space="1" w:color="auto"/>
          <w:left w:val="single" w:sz="4" w:space="4" w:color="auto"/>
          <w:bottom w:val="single" w:sz="4" w:space="1" w:color="auto"/>
          <w:right w:val="single" w:sz="4" w:space="4" w:color="auto"/>
        </w:pBdr>
        <w:rPr>
          <w:noProof/>
        </w:rPr>
      </w:pPr>
      <w:r>
        <w:t>Άνευ αντικειμένου</w:t>
      </w:r>
    </w:p>
    <w:p w:rsidR="009F5731" w:rsidRDefault="005C2A57">
      <w:pPr>
        <w:pStyle w:val="ManualHeading3"/>
        <w:rPr>
          <w:noProof/>
        </w:rPr>
      </w:pPr>
      <w:bookmarkStart w:id="13" w:name="_Toc514938030"/>
      <w:bookmarkStart w:id="14" w:name="_Toc520485037"/>
      <w:r>
        <w:t>1.3.3.</w:t>
      </w:r>
      <w:r>
        <w:tab/>
      </w:r>
      <w:r>
        <w:rPr>
          <w:noProof/>
        </w:rPr>
        <w:t>Διδάγματα από ανάλογες εμπειρίες του παρε</w:t>
      </w:r>
      <w:r>
        <w:rPr>
          <w:noProof/>
        </w:rPr>
        <w:t>λθόντος</w:t>
      </w:r>
      <w:bookmarkEnd w:id="13"/>
      <w:bookmarkEnd w:id="14"/>
    </w:p>
    <w:p w:rsidR="009F5731" w:rsidRDefault="005C2A57">
      <w:pPr>
        <w:pStyle w:val="Text1"/>
        <w:pBdr>
          <w:top w:val="single" w:sz="4" w:space="1" w:color="auto"/>
          <w:left w:val="single" w:sz="4" w:space="4" w:color="auto"/>
          <w:bottom w:val="single" w:sz="4" w:space="1" w:color="auto"/>
          <w:right w:val="single" w:sz="4" w:space="4" w:color="auto"/>
        </w:pBdr>
        <w:rPr>
          <w:noProof/>
        </w:rPr>
      </w:pPr>
      <w:r>
        <w:t>Άνευ αντικειμένου</w:t>
      </w:r>
    </w:p>
    <w:p w:rsidR="009F5731" w:rsidRDefault="005C2A57">
      <w:pPr>
        <w:pStyle w:val="ManualHeading3"/>
        <w:rPr>
          <w:noProof/>
        </w:rPr>
      </w:pPr>
      <w:bookmarkStart w:id="15" w:name="_Toc514938033"/>
      <w:bookmarkStart w:id="16" w:name="_Toc520485038"/>
      <w:r>
        <w:t>1.3.4.</w:t>
      </w:r>
      <w:r>
        <w:tab/>
      </w:r>
      <w:r>
        <w:rPr>
          <w:noProof/>
        </w:rPr>
        <w:t>Συμβατότητα με το πολυετές δημοσιονομικό πλαίσιο και ενδεχόμενες συνέργειες με άλλα κατάλληλα μέσα</w:t>
      </w:r>
      <w:bookmarkEnd w:id="15"/>
      <w:bookmarkEnd w:id="16"/>
    </w:p>
    <w:p w:rsidR="009F5731" w:rsidRDefault="005C2A57">
      <w:pPr>
        <w:pStyle w:val="Text1"/>
        <w:pBdr>
          <w:top w:val="single" w:sz="4" w:space="1" w:color="auto"/>
          <w:left w:val="single" w:sz="4" w:space="4" w:color="auto"/>
          <w:bottom w:val="single" w:sz="4" w:space="1" w:color="auto"/>
          <w:right w:val="single" w:sz="4" w:space="4" w:color="auto"/>
        </w:pBdr>
        <w:rPr>
          <w:noProof/>
        </w:rPr>
      </w:pPr>
      <w:r>
        <w:rPr>
          <w:noProof/>
        </w:rPr>
        <w:t>Ο παρών κανονισμός είναι συμβατός με το ΠΔΠ. Δεν έχει δημοσιονομικές επιπτώσεις.</w:t>
      </w:r>
    </w:p>
    <w:p w:rsidR="009F5731" w:rsidRDefault="005C2A57">
      <w:pPr>
        <w:pStyle w:val="ManualHeading3"/>
        <w:rPr>
          <w:noProof/>
        </w:rPr>
      </w:pPr>
      <w:bookmarkStart w:id="17" w:name="_Toc514938036"/>
      <w:bookmarkStart w:id="18" w:name="_Toc520485039"/>
      <w:r>
        <w:t>1.3.5.</w:t>
      </w:r>
      <w:r>
        <w:tab/>
      </w:r>
      <w:r>
        <w:rPr>
          <w:noProof/>
        </w:rPr>
        <w:t>Αξιολόγηση των διαφόρων διαθέσιμων ε</w:t>
      </w:r>
      <w:r>
        <w:rPr>
          <w:noProof/>
        </w:rPr>
        <w:t>πιλογών χρηματοδότησης, συμπεριλαμβανομένων των δυνατοτήτων ανακατανομής</w:t>
      </w:r>
      <w:bookmarkEnd w:id="17"/>
      <w:bookmarkEnd w:id="18"/>
    </w:p>
    <w:p w:rsidR="009F5731" w:rsidRDefault="005C2A57">
      <w:pPr>
        <w:pStyle w:val="Text1"/>
        <w:pBdr>
          <w:top w:val="single" w:sz="4" w:space="1" w:color="auto"/>
          <w:left w:val="single" w:sz="4" w:space="4" w:color="auto"/>
          <w:bottom w:val="single" w:sz="4" w:space="0" w:color="auto"/>
          <w:right w:val="single" w:sz="4" w:space="4" w:color="auto"/>
        </w:pBdr>
        <w:rPr>
          <w:noProof/>
        </w:rPr>
      </w:pPr>
      <w:r>
        <w:rPr>
          <w:noProof/>
        </w:rPr>
        <w:t>Ο παρών κανονισμός δεν έχει δημοσιονομικές επιπτώσεις. Η συνεισφορά της Ένωσης στα προγράμματα θα χρηματοδοτείται από τον γενικό προϋπολογισμό της Ένωσης.</w:t>
      </w:r>
    </w:p>
    <w:p w:rsidR="009F5731" w:rsidRDefault="009F5731">
      <w:pPr>
        <w:pStyle w:val="Text1"/>
        <w:rPr>
          <w:noProof/>
        </w:rPr>
      </w:pPr>
    </w:p>
    <w:p w:rsidR="009F5731" w:rsidRDefault="005C2A57">
      <w:pPr>
        <w:pStyle w:val="ManualHeading2"/>
        <w:rPr>
          <w:bCs/>
          <w:noProof/>
          <w:szCs w:val="24"/>
        </w:rPr>
      </w:pPr>
      <w:r>
        <w:rPr>
          <w:noProof/>
        </w:rPr>
        <w:br w:type="page"/>
      </w:r>
      <w:bookmarkStart w:id="19" w:name="_Toc514938039"/>
      <w:bookmarkStart w:id="20" w:name="_Toc520485040"/>
      <w:r>
        <w:t>1.4.</w:t>
      </w:r>
      <w:r>
        <w:tab/>
      </w:r>
      <w:r>
        <w:rPr>
          <w:noProof/>
        </w:rPr>
        <w:t xml:space="preserve">Διάρκεια και </w:t>
      </w:r>
      <w:r>
        <w:rPr>
          <w:noProof/>
        </w:rPr>
        <w:t>δημοσιονομικές επιπτώσεις της πρότασης/πρωτοβουλίας</w:t>
      </w:r>
      <w:bookmarkEnd w:id="19"/>
      <w:bookmarkEnd w:id="20"/>
    </w:p>
    <w:p w:rsidR="009F5731" w:rsidRDefault="005C2A57">
      <w:pPr>
        <w:pStyle w:val="ListDash1"/>
        <w:rPr>
          <w:noProof/>
        </w:rPr>
      </w:pPr>
      <w:r>
        <w:rPr>
          <w:b/>
          <w:noProof/>
        </w:rPr>
        <w:t>X</w:t>
      </w:r>
      <w:r>
        <w:rPr>
          <w:noProof/>
        </w:rPr>
        <w:t xml:space="preserve"> Ουδεμία</w:t>
      </w:r>
    </w:p>
    <w:p w:rsidR="009F5731" w:rsidRDefault="005C2A57">
      <w:pPr>
        <w:pStyle w:val="ManualHeading2"/>
        <w:rPr>
          <w:bCs/>
          <w:noProof/>
          <w:szCs w:val="24"/>
        </w:rPr>
      </w:pPr>
      <w:bookmarkStart w:id="21" w:name="_Toc514938040"/>
      <w:bookmarkStart w:id="22" w:name="_Toc520485041"/>
      <w:r>
        <w:t>1.5.</w:t>
      </w:r>
      <w:r>
        <w:tab/>
      </w:r>
      <w:r>
        <w:rPr>
          <w:noProof/>
        </w:rPr>
        <w:t>Προβλεπόμενοι τρόποι διαχείρισης</w:t>
      </w:r>
      <w:r>
        <w:rPr>
          <w:rStyle w:val="FootnoteReference"/>
          <w:noProof/>
        </w:rPr>
        <w:footnoteReference w:id="9"/>
      </w:r>
      <w:bookmarkEnd w:id="21"/>
      <w:bookmarkEnd w:id="22"/>
      <w:r>
        <w:rPr>
          <w:rStyle w:val="FootnoteReference"/>
          <w:noProof/>
        </w:rPr>
        <w:t xml:space="preserve"> </w:t>
      </w:r>
    </w:p>
    <w:p w:rsidR="009F5731" w:rsidRDefault="005C2A57">
      <w:pPr>
        <w:pStyle w:val="Text1"/>
        <w:rPr>
          <w:noProof/>
        </w:rPr>
      </w:pPr>
      <w:r>
        <w:rPr>
          <w:noProof/>
        </w:rPr>
        <w:sym w:font="Wingdings" w:char="F0A8"/>
      </w:r>
      <w:r>
        <w:rPr>
          <w:i/>
          <w:noProof/>
        </w:rPr>
        <w:t xml:space="preserve"> </w:t>
      </w:r>
      <w:r>
        <w:rPr>
          <w:b/>
          <w:noProof/>
        </w:rPr>
        <w:t>Άμεση διαχείριση</w:t>
      </w:r>
      <w:r>
        <w:rPr>
          <w:noProof/>
        </w:rPr>
        <w:t xml:space="preserve"> από την Επιτροπή</w:t>
      </w:r>
    </w:p>
    <w:p w:rsidR="009F5731" w:rsidRDefault="005C2A57">
      <w:pPr>
        <w:pStyle w:val="ListDash2"/>
        <w:rPr>
          <w:rFonts w:cs="EUAlbertina"/>
          <w:noProof/>
        </w:rPr>
      </w:pPr>
      <w:r>
        <w:rPr>
          <w:noProof/>
        </w:rPr>
        <w:sym w:font="Wingdings" w:char="F0A8"/>
      </w:r>
      <w:r>
        <w:rPr>
          <w:noProof/>
        </w:rPr>
        <w:t xml:space="preserve">από τις υπηρεσίες της, συμπεριλαμβανομένου του προσωπικού της στις αντιπροσωπείες της Ένωσης· </w:t>
      </w:r>
    </w:p>
    <w:p w:rsidR="009F5731" w:rsidRDefault="005C2A57">
      <w:pPr>
        <w:pStyle w:val="ListDash2"/>
        <w:rPr>
          <w:noProof/>
        </w:rPr>
      </w:pPr>
      <w:r>
        <w:rPr>
          <w:noProof/>
        </w:rPr>
        <w:sym w:font="Wingdings" w:char="F0A8"/>
      </w:r>
      <w:r>
        <w:rPr>
          <w:noProof/>
        </w:rPr>
        <w:tab/>
      </w:r>
      <w:r>
        <w:rPr>
          <w:noProof/>
        </w:rPr>
        <w:t xml:space="preserve">από τους εκτελεστικούς οργανισμούς </w:t>
      </w:r>
    </w:p>
    <w:p w:rsidR="009F5731" w:rsidRDefault="005C2A57">
      <w:pPr>
        <w:pStyle w:val="Text1"/>
        <w:rPr>
          <w:noProof/>
        </w:rPr>
      </w:pPr>
      <w:r>
        <w:rPr>
          <w:b/>
          <w:noProof/>
        </w:rPr>
        <w:t>X</w:t>
      </w:r>
      <w:r>
        <w:rPr>
          <w:b/>
          <w:i/>
          <w:noProof/>
        </w:rPr>
        <w:t xml:space="preserve"> </w:t>
      </w:r>
      <w:r>
        <w:rPr>
          <w:b/>
          <w:noProof/>
        </w:rPr>
        <w:t>Επιμερισμένη διαχείριση</w:t>
      </w:r>
      <w:r>
        <w:rPr>
          <w:noProof/>
        </w:rPr>
        <w:t xml:space="preserve">  με τα κράτη μέλη </w:t>
      </w:r>
    </w:p>
    <w:p w:rsidR="009F5731" w:rsidRDefault="005C2A57">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rsidR="009F5731" w:rsidRDefault="005C2A57">
      <w:pPr>
        <w:pStyle w:val="ListDash2"/>
        <w:rPr>
          <w:noProof/>
        </w:rPr>
      </w:pPr>
      <w:r>
        <w:rPr>
          <w:noProof/>
        </w:rPr>
        <w:sym w:font="Wingdings" w:char="F0A8"/>
      </w:r>
      <w:r>
        <w:rPr>
          <w:noProof/>
        </w:rPr>
        <w:t>σε τρίτες χώρες ή οργανισμούς που αυτές έχουν ορίσει·</w:t>
      </w:r>
    </w:p>
    <w:p w:rsidR="009F5731" w:rsidRDefault="005C2A57">
      <w:pPr>
        <w:pStyle w:val="ListDash2"/>
        <w:rPr>
          <w:noProof/>
        </w:rPr>
      </w:pPr>
      <w:r>
        <w:rPr>
          <w:noProof/>
        </w:rPr>
        <w:sym w:font="Wingdings" w:char="F0A8"/>
      </w:r>
      <w:r>
        <w:rPr>
          <w:noProof/>
        </w:rPr>
        <w:t>σε διεθνείς οργανισμούς και τις οργανώσεις του</w:t>
      </w:r>
      <w:r>
        <w:rPr>
          <w:noProof/>
        </w:rPr>
        <w:t>ς (να προσδιοριστούν)·</w:t>
      </w:r>
    </w:p>
    <w:p w:rsidR="009F5731" w:rsidRDefault="005C2A57">
      <w:pPr>
        <w:pStyle w:val="ListDash2"/>
        <w:rPr>
          <w:noProof/>
        </w:rPr>
      </w:pPr>
      <w:r>
        <w:rPr>
          <w:noProof/>
        </w:rPr>
        <w:sym w:font="Wingdings" w:char="F0A8"/>
      </w:r>
      <w:r>
        <w:rPr>
          <w:noProof/>
        </w:rPr>
        <w:t>στην ΕΤΕπ και το Ευρωπαϊκό Ταμείο Επενδύσεων·</w:t>
      </w:r>
    </w:p>
    <w:p w:rsidR="009F5731" w:rsidRDefault="005C2A57">
      <w:pPr>
        <w:pStyle w:val="ListDash2"/>
        <w:rPr>
          <w:noProof/>
        </w:rPr>
      </w:pPr>
      <w:r>
        <w:rPr>
          <w:noProof/>
        </w:rPr>
        <w:sym w:font="Wingdings" w:char="F0A8"/>
      </w:r>
      <w:r>
        <w:rPr>
          <w:noProof/>
        </w:rPr>
        <w:t>στους οργανισμούς που αναφέρονται στα άρθρα 70 και 71 του δημοσιονομικού κανονισμού·</w:t>
      </w:r>
    </w:p>
    <w:p w:rsidR="009F5731" w:rsidRDefault="005C2A57">
      <w:pPr>
        <w:pStyle w:val="ListDash2"/>
        <w:rPr>
          <w:noProof/>
        </w:rPr>
      </w:pPr>
      <w:r>
        <w:rPr>
          <w:noProof/>
        </w:rPr>
        <w:sym w:font="Wingdings" w:char="F0A8"/>
      </w:r>
      <w:r>
        <w:rPr>
          <w:noProof/>
        </w:rPr>
        <w:t>σε οργανισμούς δημοσίου δικαίου·</w:t>
      </w:r>
    </w:p>
    <w:p w:rsidR="009F5731" w:rsidRDefault="005C2A57">
      <w:pPr>
        <w:pStyle w:val="ListDash2"/>
        <w:rPr>
          <w:noProof/>
        </w:rPr>
      </w:pPr>
      <w:r>
        <w:rPr>
          <w:noProof/>
        </w:rPr>
        <w:sym w:font="Wingdings" w:char="F0A8"/>
      </w:r>
      <w:r>
        <w:rPr>
          <w:noProof/>
        </w:rPr>
        <w:t>σε οργανισμούς που διέπονται από ιδιωτικό δίκαιο και έχουν αποστο</w:t>
      </w:r>
      <w:r>
        <w:rPr>
          <w:noProof/>
        </w:rPr>
        <w:t>λή δημόσιας υπηρεσίας, στον βαθμό που παρέχουν επαρκείς οικονομικές εγγυήσεις·</w:t>
      </w:r>
    </w:p>
    <w:p w:rsidR="009F5731" w:rsidRDefault="005C2A57">
      <w:pPr>
        <w:pStyle w:val="ListDash2"/>
        <w:rPr>
          <w:noProof/>
        </w:rPr>
      </w:pPr>
      <w:r>
        <w:rPr>
          <w:noProof/>
        </w:rPr>
        <w:sym w:font="Wingdings" w:char="F0A8"/>
      </w:r>
      <w:r>
        <w:rPr>
          <w:noProof/>
        </w:rPr>
        <w:t>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w:t>
      </w:r>
      <w:r>
        <w:rPr>
          <w:noProof/>
        </w:rPr>
        <w:t>ς οικονομικές εγγυήσεις·</w:t>
      </w:r>
    </w:p>
    <w:p w:rsidR="009F5731" w:rsidRDefault="005C2A57">
      <w:pPr>
        <w:pStyle w:val="ListDash2"/>
        <w:rPr>
          <w:noProof/>
        </w:rPr>
      </w:pPr>
      <w:r>
        <w:rPr>
          <w:noProof/>
        </w:rPr>
        <w:sym w:font="Wingdings" w:char="F0A8"/>
      </w:r>
      <w:r>
        <w:rPr>
          <w:noProof/>
        </w:rPr>
        <w:t>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rsidR="009F5731" w:rsidRDefault="005C2A57">
      <w:pPr>
        <w:pStyle w:val="ListDash2"/>
        <w:rPr>
          <w:i/>
          <w:noProof/>
          <w:sz w:val="18"/>
          <w:u w:val="single"/>
        </w:rPr>
      </w:pPr>
      <w:r>
        <w:rPr>
          <w:i/>
          <w:noProof/>
          <w:sz w:val="18"/>
        </w:rPr>
        <w:t>Αν αναφέρονται περισσότεροι του ενός τρόποι διαχείρισης, να διευκρινισ</w:t>
      </w:r>
      <w:r>
        <w:rPr>
          <w:i/>
          <w:noProof/>
          <w:sz w:val="18"/>
        </w:rPr>
        <w:t>τούν στο τμήμα «Παρατηρήσεις».</w:t>
      </w:r>
    </w:p>
    <w:p w:rsidR="009F5731" w:rsidRDefault="005C2A57">
      <w:pPr>
        <w:rPr>
          <w:noProof/>
        </w:rPr>
      </w:pPr>
      <w:r>
        <w:rPr>
          <w:noProof/>
        </w:rPr>
        <w:t xml:space="preserve">Παρατηρήσεις </w:t>
      </w:r>
    </w:p>
    <w:p w:rsidR="009F5731" w:rsidRDefault="005C2A57">
      <w:pPr>
        <w:pBdr>
          <w:top w:val="single" w:sz="4" w:space="1" w:color="auto"/>
          <w:left w:val="single" w:sz="4" w:space="4" w:color="auto"/>
          <w:bottom w:val="single" w:sz="4" w:space="1" w:color="auto"/>
          <w:right w:val="single" w:sz="4" w:space="4" w:color="auto"/>
        </w:pBdr>
        <w:rPr>
          <w:noProof/>
        </w:rPr>
        <w:sectPr w:rsidR="009F5731">
          <w:pgSz w:w="11907" w:h="16840" w:code="9"/>
          <w:pgMar w:top="1134" w:right="1418" w:bottom="1134" w:left="1418" w:header="709" w:footer="709" w:gutter="0"/>
          <w:cols w:space="708"/>
          <w:docGrid w:linePitch="360"/>
        </w:sectPr>
      </w:pPr>
      <w:r>
        <w:t>Άνευ αντικειμένου</w:t>
      </w:r>
    </w:p>
    <w:p w:rsidR="009F5731" w:rsidRDefault="005C2A57">
      <w:pPr>
        <w:pStyle w:val="ManualHeading1"/>
        <w:rPr>
          <w:bCs/>
          <w:noProof/>
          <w:szCs w:val="24"/>
        </w:rPr>
      </w:pPr>
      <w:bookmarkStart w:id="23" w:name="_Toc514938041"/>
      <w:bookmarkStart w:id="24" w:name="_Toc520485042"/>
      <w:r>
        <w:t>2.</w:t>
      </w:r>
      <w:r>
        <w:tab/>
      </w:r>
      <w:r>
        <w:rPr>
          <w:noProof/>
        </w:rPr>
        <w:t>ΜΕΤΡΑ ΔΙΑΧΕΙΡΙΣΗΣ</w:t>
      </w:r>
      <w:bookmarkEnd w:id="23"/>
      <w:bookmarkEnd w:id="24"/>
      <w:r>
        <w:rPr>
          <w:noProof/>
        </w:rPr>
        <w:t xml:space="preserve"> </w:t>
      </w:r>
    </w:p>
    <w:p w:rsidR="009F5731" w:rsidRDefault="005C2A57">
      <w:pPr>
        <w:pStyle w:val="ManualHeading2"/>
        <w:rPr>
          <w:noProof/>
        </w:rPr>
      </w:pPr>
      <w:bookmarkStart w:id="25" w:name="_Toc514938042"/>
      <w:bookmarkStart w:id="26" w:name="_Toc520485043"/>
      <w:r>
        <w:t>2.1.</w:t>
      </w:r>
      <w:r>
        <w:tab/>
      </w:r>
      <w:r>
        <w:rPr>
          <w:noProof/>
        </w:rPr>
        <w:t>Κανόνες παρακολούθησης και υποβολής εκθέσεων</w:t>
      </w:r>
      <w:bookmarkEnd w:id="25"/>
      <w:bookmarkEnd w:id="26"/>
      <w:r>
        <w:rPr>
          <w:noProof/>
        </w:rPr>
        <w:t xml:space="preserve"> </w:t>
      </w:r>
    </w:p>
    <w:p w:rsidR="009F5731" w:rsidRDefault="005C2A57">
      <w:pPr>
        <w:pStyle w:val="Text1"/>
        <w:rPr>
          <w:i/>
          <w:noProof/>
          <w:sz w:val="20"/>
        </w:rPr>
      </w:pPr>
      <w:r>
        <w:rPr>
          <w:i/>
          <w:noProof/>
          <w:sz w:val="20"/>
        </w:rPr>
        <w:t>Να προσδιοριστούν η συχνότητα και οι όροι.</w:t>
      </w:r>
    </w:p>
    <w:p w:rsidR="009F5731" w:rsidRDefault="005C2A57">
      <w:pPr>
        <w:pStyle w:val="Text1"/>
        <w:pBdr>
          <w:top w:val="single" w:sz="4" w:space="1" w:color="auto"/>
          <w:left w:val="single" w:sz="4" w:space="4" w:color="auto"/>
          <w:bottom w:val="single" w:sz="4" w:space="1" w:color="auto"/>
          <w:right w:val="single" w:sz="4" w:space="4" w:color="auto"/>
        </w:pBdr>
        <w:rPr>
          <w:noProof/>
        </w:rPr>
      </w:pPr>
      <w:r>
        <w:t>Άνευ αντικειμένου</w:t>
      </w:r>
    </w:p>
    <w:p w:rsidR="009F5731" w:rsidRDefault="005C2A57">
      <w:pPr>
        <w:pStyle w:val="ManualHeading2"/>
        <w:rPr>
          <w:bCs/>
          <w:noProof/>
          <w:szCs w:val="24"/>
        </w:rPr>
      </w:pPr>
      <w:bookmarkStart w:id="27" w:name="_Toc514938045"/>
      <w:bookmarkStart w:id="28" w:name="_Toc520485044"/>
      <w:r>
        <w:t>2.2.</w:t>
      </w:r>
      <w:r>
        <w:tab/>
      </w:r>
      <w:r>
        <w:rPr>
          <w:noProof/>
        </w:rPr>
        <w:t>Σύστημα διαχείρισης και ελέγχου</w:t>
      </w:r>
      <w:bookmarkEnd w:id="27"/>
      <w:bookmarkEnd w:id="28"/>
      <w:r>
        <w:rPr>
          <w:noProof/>
        </w:rPr>
        <w:t xml:space="preserve"> </w:t>
      </w:r>
    </w:p>
    <w:p w:rsidR="009F5731" w:rsidRDefault="005C2A57">
      <w:pPr>
        <w:pStyle w:val="ManualHeading3"/>
        <w:rPr>
          <w:noProof/>
        </w:rPr>
      </w:pPr>
      <w:bookmarkStart w:id="29" w:name="_Toc514938046"/>
      <w:bookmarkStart w:id="30" w:name="_Toc520485045"/>
      <w:r>
        <w:t>2.2.1.</w:t>
      </w:r>
      <w:r>
        <w:tab/>
      </w:r>
      <w:r>
        <w:rPr>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bookmarkEnd w:id="29"/>
      <w:bookmarkEnd w:id="30"/>
    </w:p>
    <w:p w:rsidR="009F5731" w:rsidRDefault="005C2A57">
      <w:pPr>
        <w:pStyle w:val="Text1"/>
        <w:pBdr>
          <w:top w:val="single" w:sz="4" w:space="1" w:color="auto"/>
          <w:left w:val="single" w:sz="4" w:space="4" w:color="auto"/>
          <w:bottom w:val="single" w:sz="4" w:space="1" w:color="auto"/>
          <w:right w:val="single" w:sz="4" w:space="4" w:color="auto"/>
        </w:pBdr>
        <w:rPr>
          <w:noProof/>
        </w:rPr>
      </w:pPr>
      <w:r>
        <w:t>Άνευ αντικειμένου</w:t>
      </w:r>
    </w:p>
    <w:p w:rsidR="009F5731" w:rsidRDefault="005C2A57">
      <w:pPr>
        <w:pStyle w:val="ManualHeading3"/>
        <w:rPr>
          <w:bCs/>
          <w:noProof/>
          <w:szCs w:val="24"/>
        </w:rPr>
      </w:pPr>
      <w:bookmarkStart w:id="31" w:name="_Toc514938047"/>
      <w:bookmarkStart w:id="32" w:name="_Toc520485046"/>
      <w:r>
        <w:t>2.2.2.</w:t>
      </w:r>
      <w:r>
        <w:tab/>
      </w:r>
      <w:r>
        <w:rPr>
          <w:noProof/>
        </w:rPr>
        <w:t>Πληροφορίες σχετικά με τους κινδύνους που έχουν εντοπιστεί και τα συστήματα εσωτε</w:t>
      </w:r>
      <w:r>
        <w:rPr>
          <w:noProof/>
        </w:rPr>
        <w:t>ρικού ελέγχου που έχουν δημιουργηθεί για τον μετριασμό τους</w:t>
      </w:r>
      <w:bookmarkEnd w:id="31"/>
      <w:bookmarkEnd w:id="32"/>
    </w:p>
    <w:p w:rsidR="009F5731" w:rsidRDefault="005C2A57">
      <w:pPr>
        <w:pStyle w:val="Text1"/>
        <w:pBdr>
          <w:top w:val="single" w:sz="4" w:space="1" w:color="auto"/>
          <w:left w:val="single" w:sz="4" w:space="4" w:color="auto"/>
          <w:bottom w:val="single" w:sz="4" w:space="1" w:color="auto"/>
          <w:right w:val="single" w:sz="4" w:space="4" w:color="auto"/>
        </w:pBdr>
        <w:rPr>
          <w:noProof/>
        </w:rPr>
      </w:pPr>
      <w:r>
        <w:t>Άνευ αντικειμένου</w:t>
      </w:r>
    </w:p>
    <w:p w:rsidR="009F5731" w:rsidRDefault="005C2A57">
      <w:pPr>
        <w:pStyle w:val="ManualHeading3"/>
        <w:rPr>
          <w:noProof/>
        </w:rPr>
      </w:pPr>
      <w:bookmarkStart w:id="33" w:name="_Toc514938048"/>
      <w:bookmarkStart w:id="34" w:name="_Toc520485047"/>
      <w:r>
        <w:t>2.2.3.</w:t>
      </w:r>
      <w:r>
        <w:tab/>
      </w:r>
      <w:r>
        <w:rPr>
          <w:noProof/>
        </w:rPr>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w:t>
      </w:r>
      <w:r>
        <w:rPr>
          <w:noProof/>
        </w:rPr>
        <w:t>ης) και αξιολόγηση του εκτιμώμενου επιπέδου κινδύνου σφάλματος (κατά την πληρωμή και κατά το κλείσιμο)</w:t>
      </w:r>
      <w:bookmarkEnd w:id="33"/>
      <w:bookmarkEnd w:id="34"/>
      <w:r>
        <w:rPr>
          <w:noProof/>
        </w:rPr>
        <w:t xml:space="preserve"> </w:t>
      </w:r>
    </w:p>
    <w:p w:rsidR="009F5731" w:rsidRDefault="005C2A57">
      <w:pPr>
        <w:pStyle w:val="Text1"/>
        <w:pBdr>
          <w:top w:val="single" w:sz="4" w:space="1" w:color="auto"/>
          <w:left w:val="single" w:sz="4" w:space="4" w:color="auto"/>
          <w:bottom w:val="single" w:sz="4" w:space="1" w:color="auto"/>
          <w:right w:val="single" w:sz="4" w:space="4" w:color="auto"/>
        </w:pBdr>
      </w:pPr>
      <w:r>
        <w:t>Άνευ αντικειμένου</w:t>
      </w:r>
    </w:p>
    <w:p w:rsidR="009F5731" w:rsidRDefault="005C2A57">
      <w:pPr>
        <w:pStyle w:val="ManualHeading2"/>
        <w:rPr>
          <w:bCs/>
          <w:noProof/>
          <w:szCs w:val="24"/>
        </w:rPr>
      </w:pPr>
      <w:bookmarkStart w:id="35" w:name="_Toc514938049"/>
      <w:bookmarkStart w:id="36" w:name="_Toc520485048"/>
      <w:r>
        <w:t>2.3.</w:t>
      </w:r>
      <w:r>
        <w:tab/>
      </w:r>
      <w:r>
        <w:rPr>
          <w:noProof/>
        </w:rPr>
        <w:t>Μέτρα για την πρόληψη περιπτώσεων απάτης και παρατυπίας</w:t>
      </w:r>
      <w:bookmarkEnd w:id="35"/>
      <w:bookmarkEnd w:id="36"/>
      <w:r>
        <w:rPr>
          <w:noProof/>
        </w:rPr>
        <w:t xml:space="preserve"> </w:t>
      </w:r>
    </w:p>
    <w:p w:rsidR="009F5731" w:rsidRDefault="005C2A57">
      <w:pPr>
        <w:pStyle w:val="Text1"/>
        <w:rPr>
          <w:i/>
          <w:noProof/>
          <w:sz w:val="20"/>
        </w:rPr>
      </w:pPr>
      <w:r>
        <w:rPr>
          <w:i/>
          <w:noProof/>
          <w:sz w:val="20"/>
        </w:rPr>
        <w:t>Να προσδιοριστούν τα ισχύοντα ή τα προβλεπόμενα μέτρα πρόληψης και προστ</w:t>
      </w:r>
      <w:r>
        <w:rPr>
          <w:i/>
          <w:noProof/>
          <w:sz w:val="20"/>
        </w:rPr>
        <w:t>ασίας, π.χ. στη στρατηγική για την καταπολέμηση της απάτης.</w:t>
      </w:r>
    </w:p>
    <w:p w:rsidR="009F5731" w:rsidRDefault="005C2A57">
      <w:pPr>
        <w:pStyle w:val="Text1"/>
        <w:pBdr>
          <w:top w:val="single" w:sz="4" w:space="1" w:color="auto"/>
          <w:left w:val="single" w:sz="4" w:space="4" w:color="auto"/>
          <w:bottom w:val="single" w:sz="4" w:space="1" w:color="auto"/>
          <w:right w:val="single" w:sz="4" w:space="4" w:color="auto"/>
        </w:pBdr>
        <w:rPr>
          <w:noProof/>
        </w:rPr>
        <w:sectPr w:rsidR="009F5731">
          <w:pgSz w:w="11907" w:h="16840" w:code="9"/>
          <w:pgMar w:top="1134" w:right="1418" w:bottom="1134" w:left="1418" w:header="709" w:footer="709" w:gutter="0"/>
          <w:cols w:space="708"/>
          <w:docGrid w:linePitch="360"/>
        </w:sectPr>
      </w:pPr>
      <w:r>
        <w:t>Άνευ αντικειμένου</w:t>
      </w:r>
    </w:p>
    <w:p w:rsidR="009F5731" w:rsidRDefault="005C2A57">
      <w:pPr>
        <w:pStyle w:val="ManualHeading1"/>
        <w:rPr>
          <w:bCs/>
          <w:noProof/>
          <w:szCs w:val="24"/>
        </w:rPr>
      </w:pPr>
      <w:bookmarkStart w:id="37" w:name="_Toc514938050"/>
      <w:bookmarkStart w:id="38" w:name="_Toc520485049"/>
      <w:r>
        <w:t>3.</w:t>
      </w:r>
      <w:r>
        <w:tab/>
      </w:r>
      <w:r>
        <w:rPr>
          <w:noProof/>
        </w:rPr>
        <w:t>ΕΚΤΙΜΩΜΕΝΕΣ ΔΗΜΟΣΙΟΝΟΜΙΚΕΣ ΕΠΙΠΤΩΣΕΙΣ ΤΗΣ ΠΡΟΤΑΣΗΣ/ΠΡΩΤΟΒΟΥΛΙΑΣ</w:t>
      </w:r>
      <w:bookmarkEnd w:id="37"/>
      <w:bookmarkEnd w:id="38"/>
      <w:r>
        <w:rPr>
          <w:noProof/>
        </w:rPr>
        <w:t xml:space="preserve"> </w:t>
      </w:r>
    </w:p>
    <w:p w:rsidR="009F5731" w:rsidRDefault="005C2A57">
      <w:pPr>
        <w:pStyle w:val="ManualHeading2"/>
        <w:rPr>
          <w:noProof/>
        </w:rPr>
      </w:pPr>
      <w:bookmarkStart w:id="39" w:name="_Toc514938051"/>
      <w:bookmarkStart w:id="40" w:name="_Toc520485050"/>
      <w:r>
        <w:t>3.1.</w:t>
      </w:r>
      <w:r>
        <w:tab/>
      </w:r>
      <w:r>
        <w:rPr>
          <w:noProof/>
        </w:rPr>
        <w:t>Τομείς του πολυετούς δημοσιονομικού πλαισίου και γραμμές δαπανών του προϋπολογισμο</w:t>
      </w:r>
      <w:r>
        <w:rPr>
          <w:noProof/>
        </w:rPr>
        <w:t>ύ που επηρεάζονται</w:t>
      </w:r>
      <w:bookmarkEnd w:id="39"/>
      <w:bookmarkEnd w:id="40"/>
      <w:r>
        <w:rPr>
          <w:noProof/>
        </w:rPr>
        <w:t xml:space="preserve"> </w:t>
      </w:r>
    </w:p>
    <w:p w:rsidR="009F5731" w:rsidRDefault="005C2A57">
      <w:pPr>
        <w:pStyle w:val="ListBullet1"/>
        <w:rPr>
          <w:noProof/>
        </w:rPr>
      </w:pPr>
      <w:r>
        <w:rPr>
          <w:noProof/>
        </w:rPr>
        <w:t xml:space="preserve">Υφιστάμενες γραμμές του προϋπολογισμού </w:t>
      </w:r>
    </w:p>
    <w:p w:rsidR="009F5731" w:rsidRDefault="005C2A57">
      <w:pPr>
        <w:pStyle w:val="Text1"/>
        <w:rPr>
          <w:i/>
          <w:noProof/>
        </w:rPr>
      </w:pPr>
      <w:r>
        <w:rPr>
          <w:i/>
          <w:noProof/>
          <w:u w:val="single"/>
        </w:rPr>
        <w:t>Κατά σειρά</w:t>
      </w:r>
      <w:r>
        <w:rPr>
          <w:noProof/>
        </w:rPr>
        <w:t xml:space="preserve"> </w:t>
      </w:r>
      <w:r>
        <w:rPr>
          <w:i/>
          <w:noProof/>
        </w:rPr>
        <w:t>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F5731">
        <w:tc>
          <w:tcPr>
            <w:tcW w:w="1080" w:type="dxa"/>
            <w:vMerge w:val="restart"/>
            <w:vAlign w:val="center"/>
          </w:tcPr>
          <w:p w:rsidR="009F5731" w:rsidRDefault="005C2A57">
            <w:pPr>
              <w:spacing w:before="60" w:after="60"/>
              <w:jc w:val="center"/>
              <w:rPr>
                <w:noProof/>
              </w:rPr>
            </w:pPr>
            <w:r>
              <w:rPr>
                <w:noProof/>
                <w:sz w:val="18"/>
              </w:rPr>
              <w:t>Τομέας του πολυετούς δημοσιονομικού πλαισίου</w:t>
            </w:r>
          </w:p>
        </w:tc>
        <w:tc>
          <w:tcPr>
            <w:tcW w:w="3960" w:type="dxa"/>
            <w:vAlign w:val="center"/>
          </w:tcPr>
          <w:p w:rsidR="009F5731" w:rsidRDefault="005C2A57">
            <w:pPr>
              <w:spacing w:before="60" w:after="60"/>
              <w:jc w:val="center"/>
              <w:rPr>
                <w:noProof/>
              </w:rPr>
            </w:pPr>
            <w:r>
              <w:rPr>
                <w:noProof/>
                <w:sz w:val="20"/>
              </w:rPr>
              <w:t>Γραμμή του προϋπολογισμού</w:t>
            </w:r>
          </w:p>
        </w:tc>
        <w:tc>
          <w:tcPr>
            <w:tcW w:w="1080" w:type="dxa"/>
            <w:vAlign w:val="center"/>
          </w:tcPr>
          <w:p w:rsidR="009F5731" w:rsidRDefault="005C2A57">
            <w:pPr>
              <w:spacing w:before="60" w:after="60"/>
              <w:jc w:val="center"/>
              <w:rPr>
                <w:noProof/>
              </w:rPr>
            </w:pPr>
            <w:r>
              <w:rPr>
                <w:noProof/>
                <w:sz w:val="18"/>
              </w:rPr>
              <w:t xml:space="preserve">Είδος </w:t>
            </w:r>
            <w:r>
              <w:rPr>
                <w:noProof/>
                <w:sz w:val="22"/>
              </w:rPr>
              <w:br/>
            </w:r>
            <w:r>
              <w:rPr>
                <w:noProof/>
                <w:sz w:val="18"/>
              </w:rPr>
              <w:t>δαπάνης</w:t>
            </w:r>
          </w:p>
        </w:tc>
        <w:tc>
          <w:tcPr>
            <w:tcW w:w="4440" w:type="dxa"/>
            <w:gridSpan w:val="4"/>
            <w:vAlign w:val="center"/>
          </w:tcPr>
          <w:p w:rsidR="009F5731" w:rsidRDefault="005C2A57">
            <w:pPr>
              <w:spacing w:before="60" w:after="60"/>
              <w:jc w:val="center"/>
              <w:rPr>
                <w:noProof/>
              </w:rPr>
            </w:pPr>
            <w:r>
              <w:rPr>
                <w:noProof/>
                <w:sz w:val="20"/>
              </w:rPr>
              <w:t xml:space="preserve">Συμμετοχή </w:t>
            </w:r>
          </w:p>
        </w:tc>
      </w:tr>
      <w:tr w:rsidR="009F5731">
        <w:tc>
          <w:tcPr>
            <w:tcW w:w="1080" w:type="dxa"/>
            <w:vMerge/>
            <w:vAlign w:val="center"/>
          </w:tcPr>
          <w:p w:rsidR="009F5731" w:rsidRDefault="009F5731">
            <w:pPr>
              <w:jc w:val="center"/>
              <w:rPr>
                <w:noProof/>
              </w:rPr>
            </w:pPr>
          </w:p>
        </w:tc>
        <w:tc>
          <w:tcPr>
            <w:tcW w:w="3960" w:type="dxa"/>
            <w:vAlign w:val="center"/>
          </w:tcPr>
          <w:p w:rsidR="009F5731" w:rsidRDefault="005C2A57">
            <w:pPr>
              <w:rPr>
                <w:noProof/>
              </w:rPr>
            </w:pPr>
            <w:r>
              <w:rPr>
                <w:noProof/>
                <w:sz w:val="20"/>
              </w:rPr>
              <w:t xml:space="preserve">Αριθμός </w:t>
            </w:r>
            <w:r>
              <w:rPr>
                <w:noProof/>
                <w:sz w:val="22"/>
              </w:rPr>
              <w:br/>
            </w:r>
          </w:p>
        </w:tc>
        <w:tc>
          <w:tcPr>
            <w:tcW w:w="1080" w:type="dxa"/>
            <w:vAlign w:val="center"/>
          </w:tcPr>
          <w:p w:rsidR="009F5731" w:rsidRDefault="005C2A57">
            <w:pPr>
              <w:jc w:val="center"/>
              <w:rPr>
                <w:noProof/>
              </w:rPr>
            </w:pPr>
            <w:r>
              <w:rPr>
                <w:noProof/>
                <w:sz w:val="18"/>
              </w:rPr>
              <w:t>ΔΠ/ΜΔΠ</w:t>
            </w:r>
            <w:r>
              <w:rPr>
                <w:rStyle w:val="FootnoteReference"/>
                <w:noProof/>
                <w:sz w:val="18"/>
              </w:rPr>
              <w:footnoteReference w:id="10"/>
            </w:r>
          </w:p>
        </w:tc>
        <w:tc>
          <w:tcPr>
            <w:tcW w:w="956" w:type="dxa"/>
            <w:vAlign w:val="center"/>
          </w:tcPr>
          <w:p w:rsidR="009F5731" w:rsidRDefault="005C2A57">
            <w:pPr>
              <w:jc w:val="center"/>
              <w:rPr>
                <w:noProof/>
              </w:rPr>
            </w:pPr>
            <w:r>
              <w:rPr>
                <w:noProof/>
                <w:sz w:val="18"/>
              </w:rPr>
              <w:t>χωρών ΕΖΕΣ</w:t>
            </w:r>
            <w:r>
              <w:rPr>
                <w:rStyle w:val="FootnoteReference"/>
                <w:noProof/>
                <w:sz w:val="18"/>
              </w:rPr>
              <w:footnoteReference w:id="11"/>
            </w:r>
          </w:p>
          <w:p w:rsidR="009F5731" w:rsidRDefault="009F5731">
            <w:pPr>
              <w:spacing w:before="0" w:after="0"/>
              <w:jc w:val="center"/>
              <w:rPr>
                <w:b/>
                <w:noProof/>
                <w:sz w:val="18"/>
              </w:rPr>
            </w:pPr>
          </w:p>
        </w:tc>
        <w:tc>
          <w:tcPr>
            <w:tcW w:w="1080" w:type="dxa"/>
            <w:vAlign w:val="center"/>
          </w:tcPr>
          <w:p w:rsidR="009F5731" w:rsidRDefault="005C2A57">
            <w:pPr>
              <w:jc w:val="center"/>
              <w:rPr>
                <w:noProof/>
              </w:rPr>
            </w:pPr>
            <w:r>
              <w:rPr>
                <w:noProof/>
                <w:sz w:val="18"/>
              </w:rPr>
              <w:t>υποψηφίων για ένταξη χωρών</w:t>
            </w:r>
            <w:r>
              <w:rPr>
                <w:rStyle w:val="FootnoteReference"/>
                <w:noProof/>
                <w:sz w:val="18"/>
              </w:rPr>
              <w:footnoteReference w:id="12"/>
            </w:r>
          </w:p>
          <w:p w:rsidR="009F5731" w:rsidRDefault="009F5731">
            <w:pPr>
              <w:spacing w:before="0" w:after="0"/>
              <w:jc w:val="center"/>
              <w:rPr>
                <w:noProof/>
                <w:sz w:val="18"/>
              </w:rPr>
            </w:pPr>
          </w:p>
        </w:tc>
        <w:tc>
          <w:tcPr>
            <w:tcW w:w="956" w:type="dxa"/>
            <w:vAlign w:val="center"/>
          </w:tcPr>
          <w:p w:rsidR="009F5731" w:rsidRDefault="005C2A57">
            <w:pPr>
              <w:jc w:val="center"/>
              <w:rPr>
                <w:noProof/>
                <w:sz w:val="18"/>
              </w:rPr>
            </w:pPr>
            <w:r>
              <w:rPr>
                <w:noProof/>
                <w:sz w:val="18"/>
              </w:rPr>
              <w:t>τρίτων χωρών</w:t>
            </w:r>
          </w:p>
        </w:tc>
        <w:tc>
          <w:tcPr>
            <w:tcW w:w="1448" w:type="dxa"/>
            <w:vAlign w:val="center"/>
          </w:tcPr>
          <w:p w:rsidR="009F5731" w:rsidRDefault="005C2A57">
            <w:pPr>
              <w:jc w:val="center"/>
              <w:rPr>
                <w:noProof/>
              </w:rPr>
            </w:pPr>
            <w:r>
              <w:rPr>
                <w:noProof/>
                <w:sz w:val="16"/>
              </w:rPr>
              <w:t xml:space="preserve">κατά την έννοια του άρθρου 21 παράγραφος 2 στοιχείο β) του δημοσιονομικού κανονισμού </w:t>
            </w:r>
          </w:p>
        </w:tc>
      </w:tr>
      <w:tr w:rsidR="009F5731">
        <w:tc>
          <w:tcPr>
            <w:tcW w:w="1080" w:type="dxa"/>
            <w:vAlign w:val="center"/>
          </w:tcPr>
          <w:p w:rsidR="009F5731" w:rsidRDefault="005C2A57">
            <w:pPr>
              <w:jc w:val="center"/>
              <w:rPr>
                <w:noProof/>
                <w:color w:val="0000FF"/>
              </w:rPr>
            </w:pPr>
            <w:r>
              <w:rPr>
                <w:noProof/>
                <w:color w:val="0000FF"/>
              </w:rPr>
              <w:t>13</w:t>
            </w:r>
          </w:p>
        </w:tc>
        <w:tc>
          <w:tcPr>
            <w:tcW w:w="3960" w:type="dxa"/>
            <w:vAlign w:val="center"/>
          </w:tcPr>
          <w:p w:rsidR="009F5731" w:rsidRDefault="009F5731">
            <w:pPr>
              <w:spacing w:before="60"/>
              <w:rPr>
                <w:noProof/>
                <w:sz w:val="22"/>
              </w:rPr>
            </w:pPr>
          </w:p>
          <w:p w:rsidR="009F5731" w:rsidRDefault="005C2A57">
            <w:pPr>
              <w:spacing w:before="60"/>
              <w:rPr>
                <w:noProof/>
              </w:rPr>
            </w:pPr>
            <w:r>
              <w:rPr>
                <w:noProof/>
                <w:sz w:val="22"/>
              </w:rPr>
              <w:t>13.03.64.01 - Ευρωπαϊκό Ταμείο Περιφερειακής Ανάπτυξης (ΕΤΠΑ) — Ευρωπαϊκή εδαφική συνεργασία (ΕΔΣ)</w:t>
            </w:r>
          </w:p>
          <w:p w:rsidR="009F5731" w:rsidRDefault="009F5731">
            <w:pPr>
              <w:spacing w:after="60"/>
              <w:rPr>
                <w:noProof/>
              </w:rPr>
            </w:pPr>
          </w:p>
        </w:tc>
        <w:tc>
          <w:tcPr>
            <w:tcW w:w="1080" w:type="dxa"/>
            <w:vAlign w:val="center"/>
          </w:tcPr>
          <w:p w:rsidR="009F5731" w:rsidRDefault="005C2A57">
            <w:pPr>
              <w:jc w:val="center"/>
              <w:rPr>
                <w:noProof/>
                <w:color w:val="0000FF"/>
              </w:rPr>
            </w:pPr>
            <w:r>
              <w:rPr>
                <w:noProof/>
              </w:rPr>
              <w:t>ΔΠ</w:t>
            </w:r>
          </w:p>
        </w:tc>
        <w:tc>
          <w:tcPr>
            <w:tcW w:w="956" w:type="dxa"/>
            <w:vAlign w:val="center"/>
          </w:tcPr>
          <w:p w:rsidR="009F5731" w:rsidRDefault="005C2A57">
            <w:pPr>
              <w:jc w:val="center"/>
              <w:rPr>
                <w:noProof/>
                <w:sz w:val="20"/>
                <w:szCs w:val="20"/>
              </w:rPr>
            </w:pPr>
            <w:r>
              <w:rPr>
                <w:noProof/>
                <w:sz w:val="20"/>
              </w:rPr>
              <w:t>ΟΧΙ</w:t>
            </w:r>
          </w:p>
        </w:tc>
        <w:tc>
          <w:tcPr>
            <w:tcW w:w="1080" w:type="dxa"/>
            <w:vAlign w:val="center"/>
          </w:tcPr>
          <w:p w:rsidR="009F5731" w:rsidRDefault="005C2A57">
            <w:pPr>
              <w:jc w:val="center"/>
              <w:rPr>
                <w:noProof/>
                <w:sz w:val="20"/>
                <w:szCs w:val="20"/>
              </w:rPr>
            </w:pPr>
            <w:r>
              <w:rPr>
                <w:noProof/>
                <w:sz w:val="20"/>
              </w:rPr>
              <w:t>ΟΧΙ</w:t>
            </w:r>
          </w:p>
        </w:tc>
        <w:tc>
          <w:tcPr>
            <w:tcW w:w="956" w:type="dxa"/>
            <w:vAlign w:val="center"/>
          </w:tcPr>
          <w:p w:rsidR="009F5731" w:rsidRDefault="005C2A57">
            <w:pPr>
              <w:jc w:val="center"/>
              <w:rPr>
                <w:noProof/>
                <w:sz w:val="20"/>
                <w:szCs w:val="20"/>
              </w:rPr>
            </w:pPr>
            <w:r>
              <w:rPr>
                <w:noProof/>
                <w:sz w:val="20"/>
              </w:rPr>
              <w:t>ΟΧΙ</w:t>
            </w:r>
          </w:p>
        </w:tc>
        <w:tc>
          <w:tcPr>
            <w:tcW w:w="1448" w:type="dxa"/>
            <w:vAlign w:val="center"/>
          </w:tcPr>
          <w:p w:rsidR="009F5731" w:rsidRDefault="005C2A57">
            <w:pPr>
              <w:rPr>
                <w:noProof/>
                <w:sz w:val="20"/>
                <w:szCs w:val="20"/>
              </w:rPr>
            </w:pPr>
            <w:r>
              <w:rPr>
                <w:noProof/>
                <w:sz w:val="20"/>
              </w:rPr>
              <w:t xml:space="preserve">      ΟΧΙ</w:t>
            </w:r>
          </w:p>
        </w:tc>
      </w:tr>
    </w:tbl>
    <w:p w:rsidR="009F5731" w:rsidRDefault="005C2A57">
      <w:pPr>
        <w:pStyle w:val="ManualHeading2"/>
        <w:rPr>
          <w:bCs/>
          <w:noProof/>
          <w:szCs w:val="24"/>
        </w:rPr>
      </w:pPr>
      <w:bookmarkStart w:id="41" w:name="_Toc514938052"/>
      <w:bookmarkStart w:id="42" w:name="_Toc520485051"/>
      <w:r>
        <w:t>3.2.</w:t>
      </w:r>
      <w:r>
        <w:tab/>
      </w:r>
      <w:r>
        <w:rPr>
          <w:noProof/>
        </w:rPr>
        <w:t>Εκτιμώμενες δημοσιονομικές επιπτώσεις της πρότασης στις πιστώσεις</w:t>
      </w:r>
      <w:bookmarkEnd w:id="41"/>
      <w:bookmarkEnd w:id="42"/>
      <w:r>
        <w:rPr>
          <w:noProof/>
        </w:rPr>
        <w:t xml:space="preserve"> </w:t>
      </w:r>
    </w:p>
    <w:p w:rsidR="009F5731" w:rsidRDefault="005C2A57">
      <w:pPr>
        <w:pStyle w:val="ManualHeading3"/>
        <w:rPr>
          <w:noProof/>
        </w:rPr>
      </w:pPr>
      <w:bookmarkStart w:id="43" w:name="_Toc514938053"/>
      <w:bookmarkStart w:id="44" w:name="_Toc520485052"/>
      <w:r>
        <w:t>3.2.1.</w:t>
      </w:r>
      <w:r>
        <w:tab/>
      </w:r>
      <w:r>
        <w:rPr>
          <w:noProof/>
        </w:rPr>
        <w:t>Συνοπτική παρουσίαση των εκτιμώμενων επιπτώσεων στις επιχειρησιακές πιστώσεις</w:t>
      </w:r>
      <w:bookmarkEnd w:id="43"/>
      <w:bookmarkEnd w:id="44"/>
      <w:r>
        <w:rPr>
          <w:noProof/>
        </w:rPr>
        <w:t xml:space="preserve"> </w:t>
      </w:r>
    </w:p>
    <w:p w:rsidR="009F5731" w:rsidRDefault="005C2A57">
      <w:pPr>
        <w:pStyle w:val="ListDash1"/>
        <w:rPr>
          <w:b/>
          <w:noProof/>
        </w:rPr>
      </w:pPr>
      <w:r>
        <w:rPr>
          <w:b/>
          <w:noProof/>
        </w:rPr>
        <w:t>Χ</w:t>
      </w:r>
      <w:r>
        <w:rPr>
          <w:noProof/>
        </w:rPr>
        <w:tab/>
      </w:r>
      <w:r>
        <w:rPr>
          <w:b/>
          <w:noProof/>
        </w:rPr>
        <w:t xml:space="preserve">Ο παρών κανονισμός δεν έχει δημοσιονομικές επιπτώσεις.  </w:t>
      </w:r>
    </w:p>
    <w:p w:rsidR="009F5731" w:rsidRDefault="005C2A57">
      <w:pPr>
        <w:pStyle w:val="Text1"/>
        <w:rPr>
          <w:noProof/>
        </w:rPr>
      </w:pPr>
      <w:r>
        <w:rPr>
          <w:noProof/>
        </w:rPr>
        <w:sym w:font="Wingdings" w:char="F0A8"/>
      </w:r>
      <w:r>
        <w:rPr>
          <w:noProof/>
        </w:rPr>
        <w:tab/>
        <w:t xml:space="preserve">Η </w:t>
      </w:r>
      <w:r>
        <w:rPr>
          <w:noProof/>
        </w:rPr>
        <w:t>πρόταση/πρωτοβουλία συνεπάγεται τη χρησιμοποίηση επιχειρησιακών πιστώσεων, όπως εξηγείται κατωτέρω:</w:t>
      </w:r>
    </w:p>
    <w:p w:rsidR="009F5731" w:rsidRDefault="005C2A57">
      <w:pPr>
        <w:jc w:val="right"/>
        <w:rPr>
          <w:noProof/>
          <w:sz w:val="18"/>
          <w:szCs w:val="18"/>
        </w:rPr>
      </w:pPr>
      <w:r>
        <w:rPr>
          <w:noProof/>
          <w:sz w:val="18"/>
        </w:rPr>
        <w:t xml:space="preserve">EUR </w:t>
      </w:r>
    </w:p>
    <w:p w:rsidR="009F5731" w:rsidRDefault="005C2A57">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F5731">
        <w:trPr>
          <w:jc w:val="center"/>
        </w:trPr>
        <w:tc>
          <w:tcPr>
            <w:tcW w:w="4744" w:type="dxa"/>
            <w:shd w:val="thinDiagStripe" w:color="C0C0C0" w:fill="auto"/>
            <w:vAlign w:val="center"/>
          </w:tcPr>
          <w:p w:rsidR="009F5731" w:rsidRDefault="005C2A57">
            <w:pPr>
              <w:spacing w:before="60" w:after="60"/>
              <w:jc w:val="center"/>
              <w:rPr>
                <w:b/>
                <w:noProof/>
              </w:rPr>
            </w:pPr>
            <w:r>
              <w:rPr>
                <w:b/>
                <w:noProof/>
                <w:sz w:val="22"/>
              </w:rPr>
              <w:t>Τομέας του πολυετούς δημοσιονομικού</w:t>
            </w:r>
            <w:r>
              <w:rPr>
                <w:noProof/>
                <w:sz w:val="22"/>
              </w:rPr>
              <w:br/>
            </w:r>
            <w:r>
              <w:rPr>
                <w:b/>
                <w:noProof/>
                <w:sz w:val="22"/>
              </w:rPr>
              <w:t xml:space="preserve">πλαισίου </w:t>
            </w:r>
          </w:p>
        </w:tc>
        <w:tc>
          <w:tcPr>
            <w:tcW w:w="1080" w:type="dxa"/>
            <w:vAlign w:val="center"/>
          </w:tcPr>
          <w:p w:rsidR="009F5731" w:rsidRDefault="005C2A57">
            <w:pPr>
              <w:spacing w:before="60" w:after="60"/>
              <w:jc w:val="center"/>
              <w:rPr>
                <w:noProof/>
              </w:rPr>
            </w:pPr>
            <w:r>
              <w:rPr>
                <w:noProof/>
                <w:sz w:val="22"/>
              </w:rPr>
              <w:t>13</w:t>
            </w:r>
          </w:p>
        </w:tc>
        <w:tc>
          <w:tcPr>
            <w:tcW w:w="7817" w:type="dxa"/>
            <w:vAlign w:val="center"/>
          </w:tcPr>
          <w:p w:rsidR="009F5731" w:rsidRDefault="009F5731">
            <w:pPr>
              <w:spacing w:before="60" w:after="60"/>
              <w:rPr>
                <w:noProof/>
              </w:rPr>
            </w:pPr>
          </w:p>
        </w:tc>
      </w:tr>
    </w:tbl>
    <w:p w:rsidR="009F5731" w:rsidRDefault="009F5731">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rsidR="009F5731">
        <w:trPr>
          <w:trHeight w:val="1068"/>
        </w:trPr>
        <w:tc>
          <w:tcPr>
            <w:tcW w:w="3960" w:type="dxa"/>
            <w:vAlign w:val="center"/>
          </w:tcPr>
          <w:p w:rsidR="009F5731" w:rsidRDefault="009F5731">
            <w:pPr>
              <w:rPr>
                <w:noProof/>
              </w:rPr>
            </w:pPr>
          </w:p>
        </w:tc>
        <w:tc>
          <w:tcPr>
            <w:tcW w:w="1560" w:type="dxa"/>
            <w:gridSpan w:val="2"/>
          </w:tcPr>
          <w:p w:rsidR="009F5731" w:rsidRDefault="009F5731">
            <w:pPr>
              <w:rPr>
                <w:noProof/>
                <w:sz w:val="20"/>
              </w:rPr>
            </w:pPr>
          </w:p>
        </w:tc>
        <w:tc>
          <w:tcPr>
            <w:tcW w:w="534" w:type="dxa"/>
          </w:tcPr>
          <w:p w:rsidR="009F5731" w:rsidRDefault="009F5731">
            <w:pPr>
              <w:jc w:val="center"/>
              <w:rPr>
                <w:noProof/>
                <w:sz w:val="20"/>
              </w:rPr>
            </w:pPr>
          </w:p>
        </w:tc>
        <w:tc>
          <w:tcPr>
            <w:tcW w:w="1252" w:type="dxa"/>
            <w:vAlign w:val="center"/>
          </w:tcPr>
          <w:p w:rsidR="009F5731" w:rsidRDefault="005C2A57">
            <w:pPr>
              <w:jc w:val="center"/>
              <w:rPr>
                <w:noProof/>
                <w:sz w:val="20"/>
              </w:rPr>
            </w:pPr>
            <w:r>
              <w:rPr>
                <w:noProof/>
                <w:sz w:val="20"/>
              </w:rPr>
              <w:t>2019</w:t>
            </w:r>
          </w:p>
        </w:tc>
        <w:tc>
          <w:tcPr>
            <w:tcW w:w="1116" w:type="dxa"/>
            <w:vAlign w:val="center"/>
          </w:tcPr>
          <w:p w:rsidR="009F5731" w:rsidRDefault="005C2A57">
            <w:pPr>
              <w:jc w:val="center"/>
              <w:rPr>
                <w:noProof/>
                <w:sz w:val="20"/>
              </w:rPr>
            </w:pPr>
            <w:r>
              <w:rPr>
                <w:noProof/>
                <w:sz w:val="20"/>
              </w:rPr>
              <w:t>2020</w:t>
            </w:r>
          </w:p>
        </w:tc>
        <w:tc>
          <w:tcPr>
            <w:tcW w:w="1010" w:type="dxa"/>
            <w:vAlign w:val="center"/>
          </w:tcPr>
          <w:p w:rsidR="009F5731" w:rsidRDefault="005C2A57">
            <w:pPr>
              <w:jc w:val="center"/>
              <w:rPr>
                <w:noProof/>
                <w:sz w:val="20"/>
              </w:rPr>
            </w:pPr>
            <w:r>
              <w:rPr>
                <w:noProof/>
                <w:sz w:val="20"/>
              </w:rPr>
              <w:t>2021</w:t>
            </w:r>
          </w:p>
        </w:tc>
        <w:tc>
          <w:tcPr>
            <w:tcW w:w="1134" w:type="dxa"/>
            <w:vAlign w:val="center"/>
          </w:tcPr>
          <w:p w:rsidR="009F5731" w:rsidRDefault="005C2A57">
            <w:pPr>
              <w:jc w:val="center"/>
              <w:rPr>
                <w:noProof/>
                <w:sz w:val="20"/>
              </w:rPr>
            </w:pPr>
            <w:r>
              <w:rPr>
                <w:noProof/>
                <w:sz w:val="20"/>
              </w:rPr>
              <w:t>2022</w:t>
            </w:r>
          </w:p>
        </w:tc>
        <w:tc>
          <w:tcPr>
            <w:tcW w:w="1418" w:type="dxa"/>
          </w:tcPr>
          <w:p w:rsidR="009F5731" w:rsidRDefault="005C2A57">
            <w:pPr>
              <w:rPr>
                <w:noProof/>
                <w:sz w:val="20"/>
              </w:rPr>
            </w:pPr>
            <w:r>
              <w:rPr>
                <w:noProof/>
                <w:sz w:val="20"/>
              </w:rPr>
              <w:t xml:space="preserve">   </w:t>
            </w:r>
          </w:p>
          <w:p w:rsidR="009F5731" w:rsidRDefault="005C2A57">
            <w:pPr>
              <w:rPr>
                <w:noProof/>
                <w:sz w:val="20"/>
              </w:rPr>
            </w:pPr>
            <w:r>
              <w:rPr>
                <w:noProof/>
                <w:sz w:val="20"/>
              </w:rPr>
              <w:t xml:space="preserve">      2023</w:t>
            </w:r>
          </w:p>
        </w:tc>
        <w:tc>
          <w:tcPr>
            <w:tcW w:w="1559" w:type="dxa"/>
          </w:tcPr>
          <w:p w:rsidR="009F5731" w:rsidRDefault="009F5731">
            <w:pPr>
              <w:jc w:val="center"/>
              <w:rPr>
                <w:noProof/>
                <w:sz w:val="20"/>
              </w:rPr>
            </w:pPr>
          </w:p>
          <w:p w:rsidR="009F5731" w:rsidRDefault="005C2A57">
            <w:pPr>
              <w:jc w:val="center"/>
              <w:rPr>
                <w:noProof/>
                <w:sz w:val="20"/>
              </w:rPr>
            </w:pPr>
            <w:r>
              <w:rPr>
                <w:noProof/>
                <w:sz w:val="20"/>
              </w:rPr>
              <w:t>Επόμενα έτη</w:t>
            </w:r>
          </w:p>
        </w:tc>
        <w:tc>
          <w:tcPr>
            <w:tcW w:w="2409" w:type="dxa"/>
            <w:vAlign w:val="center"/>
          </w:tcPr>
          <w:p w:rsidR="009F5731" w:rsidRDefault="005C2A57">
            <w:pPr>
              <w:jc w:val="center"/>
              <w:rPr>
                <w:b/>
                <w:noProof/>
                <w:sz w:val="20"/>
              </w:rPr>
            </w:pPr>
            <w:r>
              <w:rPr>
                <w:b/>
                <w:noProof/>
                <w:sz w:val="20"/>
              </w:rPr>
              <w:t>ΣΥΝΟΛΟ</w:t>
            </w:r>
          </w:p>
        </w:tc>
      </w:tr>
      <w:tr w:rsidR="009F5731">
        <w:trPr>
          <w:trHeight w:val="213"/>
        </w:trPr>
        <w:tc>
          <w:tcPr>
            <w:tcW w:w="6054" w:type="dxa"/>
            <w:gridSpan w:val="4"/>
            <w:vAlign w:val="center"/>
          </w:tcPr>
          <w:p w:rsidR="009F5731" w:rsidRDefault="005C2A57">
            <w:pPr>
              <w:spacing w:before="20" w:after="20"/>
              <w:rPr>
                <w:b/>
                <w:noProof/>
                <w:szCs w:val="24"/>
              </w:rPr>
            </w:pPr>
            <w:r>
              <w:rPr>
                <w:noProof/>
                <w:sz w:val="21"/>
              </w:rPr>
              <w:sym w:font="Wingdings" w:char="F09F"/>
            </w:r>
            <w:r>
              <w:rPr>
                <w:noProof/>
                <w:sz w:val="21"/>
              </w:rPr>
              <w:t xml:space="preserve"> </w:t>
            </w:r>
            <w:r>
              <w:rPr>
                <w:b/>
                <w:noProof/>
              </w:rPr>
              <w:t>Ακύρωση επιχειρησιακών πιστώσεων</w:t>
            </w:r>
          </w:p>
        </w:tc>
        <w:tc>
          <w:tcPr>
            <w:tcW w:w="1252" w:type="dxa"/>
            <w:vAlign w:val="center"/>
          </w:tcPr>
          <w:p w:rsidR="009F5731" w:rsidRDefault="009F5731">
            <w:pPr>
              <w:rPr>
                <w:noProof/>
                <w:sz w:val="20"/>
              </w:rPr>
            </w:pPr>
          </w:p>
        </w:tc>
        <w:tc>
          <w:tcPr>
            <w:tcW w:w="1116" w:type="dxa"/>
            <w:vAlign w:val="center"/>
          </w:tcPr>
          <w:p w:rsidR="009F5731" w:rsidRDefault="009F5731">
            <w:pPr>
              <w:rPr>
                <w:noProof/>
                <w:sz w:val="20"/>
              </w:rPr>
            </w:pPr>
          </w:p>
        </w:tc>
        <w:tc>
          <w:tcPr>
            <w:tcW w:w="1010" w:type="dxa"/>
            <w:vAlign w:val="center"/>
          </w:tcPr>
          <w:p w:rsidR="009F5731" w:rsidRDefault="009F5731">
            <w:pPr>
              <w:rPr>
                <w:noProof/>
                <w:sz w:val="20"/>
              </w:rPr>
            </w:pPr>
          </w:p>
        </w:tc>
        <w:tc>
          <w:tcPr>
            <w:tcW w:w="1134" w:type="dxa"/>
            <w:vAlign w:val="center"/>
          </w:tcPr>
          <w:p w:rsidR="009F5731" w:rsidRDefault="009F5731">
            <w:pPr>
              <w:rPr>
                <w:noProof/>
                <w:sz w:val="20"/>
              </w:rPr>
            </w:pPr>
          </w:p>
        </w:tc>
        <w:tc>
          <w:tcPr>
            <w:tcW w:w="1418" w:type="dxa"/>
          </w:tcPr>
          <w:p w:rsidR="009F5731" w:rsidRDefault="009F5731">
            <w:pPr>
              <w:rPr>
                <w:b/>
                <w:noProof/>
                <w:sz w:val="20"/>
              </w:rPr>
            </w:pPr>
          </w:p>
        </w:tc>
        <w:tc>
          <w:tcPr>
            <w:tcW w:w="1559" w:type="dxa"/>
          </w:tcPr>
          <w:p w:rsidR="009F5731" w:rsidRDefault="009F5731">
            <w:pPr>
              <w:rPr>
                <w:b/>
                <w:noProof/>
                <w:sz w:val="20"/>
              </w:rPr>
            </w:pPr>
          </w:p>
        </w:tc>
        <w:tc>
          <w:tcPr>
            <w:tcW w:w="2409" w:type="dxa"/>
            <w:vAlign w:val="center"/>
          </w:tcPr>
          <w:p w:rsidR="009F5731" w:rsidRDefault="009F5731">
            <w:pPr>
              <w:rPr>
                <w:b/>
                <w:noProof/>
                <w:sz w:val="20"/>
              </w:rPr>
            </w:pPr>
          </w:p>
        </w:tc>
      </w:tr>
      <w:tr w:rsidR="009F5731">
        <w:trPr>
          <w:trHeight w:val="509"/>
        </w:trPr>
        <w:tc>
          <w:tcPr>
            <w:tcW w:w="3960" w:type="dxa"/>
            <w:vMerge w:val="restart"/>
            <w:vAlign w:val="center"/>
          </w:tcPr>
          <w:p w:rsidR="009F5731" w:rsidRDefault="005C2A57">
            <w:pPr>
              <w:rPr>
                <w:noProof/>
                <w:sz w:val="20"/>
              </w:rPr>
            </w:pPr>
            <w:r>
              <w:rPr>
                <w:noProof/>
                <w:sz w:val="20"/>
              </w:rPr>
              <w:t>13.03.64.01 - Ευρωπαϊκό Ταμείο Περιφερειακής Ανάπτυξης (ΕΤΠΑ) — Ευρωπαϊκή εδαφική συνεργασία (ΕΔΣ)</w:t>
            </w:r>
          </w:p>
        </w:tc>
        <w:tc>
          <w:tcPr>
            <w:tcW w:w="1440" w:type="dxa"/>
            <w:vAlign w:val="center"/>
          </w:tcPr>
          <w:p w:rsidR="009F5731" w:rsidRDefault="005C2A57">
            <w:pPr>
              <w:spacing w:before="20" w:after="20"/>
              <w:rPr>
                <w:noProof/>
                <w:sz w:val="18"/>
              </w:rPr>
            </w:pPr>
            <w:r>
              <w:rPr>
                <w:noProof/>
                <w:sz w:val="18"/>
              </w:rPr>
              <w:t>Αναλήψεις υποχρεώσεων</w:t>
            </w:r>
          </w:p>
        </w:tc>
        <w:tc>
          <w:tcPr>
            <w:tcW w:w="654" w:type="dxa"/>
            <w:gridSpan w:val="2"/>
            <w:vAlign w:val="center"/>
          </w:tcPr>
          <w:p w:rsidR="009F5731" w:rsidRDefault="005C2A57">
            <w:pPr>
              <w:spacing w:before="20" w:after="20"/>
              <w:jc w:val="center"/>
              <w:rPr>
                <w:noProof/>
                <w:sz w:val="14"/>
              </w:rPr>
            </w:pPr>
            <w:r>
              <w:rPr>
                <w:noProof/>
                <w:sz w:val="14"/>
              </w:rPr>
              <w:t>(1α)</w:t>
            </w:r>
          </w:p>
        </w:tc>
        <w:tc>
          <w:tcPr>
            <w:tcW w:w="1252" w:type="dxa"/>
            <w:vAlign w:val="center"/>
          </w:tcPr>
          <w:p w:rsidR="009F5731" w:rsidRDefault="009F5731">
            <w:pPr>
              <w:spacing w:before="20" w:after="20"/>
              <w:rPr>
                <w:noProof/>
                <w:sz w:val="18"/>
                <w:szCs w:val="18"/>
              </w:rPr>
            </w:pPr>
          </w:p>
        </w:tc>
        <w:tc>
          <w:tcPr>
            <w:tcW w:w="1116" w:type="dxa"/>
            <w:vAlign w:val="center"/>
          </w:tcPr>
          <w:p w:rsidR="009F5731" w:rsidRDefault="009F5731">
            <w:pPr>
              <w:spacing w:before="20" w:after="20"/>
              <w:jc w:val="right"/>
              <w:rPr>
                <w:noProof/>
                <w:sz w:val="18"/>
                <w:szCs w:val="18"/>
              </w:rPr>
            </w:pPr>
          </w:p>
        </w:tc>
        <w:tc>
          <w:tcPr>
            <w:tcW w:w="1010" w:type="dxa"/>
            <w:vAlign w:val="center"/>
          </w:tcPr>
          <w:p w:rsidR="009F5731" w:rsidRDefault="009F5731">
            <w:pPr>
              <w:spacing w:before="20" w:after="20"/>
              <w:jc w:val="right"/>
              <w:rPr>
                <w:noProof/>
                <w:sz w:val="20"/>
              </w:rPr>
            </w:pPr>
          </w:p>
        </w:tc>
        <w:tc>
          <w:tcPr>
            <w:tcW w:w="1134" w:type="dxa"/>
            <w:vAlign w:val="center"/>
          </w:tcPr>
          <w:p w:rsidR="009F5731" w:rsidRDefault="009F5731">
            <w:pPr>
              <w:spacing w:before="20" w:after="20"/>
              <w:jc w:val="right"/>
              <w:rPr>
                <w:noProof/>
                <w:sz w:val="20"/>
              </w:rPr>
            </w:pPr>
          </w:p>
        </w:tc>
        <w:tc>
          <w:tcPr>
            <w:tcW w:w="1418" w:type="dxa"/>
          </w:tcPr>
          <w:p w:rsidR="009F5731" w:rsidRDefault="009F5731">
            <w:pPr>
              <w:spacing w:before="20" w:after="20"/>
              <w:jc w:val="right"/>
              <w:rPr>
                <w:b/>
                <w:noProof/>
                <w:sz w:val="20"/>
              </w:rPr>
            </w:pPr>
          </w:p>
        </w:tc>
        <w:tc>
          <w:tcPr>
            <w:tcW w:w="1559" w:type="dxa"/>
          </w:tcPr>
          <w:p w:rsidR="009F5731" w:rsidRDefault="009F5731">
            <w:pPr>
              <w:spacing w:before="20" w:after="20"/>
              <w:jc w:val="right"/>
              <w:rPr>
                <w:b/>
                <w:noProof/>
                <w:sz w:val="20"/>
              </w:rPr>
            </w:pPr>
          </w:p>
        </w:tc>
        <w:tc>
          <w:tcPr>
            <w:tcW w:w="2409" w:type="dxa"/>
            <w:vAlign w:val="center"/>
          </w:tcPr>
          <w:p w:rsidR="009F5731" w:rsidRDefault="009F5731">
            <w:pPr>
              <w:spacing w:before="20" w:after="20"/>
              <w:jc w:val="right"/>
              <w:rPr>
                <w:noProof/>
                <w:sz w:val="18"/>
                <w:szCs w:val="18"/>
              </w:rPr>
            </w:pPr>
          </w:p>
        </w:tc>
      </w:tr>
      <w:tr w:rsidR="009F5731">
        <w:tc>
          <w:tcPr>
            <w:tcW w:w="3960" w:type="dxa"/>
            <w:vMerge/>
          </w:tcPr>
          <w:p w:rsidR="009F5731" w:rsidRDefault="009F5731">
            <w:pPr>
              <w:jc w:val="center"/>
              <w:rPr>
                <w:noProof/>
                <w:sz w:val="20"/>
              </w:rPr>
            </w:pPr>
          </w:p>
        </w:tc>
        <w:tc>
          <w:tcPr>
            <w:tcW w:w="1440" w:type="dxa"/>
            <w:vAlign w:val="center"/>
          </w:tcPr>
          <w:p w:rsidR="009F5731" w:rsidRDefault="005C2A57">
            <w:pPr>
              <w:spacing w:before="20" w:after="20"/>
              <w:rPr>
                <w:noProof/>
                <w:sz w:val="18"/>
              </w:rPr>
            </w:pPr>
            <w:r>
              <w:rPr>
                <w:noProof/>
                <w:sz w:val="18"/>
              </w:rPr>
              <w:t>Πληρωμές</w:t>
            </w:r>
          </w:p>
        </w:tc>
        <w:tc>
          <w:tcPr>
            <w:tcW w:w="654" w:type="dxa"/>
            <w:gridSpan w:val="2"/>
            <w:vAlign w:val="center"/>
          </w:tcPr>
          <w:p w:rsidR="009F5731" w:rsidRDefault="005C2A57">
            <w:pPr>
              <w:spacing w:before="20" w:after="20"/>
              <w:jc w:val="center"/>
              <w:rPr>
                <w:noProof/>
                <w:sz w:val="14"/>
              </w:rPr>
            </w:pPr>
            <w:r>
              <w:rPr>
                <w:noProof/>
                <w:sz w:val="14"/>
              </w:rPr>
              <w:t>(2α)</w:t>
            </w:r>
          </w:p>
        </w:tc>
        <w:tc>
          <w:tcPr>
            <w:tcW w:w="1252" w:type="dxa"/>
            <w:vAlign w:val="center"/>
          </w:tcPr>
          <w:p w:rsidR="009F5731" w:rsidRDefault="009F5731">
            <w:pPr>
              <w:spacing w:before="20" w:after="20"/>
              <w:jc w:val="right"/>
              <w:rPr>
                <w:noProof/>
                <w:sz w:val="18"/>
                <w:szCs w:val="18"/>
              </w:rPr>
            </w:pPr>
          </w:p>
        </w:tc>
        <w:tc>
          <w:tcPr>
            <w:tcW w:w="1116" w:type="dxa"/>
            <w:vAlign w:val="center"/>
          </w:tcPr>
          <w:p w:rsidR="009F5731" w:rsidRDefault="009F5731">
            <w:pPr>
              <w:spacing w:before="20" w:after="20"/>
              <w:jc w:val="right"/>
              <w:rPr>
                <w:noProof/>
                <w:sz w:val="18"/>
                <w:szCs w:val="18"/>
              </w:rPr>
            </w:pPr>
          </w:p>
        </w:tc>
        <w:tc>
          <w:tcPr>
            <w:tcW w:w="1010" w:type="dxa"/>
            <w:vAlign w:val="center"/>
          </w:tcPr>
          <w:p w:rsidR="009F5731" w:rsidRDefault="009F5731">
            <w:pPr>
              <w:spacing w:before="20" w:after="20"/>
              <w:jc w:val="right"/>
              <w:rPr>
                <w:noProof/>
                <w:sz w:val="18"/>
                <w:szCs w:val="18"/>
                <w:highlight w:val="yellow"/>
              </w:rPr>
            </w:pPr>
          </w:p>
        </w:tc>
        <w:tc>
          <w:tcPr>
            <w:tcW w:w="1134" w:type="dxa"/>
            <w:vAlign w:val="center"/>
          </w:tcPr>
          <w:p w:rsidR="009F5731" w:rsidRDefault="009F5731">
            <w:pPr>
              <w:spacing w:before="20" w:after="20"/>
              <w:jc w:val="right"/>
              <w:rPr>
                <w:noProof/>
                <w:sz w:val="18"/>
                <w:szCs w:val="18"/>
              </w:rPr>
            </w:pPr>
          </w:p>
        </w:tc>
        <w:tc>
          <w:tcPr>
            <w:tcW w:w="1418" w:type="dxa"/>
          </w:tcPr>
          <w:p w:rsidR="009F5731" w:rsidRDefault="009F5731">
            <w:pPr>
              <w:spacing w:before="20" w:after="20"/>
              <w:jc w:val="right"/>
              <w:rPr>
                <w:noProof/>
                <w:sz w:val="18"/>
                <w:szCs w:val="18"/>
              </w:rPr>
            </w:pPr>
          </w:p>
        </w:tc>
        <w:tc>
          <w:tcPr>
            <w:tcW w:w="1559" w:type="dxa"/>
          </w:tcPr>
          <w:p w:rsidR="009F5731" w:rsidRDefault="009F5731">
            <w:pPr>
              <w:spacing w:before="20" w:after="20"/>
              <w:jc w:val="right"/>
              <w:rPr>
                <w:noProof/>
                <w:sz w:val="18"/>
                <w:szCs w:val="18"/>
              </w:rPr>
            </w:pPr>
          </w:p>
        </w:tc>
        <w:tc>
          <w:tcPr>
            <w:tcW w:w="2409" w:type="dxa"/>
            <w:vAlign w:val="center"/>
          </w:tcPr>
          <w:p w:rsidR="009F5731" w:rsidRDefault="009F5731">
            <w:pPr>
              <w:spacing w:before="20" w:after="20"/>
              <w:jc w:val="right"/>
              <w:rPr>
                <w:noProof/>
                <w:sz w:val="18"/>
                <w:szCs w:val="18"/>
              </w:rPr>
            </w:pPr>
          </w:p>
        </w:tc>
      </w:tr>
      <w:tr w:rsidR="009F5731">
        <w:tc>
          <w:tcPr>
            <w:tcW w:w="3960" w:type="dxa"/>
            <w:vMerge w:val="restart"/>
            <w:vAlign w:val="center"/>
          </w:tcPr>
          <w:p w:rsidR="009F5731" w:rsidRDefault="005C2A57">
            <w:pPr>
              <w:jc w:val="center"/>
              <w:rPr>
                <w:b/>
                <w:noProof/>
              </w:rPr>
            </w:pPr>
            <w:r>
              <w:rPr>
                <w:b/>
                <w:noProof/>
                <w:sz w:val="22"/>
              </w:rPr>
              <w:t>ΣΥΝΟΛΟ πιστώσεων</w:t>
            </w:r>
            <w:r>
              <w:rPr>
                <w:noProof/>
                <w:sz w:val="22"/>
              </w:rPr>
              <w:br/>
            </w:r>
          </w:p>
        </w:tc>
        <w:tc>
          <w:tcPr>
            <w:tcW w:w="1440" w:type="dxa"/>
            <w:vAlign w:val="center"/>
          </w:tcPr>
          <w:p w:rsidR="009F5731" w:rsidRDefault="005C2A57">
            <w:pPr>
              <w:rPr>
                <w:noProof/>
                <w:sz w:val="18"/>
              </w:rPr>
            </w:pPr>
            <w:r>
              <w:rPr>
                <w:noProof/>
                <w:sz w:val="18"/>
              </w:rPr>
              <w:t>Αναλήψεις υποχρεώσεων</w:t>
            </w:r>
          </w:p>
        </w:tc>
        <w:tc>
          <w:tcPr>
            <w:tcW w:w="654" w:type="dxa"/>
            <w:gridSpan w:val="2"/>
            <w:vAlign w:val="center"/>
          </w:tcPr>
          <w:p w:rsidR="009F5731" w:rsidRDefault="005C2A57">
            <w:pPr>
              <w:jc w:val="center"/>
              <w:rPr>
                <w:noProof/>
                <w:sz w:val="14"/>
              </w:rPr>
            </w:pPr>
            <w:r>
              <w:rPr>
                <w:noProof/>
                <w:sz w:val="14"/>
              </w:rPr>
              <w:t>=1α+1β +3</w:t>
            </w:r>
          </w:p>
        </w:tc>
        <w:tc>
          <w:tcPr>
            <w:tcW w:w="1252" w:type="dxa"/>
            <w:vAlign w:val="center"/>
          </w:tcPr>
          <w:p w:rsidR="009F5731" w:rsidRDefault="009F5731">
            <w:pPr>
              <w:spacing w:before="20" w:after="20"/>
              <w:jc w:val="right"/>
              <w:rPr>
                <w:noProof/>
                <w:sz w:val="18"/>
                <w:szCs w:val="18"/>
              </w:rPr>
            </w:pPr>
          </w:p>
        </w:tc>
        <w:tc>
          <w:tcPr>
            <w:tcW w:w="1116" w:type="dxa"/>
            <w:vAlign w:val="center"/>
          </w:tcPr>
          <w:p w:rsidR="009F5731" w:rsidRDefault="009F5731">
            <w:pPr>
              <w:spacing w:before="20" w:after="20"/>
              <w:jc w:val="right"/>
              <w:rPr>
                <w:noProof/>
                <w:sz w:val="18"/>
                <w:szCs w:val="18"/>
              </w:rPr>
            </w:pPr>
          </w:p>
        </w:tc>
        <w:tc>
          <w:tcPr>
            <w:tcW w:w="1010" w:type="dxa"/>
            <w:vAlign w:val="center"/>
          </w:tcPr>
          <w:p w:rsidR="009F5731" w:rsidRDefault="009F5731">
            <w:pPr>
              <w:spacing w:before="20" w:after="20"/>
              <w:jc w:val="right"/>
              <w:rPr>
                <w:noProof/>
                <w:sz w:val="18"/>
                <w:szCs w:val="18"/>
              </w:rPr>
            </w:pPr>
          </w:p>
        </w:tc>
        <w:tc>
          <w:tcPr>
            <w:tcW w:w="1134" w:type="dxa"/>
            <w:vAlign w:val="center"/>
          </w:tcPr>
          <w:p w:rsidR="009F5731" w:rsidRDefault="009F5731">
            <w:pPr>
              <w:spacing w:before="20" w:after="20"/>
              <w:jc w:val="right"/>
              <w:rPr>
                <w:noProof/>
                <w:sz w:val="18"/>
                <w:szCs w:val="18"/>
              </w:rPr>
            </w:pPr>
          </w:p>
        </w:tc>
        <w:tc>
          <w:tcPr>
            <w:tcW w:w="1418" w:type="dxa"/>
          </w:tcPr>
          <w:p w:rsidR="009F5731" w:rsidRDefault="009F5731">
            <w:pPr>
              <w:spacing w:before="20" w:after="20"/>
              <w:jc w:val="right"/>
              <w:rPr>
                <w:b/>
                <w:noProof/>
                <w:sz w:val="18"/>
                <w:szCs w:val="18"/>
              </w:rPr>
            </w:pPr>
          </w:p>
        </w:tc>
        <w:tc>
          <w:tcPr>
            <w:tcW w:w="1559" w:type="dxa"/>
          </w:tcPr>
          <w:p w:rsidR="009F5731" w:rsidRDefault="009F5731">
            <w:pPr>
              <w:spacing w:before="20" w:after="20"/>
              <w:jc w:val="right"/>
              <w:rPr>
                <w:b/>
                <w:noProof/>
                <w:sz w:val="18"/>
                <w:szCs w:val="18"/>
              </w:rPr>
            </w:pPr>
          </w:p>
        </w:tc>
        <w:tc>
          <w:tcPr>
            <w:tcW w:w="2409" w:type="dxa"/>
            <w:vAlign w:val="center"/>
          </w:tcPr>
          <w:p w:rsidR="009F5731" w:rsidRDefault="009F5731">
            <w:pPr>
              <w:spacing w:before="20" w:after="20"/>
              <w:jc w:val="right"/>
              <w:rPr>
                <w:b/>
                <w:noProof/>
                <w:sz w:val="18"/>
                <w:szCs w:val="18"/>
              </w:rPr>
            </w:pPr>
          </w:p>
        </w:tc>
      </w:tr>
      <w:tr w:rsidR="009F5731">
        <w:tc>
          <w:tcPr>
            <w:tcW w:w="3960" w:type="dxa"/>
            <w:vMerge/>
          </w:tcPr>
          <w:p w:rsidR="009F5731" w:rsidRDefault="009F5731">
            <w:pPr>
              <w:rPr>
                <w:noProof/>
                <w:sz w:val="20"/>
              </w:rPr>
            </w:pPr>
          </w:p>
        </w:tc>
        <w:tc>
          <w:tcPr>
            <w:tcW w:w="1440" w:type="dxa"/>
            <w:vAlign w:val="center"/>
          </w:tcPr>
          <w:p w:rsidR="009F5731" w:rsidRDefault="005C2A57">
            <w:pPr>
              <w:rPr>
                <w:noProof/>
                <w:sz w:val="18"/>
              </w:rPr>
            </w:pPr>
            <w:r>
              <w:rPr>
                <w:noProof/>
                <w:sz w:val="18"/>
              </w:rPr>
              <w:t>Πληρωμές</w:t>
            </w:r>
          </w:p>
        </w:tc>
        <w:tc>
          <w:tcPr>
            <w:tcW w:w="654" w:type="dxa"/>
            <w:gridSpan w:val="2"/>
            <w:vAlign w:val="center"/>
          </w:tcPr>
          <w:p w:rsidR="009F5731" w:rsidRDefault="005C2A57">
            <w:pPr>
              <w:jc w:val="center"/>
              <w:rPr>
                <w:noProof/>
                <w:sz w:val="14"/>
              </w:rPr>
            </w:pPr>
            <w:r>
              <w:rPr>
                <w:noProof/>
                <w:sz w:val="14"/>
              </w:rPr>
              <w:t>=2α+2β</w:t>
            </w:r>
          </w:p>
          <w:p w:rsidR="009F5731" w:rsidRDefault="005C2A57">
            <w:pPr>
              <w:jc w:val="center"/>
              <w:rPr>
                <w:noProof/>
                <w:sz w:val="14"/>
              </w:rPr>
            </w:pPr>
            <w:r>
              <w:rPr>
                <w:noProof/>
                <w:sz w:val="14"/>
              </w:rPr>
              <w:t>+3</w:t>
            </w:r>
          </w:p>
        </w:tc>
        <w:tc>
          <w:tcPr>
            <w:tcW w:w="1252" w:type="dxa"/>
            <w:vAlign w:val="center"/>
          </w:tcPr>
          <w:p w:rsidR="009F5731" w:rsidRDefault="009F5731">
            <w:pPr>
              <w:spacing w:before="20" w:after="20"/>
              <w:jc w:val="right"/>
              <w:rPr>
                <w:noProof/>
                <w:sz w:val="18"/>
                <w:szCs w:val="18"/>
              </w:rPr>
            </w:pPr>
          </w:p>
        </w:tc>
        <w:tc>
          <w:tcPr>
            <w:tcW w:w="1116" w:type="dxa"/>
            <w:vAlign w:val="center"/>
          </w:tcPr>
          <w:p w:rsidR="009F5731" w:rsidRDefault="009F5731">
            <w:pPr>
              <w:spacing w:before="20" w:after="20"/>
              <w:jc w:val="right"/>
              <w:rPr>
                <w:noProof/>
                <w:sz w:val="18"/>
                <w:szCs w:val="18"/>
              </w:rPr>
            </w:pPr>
          </w:p>
        </w:tc>
        <w:tc>
          <w:tcPr>
            <w:tcW w:w="1010" w:type="dxa"/>
            <w:vAlign w:val="center"/>
          </w:tcPr>
          <w:p w:rsidR="009F5731" w:rsidRDefault="009F5731">
            <w:pPr>
              <w:spacing w:before="20" w:after="20"/>
              <w:jc w:val="right"/>
              <w:rPr>
                <w:noProof/>
                <w:sz w:val="18"/>
                <w:szCs w:val="18"/>
              </w:rPr>
            </w:pPr>
          </w:p>
        </w:tc>
        <w:tc>
          <w:tcPr>
            <w:tcW w:w="1134" w:type="dxa"/>
            <w:vAlign w:val="center"/>
          </w:tcPr>
          <w:p w:rsidR="009F5731" w:rsidRDefault="009F5731">
            <w:pPr>
              <w:spacing w:before="20" w:after="20"/>
              <w:jc w:val="right"/>
              <w:rPr>
                <w:noProof/>
                <w:sz w:val="18"/>
                <w:szCs w:val="18"/>
              </w:rPr>
            </w:pPr>
          </w:p>
        </w:tc>
        <w:tc>
          <w:tcPr>
            <w:tcW w:w="1418" w:type="dxa"/>
          </w:tcPr>
          <w:p w:rsidR="009F5731" w:rsidRDefault="009F5731">
            <w:pPr>
              <w:spacing w:before="20" w:after="20"/>
              <w:jc w:val="right"/>
              <w:rPr>
                <w:b/>
                <w:noProof/>
                <w:sz w:val="18"/>
                <w:szCs w:val="18"/>
              </w:rPr>
            </w:pPr>
          </w:p>
        </w:tc>
        <w:tc>
          <w:tcPr>
            <w:tcW w:w="1559" w:type="dxa"/>
          </w:tcPr>
          <w:p w:rsidR="009F5731" w:rsidRDefault="009F5731">
            <w:pPr>
              <w:spacing w:before="20" w:after="20"/>
              <w:jc w:val="right"/>
              <w:rPr>
                <w:b/>
                <w:noProof/>
                <w:sz w:val="18"/>
                <w:szCs w:val="18"/>
              </w:rPr>
            </w:pPr>
          </w:p>
        </w:tc>
        <w:tc>
          <w:tcPr>
            <w:tcW w:w="2409" w:type="dxa"/>
            <w:vAlign w:val="center"/>
          </w:tcPr>
          <w:p w:rsidR="009F5731" w:rsidRDefault="009F5731">
            <w:pPr>
              <w:spacing w:before="20" w:after="20"/>
              <w:jc w:val="right"/>
              <w:rPr>
                <w:b/>
                <w:noProof/>
                <w:sz w:val="18"/>
                <w:szCs w:val="18"/>
              </w:rPr>
            </w:pPr>
          </w:p>
        </w:tc>
      </w:tr>
    </w:tbl>
    <w:p w:rsidR="009F5731" w:rsidRDefault="005C2A57">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rsidR="009F5731">
        <w:trPr>
          <w:trHeight w:val="277"/>
        </w:trPr>
        <w:tc>
          <w:tcPr>
            <w:tcW w:w="3960" w:type="dxa"/>
            <w:vMerge w:val="restart"/>
            <w:vAlign w:val="center"/>
          </w:tcPr>
          <w:p w:rsidR="009F5731" w:rsidRDefault="005C2A57">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rsidR="009F5731" w:rsidRDefault="005C2A57">
            <w:pPr>
              <w:spacing w:beforeLines="20" w:before="48" w:afterLines="20" w:after="48"/>
              <w:rPr>
                <w:noProof/>
                <w:sz w:val="18"/>
              </w:rPr>
            </w:pPr>
            <w:r>
              <w:rPr>
                <w:noProof/>
                <w:sz w:val="18"/>
              </w:rPr>
              <w:t>Αναλήψεις υποχρεώσεων</w:t>
            </w:r>
          </w:p>
        </w:tc>
        <w:tc>
          <w:tcPr>
            <w:tcW w:w="654" w:type="dxa"/>
            <w:vAlign w:val="center"/>
          </w:tcPr>
          <w:p w:rsidR="009F5731" w:rsidRDefault="005C2A57">
            <w:pPr>
              <w:spacing w:beforeLines="20" w:before="48" w:afterLines="20" w:after="48"/>
              <w:jc w:val="center"/>
              <w:rPr>
                <w:noProof/>
                <w:sz w:val="14"/>
              </w:rPr>
            </w:pPr>
            <w:r>
              <w:rPr>
                <w:noProof/>
                <w:sz w:val="14"/>
              </w:rPr>
              <w:t>(4)</w:t>
            </w:r>
          </w:p>
        </w:tc>
        <w:tc>
          <w:tcPr>
            <w:tcW w:w="1252" w:type="dxa"/>
            <w:vAlign w:val="center"/>
          </w:tcPr>
          <w:p w:rsidR="009F5731" w:rsidRDefault="009F5731">
            <w:pPr>
              <w:spacing w:before="20" w:after="20"/>
              <w:jc w:val="right"/>
              <w:rPr>
                <w:noProof/>
                <w:sz w:val="20"/>
              </w:rPr>
            </w:pPr>
          </w:p>
        </w:tc>
        <w:tc>
          <w:tcPr>
            <w:tcW w:w="1116" w:type="dxa"/>
            <w:vAlign w:val="center"/>
          </w:tcPr>
          <w:p w:rsidR="009F5731" w:rsidRDefault="009F5731">
            <w:pPr>
              <w:spacing w:before="20" w:after="20"/>
              <w:jc w:val="right"/>
              <w:rPr>
                <w:noProof/>
                <w:sz w:val="20"/>
              </w:rPr>
            </w:pPr>
          </w:p>
        </w:tc>
        <w:tc>
          <w:tcPr>
            <w:tcW w:w="1152" w:type="dxa"/>
            <w:vAlign w:val="center"/>
          </w:tcPr>
          <w:p w:rsidR="009F5731" w:rsidRDefault="009F5731">
            <w:pPr>
              <w:spacing w:before="20" w:after="20"/>
              <w:jc w:val="right"/>
              <w:rPr>
                <w:noProof/>
                <w:sz w:val="20"/>
              </w:rPr>
            </w:pPr>
          </w:p>
        </w:tc>
        <w:tc>
          <w:tcPr>
            <w:tcW w:w="1134" w:type="dxa"/>
            <w:vAlign w:val="center"/>
          </w:tcPr>
          <w:p w:rsidR="009F5731" w:rsidRDefault="009F5731">
            <w:pPr>
              <w:spacing w:before="20" w:after="20"/>
              <w:jc w:val="right"/>
              <w:rPr>
                <w:noProof/>
                <w:sz w:val="20"/>
              </w:rPr>
            </w:pPr>
          </w:p>
        </w:tc>
        <w:tc>
          <w:tcPr>
            <w:tcW w:w="1134" w:type="dxa"/>
            <w:vAlign w:val="center"/>
          </w:tcPr>
          <w:p w:rsidR="009F5731" w:rsidRDefault="009F5731">
            <w:pPr>
              <w:spacing w:before="20" w:after="20"/>
              <w:jc w:val="right"/>
              <w:rPr>
                <w:noProof/>
                <w:sz w:val="20"/>
              </w:rPr>
            </w:pPr>
          </w:p>
        </w:tc>
        <w:tc>
          <w:tcPr>
            <w:tcW w:w="1134" w:type="dxa"/>
            <w:vAlign w:val="center"/>
          </w:tcPr>
          <w:p w:rsidR="009F5731" w:rsidRDefault="009F5731">
            <w:pPr>
              <w:spacing w:before="20" w:after="20"/>
              <w:jc w:val="right"/>
              <w:rPr>
                <w:noProof/>
                <w:sz w:val="20"/>
              </w:rPr>
            </w:pPr>
          </w:p>
        </w:tc>
        <w:tc>
          <w:tcPr>
            <w:tcW w:w="1418" w:type="dxa"/>
            <w:vAlign w:val="center"/>
          </w:tcPr>
          <w:p w:rsidR="009F5731" w:rsidRDefault="009F5731">
            <w:pPr>
              <w:spacing w:before="20" w:after="20"/>
              <w:jc w:val="right"/>
              <w:rPr>
                <w:b/>
                <w:noProof/>
                <w:sz w:val="20"/>
              </w:rPr>
            </w:pPr>
          </w:p>
        </w:tc>
      </w:tr>
      <w:tr w:rsidR="009F5731">
        <w:tc>
          <w:tcPr>
            <w:tcW w:w="3960" w:type="dxa"/>
            <w:vMerge/>
          </w:tcPr>
          <w:p w:rsidR="009F5731" w:rsidRDefault="009F5731">
            <w:pPr>
              <w:jc w:val="center"/>
              <w:rPr>
                <w:noProof/>
                <w:sz w:val="20"/>
              </w:rPr>
            </w:pPr>
          </w:p>
        </w:tc>
        <w:tc>
          <w:tcPr>
            <w:tcW w:w="1440" w:type="dxa"/>
            <w:vAlign w:val="center"/>
          </w:tcPr>
          <w:p w:rsidR="009F5731" w:rsidRDefault="005C2A57">
            <w:pPr>
              <w:spacing w:beforeLines="20" w:before="48" w:afterLines="20" w:after="48"/>
              <w:rPr>
                <w:noProof/>
                <w:sz w:val="18"/>
              </w:rPr>
            </w:pPr>
            <w:r>
              <w:rPr>
                <w:noProof/>
                <w:sz w:val="18"/>
              </w:rPr>
              <w:t>Πληρωμές</w:t>
            </w:r>
          </w:p>
        </w:tc>
        <w:tc>
          <w:tcPr>
            <w:tcW w:w="654" w:type="dxa"/>
            <w:vAlign w:val="center"/>
          </w:tcPr>
          <w:p w:rsidR="009F5731" w:rsidRDefault="005C2A57">
            <w:pPr>
              <w:spacing w:beforeLines="20" w:before="48" w:afterLines="20" w:after="48"/>
              <w:jc w:val="center"/>
              <w:rPr>
                <w:noProof/>
                <w:sz w:val="14"/>
              </w:rPr>
            </w:pPr>
            <w:r>
              <w:rPr>
                <w:noProof/>
                <w:sz w:val="14"/>
              </w:rPr>
              <w:t>(5)</w:t>
            </w:r>
          </w:p>
        </w:tc>
        <w:tc>
          <w:tcPr>
            <w:tcW w:w="1252" w:type="dxa"/>
            <w:vAlign w:val="center"/>
          </w:tcPr>
          <w:p w:rsidR="009F5731" w:rsidRDefault="009F5731">
            <w:pPr>
              <w:spacing w:before="20" w:after="20"/>
              <w:jc w:val="right"/>
              <w:rPr>
                <w:noProof/>
                <w:sz w:val="20"/>
              </w:rPr>
            </w:pPr>
          </w:p>
        </w:tc>
        <w:tc>
          <w:tcPr>
            <w:tcW w:w="1116" w:type="dxa"/>
            <w:vAlign w:val="center"/>
          </w:tcPr>
          <w:p w:rsidR="009F5731" w:rsidRDefault="009F5731">
            <w:pPr>
              <w:spacing w:before="20" w:after="20"/>
              <w:jc w:val="right"/>
              <w:rPr>
                <w:noProof/>
                <w:sz w:val="20"/>
              </w:rPr>
            </w:pPr>
          </w:p>
        </w:tc>
        <w:tc>
          <w:tcPr>
            <w:tcW w:w="1152" w:type="dxa"/>
            <w:vAlign w:val="center"/>
          </w:tcPr>
          <w:p w:rsidR="009F5731" w:rsidRDefault="009F5731">
            <w:pPr>
              <w:spacing w:before="20" w:after="20"/>
              <w:jc w:val="right"/>
              <w:rPr>
                <w:noProof/>
                <w:sz w:val="20"/>
              </w:rPr>
            </w:pPr>
          </w:p>
        </w:tc>
        <w:tc>
          <w:tcPr>
            <w:tcW w:w="1134" w:type="dxa"/>
            <w:vAlign w:val="center"/>
          </w:tcPr>
          <w:p w:rsidR="009F5731" w:rsidRDefault="009F5731">
            <w:pPr>
              <w:spacing w:before="20" w:after="20"/>
              <w:jc w:val="right"/>
              <w:rPr>
                <w:noProof/>
                <w:sz w:val="20"/>
              </w:rPr>
            </w:pPr>
          </w:p>
        </w:tc>
        <w:tc>
          <w:tcPr>
            <w:tcW w:w="1134" w:type="dxa"/>
            <w:vAlign w:val="center"/>
          </w:tcPr>
          <w:p w:rsidR="009F5731" w:rsidRDefault="009F5731">
            <w:pPr>
              <w:spacing w:before="20" w:after="20"/>
              <w:jc w:val="right"/>
              <w:rPr>
                <w:noProof/>
                <w:sz w:val="20"/>
              </w:rPr>
            </w:pPr>
          </w:p>
        </w:tc>
        <w:tc>
          <w:tcPr>
            <w:tcW w:w="1134" w:type="dxa"/>
            <w:vAlign w:val="center"/>
          </w:tcPr>
          <w:p w:rsidR="009F5731" w:rsidRDefault="009F5731">
            <w:pPr>
              <w:spacing w:before="20" w:after="20"/>
              <w:jc w:val="right"/>
              <w:rPr>
                <w:noProof/>
                <w:sz w:val="20"/>
              </w:rPr>
            </w:pPr>
          </w:p>
        </w:tc>
        <w:tc>
          <w:tcPr>
            <w:tcW w:w="1418" w:type="dxa"/>
            <w:vAlign w:val="center"/>
          </w:tcPr>
          <w:p w:rsidR="009F5731" w:rsidRDefault="009F5731">
            <w:pPr>
              <w:spacing w:before="20" w:after="20"/>
              <w:jc w:val="right"/>
              <w:rPr>
                <w:b/>
                <w:noProof/>
                <w:sz w:val="20"/>
              </w:rPr>
            </w:pPr>
          </w:p>
        </w:tc>
      </w:tr>
      <w:tr w:rsidR="009F5731">
        <w:trPr>
          <w:trHeight w:val="533"/>
        </w:trPr>
        <w:tc>
          <w:tcPr>
            <w:tcW w:w="5400" w:type="dxa"/>
            <w:gridSpan w:val="2"/>
            <w:vAlign w:val="center"/>
          </w:tcPr>
          <w:p w:rsidR="009F5731" w:rsidRDefault="005C2A57">
            <w:pPr>
              <w:spacing w:beforeLines="20" w:before="48" w:afterLines="20" w:after="48"/>
              <w:rPr>
                <w:noProof/>
              </w:rPr>
            </w:pPr>
            <w:r>
              <w:rPr>
                <w:noProof/>
                <w:sz w:val="21"/>
              </w:rPr>
              <w:sym w:font="Wingdings" w:char="F09F"/>
            </w:r>
            <w:r>
              <w:rPr>
                <w:noProof/>
                <w:sz w:val="21"/>
              </w:rPr>
              <w:t>ΣΥΝΟΛΟ πιστώσεων διοικητικού χαρακτήρα χρηματοδοτούμενων από το κονδύλιο ειδικών προγραμμάτων</w:t>
            </w:r>
          </w:p>
        </w:tc>
        <w:tc>
          <w:tcPr>
            <w:tcW w:w="654" w:type="dxa"/>
            <w:vAlign w:val="center"/>
          </w:tcPr>
          <w:p w:rsidR="009F5731" w:rsidRDefault="005C2A57">
            <w:pPr>
              <w:spacing w:beforeLines="20" w:before="48" w:afterLines="20" w:after="48"/>
              <w:jc w:val="center"/>
              <w:rPr>
                <w:noProof/>
                <w:sz w:val="14"/>
              </w:rPr>
            </w:pPr>
            <w:r>
              <w:rPr>
                <w:noProof/>
                <w:sz w:val="14"/>
              </w:rPr>
              <w:t>(6)</w:t>
            </w:r>
          </w:p>
        </w:tc>
        <w:tc>
          <w:tcPr>
            <w:tcW w:w="1252" w:type="dxa"/>
            <w:vAlign w:val="center"/>
          </w:tcPr>
          <w:p w:rsidR="009F5731" w:rsidRDefault="009F5731">
            <w:pPr>
              <w:spacing w:before="20" w:after="20"/>
              <w:jc w:val="right"/>
              <w:rPr>
                <w:b/>
                <w:noProof/>
                <w:sz w:val="20"/>
              </w:rPr>
            </w:pPr>
          </w:p>
        </w:tc>
        <w:tc>
          <w:tcPr>
            <w:tcW w:w="1116" w:type="dxa"/>
            <w:vAlign w:val="center"/>
          </w:tcPr>
          <w:p w:rsidR="009F5731" w:rsidRDefault="009F5731">
            <w:pPr>
              <w:spacing w:before="20" w:after="20"/>
              <w:jc w:val="right"/>
              <w:rPr>
                <w:b/>
                <w:noProof/>
                <w:sz w:val="20"/>
              </w:rPr>
            </w:pPr>
          </w:p>
        </w:tc>
        <w:tc>
          <w:tcPr>
            <w:tcW w:w="1152" w:type="dxa"/>
            <w:vAlign w:val="center"/>
          </w:tcPr>
          <w:p w:rsidR="009F5731" w:rsidRDefault="009F5731">
            <w:pPr>
              <w:spacing w:before="20" w:after="20"/>
              <w:jc w:val="right"/>
              <w:rPr>
                <w:b/>
                <w:noProof/>
                <w:sz w:val="20"/>
              </w:rPr>
            </w:pPr>
          </w:p>
        </w:tc>
        <w:tc>
          <w:tcPr>
            <w:tcW w:w="1134" w:type="dxa"/>
            <w:vAlign w:val="center"/>
          </w:tcPr>
          <w:p w:rsidR="009F5731" w:rsidRDefault="009F5731">
            <w:pPr>
              <w:spacing w:before="20" w:after="20"/>
              <w:jc w:val="right"/>
              <w:rPr>
                <w:b/>
                <w:noProof/>
                <w:sz w:val="20"/>
              </w:rPr>
            </w:pPr>
          </w:p>
        </w:tc>
        <w:tc>
          <w:tcPr>
            <w:tcW w:w="1134" w:type="dxa"/>
            <w:vAlign w:val="center"/>
          </w:tcPr>
          <w:p w:rsidR="009F5731" w:rsidRDefault="009F5731">
            <w:pPr>
              <w:spacing w:before="20" w:after="20"/>
              <w:jc w:val="right"/>
              <w:rPr>
                <w:b/>
                <w:noProof/>
                <w:sz w:val="20"/>
              </w:rPr>
            </w:pPr>
          </w:p>
        </w:tc>
        <w:tc>
          <w:tcPr>
            <w:tcW w:w="1134" w:type="dxa"/>
            <w:vAlign w:val="center"/>
          </w:tcPr>
          <w:p w:rsidR="009F5731" w:rsidRDefault="009F5731">
            <w:pPr>
              <w:spacing w:before="20" w:after="20"/>
              <w:jc w:val="right"/>
              <w:rPr>
                <w:b/>
                <w:noProof/>
                <w:sz w:val="20"/>
              </w:rPr>
            </w:pPr>
          </w:p>
        </w:tc>
        <w:tc>
          <w:tcPr>
            <w:tcW w:w="1418" w:type="dxa"/>
            <w:vAlign w:val="center"/>
          </w:tcPr>
          <w:p w:rsidR="009F5731" w:rsidRDefault="009F5731">
            <w:pPr>
              <w:spacing w:before="20" w:after="20"/>
              <w:jc w:val="right"/>
              <w:rPr>
                <w:b/>
                <w:noProof/>
                <w:sz w:val="20"/>
              </w:rPr>
            </w:pPr>
          </w:p>
        </w:tc>
      </w:tr>
      <w:tr w:rsidR="009F5731">
        <w:tc>
          <w:tcPr>
            <w:tcW w:w="3960" w:type="dxa"/>
            <w:vMerge w:val="restart"/>
            <w:shd w:val="thinDiagStripe" w:color="C0C0C0" w:fill="auto"/>
            <w:vAlign w:val="center"/>
          </w:tcPr>
          <w:p w:rsidR="009F5731" w:rsidRDefault="005C2A57">
            <w:pPr>
              <w:jc w:val="center"/>
              <w:rPr>
                <w:b/>
                <w:noProof/>
              </w:rPr>
            </w:pPr>
            <w:r>
              <w:rPr>
                <w:b/>
                <w:noProof/>
                <w:sz w:val="22"/>
              </w:rPr>
              <w:t>ΣΥΝΟΛΟ πιστώσεων</w:t>
            </w:r>
            <w:r>
              <w:rPr>
                <w:noProof/>
                <w:sz w:val="22"/>
              </w:rPr>
              <w:br/>
            </w:r>
            <w:r>
              <w:rPr>
                <w:b/>
                <w:noProof/>
              </w:rPr>
              <w:t>του ΤΟΜΕΑ 13</w:t>
            </w:r>
            <w:r>
              <w:rPr>
                <w:noProof/>
              </w:rPr>
              <w:br/>
            </w:r>
            <w:r>
              <w:rPr>
                <w:b/>
                <w:noProof/>
              </w:rPr>
              <w:t xml:space="preserve">του πολυετούς δημοσιονομικού </w:t>
            </w:r>
            <w:r>
              <w:rPr>
                <w:b/>
                <w:noProof/>
              </w:rPr>
              <w:t>πλαισίου</w:t>
            </w:r>
          </w:p>
        </w:tc>
        <w:tc>
          <w:tcPr>
            <w:tcW w:w="1440" w:type="dxa"/>
            <w:vAlign w:val="center"/>
          </w:tcPr>
          <w:p w:rsidR="009F5731" w:rsidRDefault="005C2A57">
            <w:pPr>
              <w:rPr>
                <w:noProof/>
                <w:sz w:val="18"/>
              </w:rPr>
            </w:pPr>
            <w:r>
              <w:rPr>
                <w:noProof/>
                <w:sz w:val="18"/>
              </w:rPr>
              <w:t>Αναλήψεις υποχρεώσεων</w:t>
            </w:r>
          </w:p>
        </w:tc>
        <w:tc>
          <w:tcPr>
            <w:tcW w:w="654" w:type="dxa"/>
            <w:vAlign w:val="center"/>
          </w:tcPr>
          <w:p w:rsidR="009F5731" w:rsidRDefault="005C2A57">
            <w:pPr>
              <w:jc w:val="center"/>
              <w:rPr>
                <w:noProof/>
                <w:sz w:val="14"/>
              </w:rPr>
            </w:pPr>
            <w:r>
              <w:rPr>
                <w:noProof/>
                <w:sz w:val="14"/>
              </w:rPr>
              <w:t>=4+ 6</w:t>
            </w:r>
          </w:p>
        </w:tc>
        <w:tc>
          <w:tcPr>
            <w:tcW w:w="1252" w:type="dxa"/>
            <w:vAlign w:val="center"/>
          </w:tcPr>
          <w:p w:rsidR="009F5731" w:rsidRDefault="009F5731">
            <w:pPr>
              <w:spacing w:before="20" w:after="20"/>
              <w:jc w:val="right"/>
              <w:rPr>
                <w:noProof/>
                <w:sz w:val="18"/>
                <w:szCs w:val="18"/>
              </w:rPr>
            </w:pPr>
          </w:p>
        </w:tc>
        <w:tc>
          <w:tcPr>
            <w:tcW w:w="1116" w:type="dxa"/>
            <w:vAlign w:val="center"/>
          </w:tcPr>
          <w:p w:rsidR="009F5731" w:rsidRDefault="009F5731">
            <w:pPr>
              <w:spacing w:before="20" w:after="20"/>
              <w:jc w:val="right"/>
              <w:rPr>
                <w:noProof/>
                <w:sz w:val="18"/>
                <w:szCs w:val="18"/>
              </w:rPr>
            </w:pPr>
          </w:p>
        </w:tc>
        <w:tc>
          <w:tcPr>
            <w:tcW w:w="1152" w:type="dxa"/>
            <w:vAlign w:val="center"/>
          </w:tcPr>
          <w:p w:rsidR="009F5731" w:rsidRDefault="009F5731">
            <w:pPr>
              <w:spacing w:before="20" w:after="20"/>
              <w:jc w:val="right"/>
              <w:rPr>
                <w:noProof/>
                <w:sz w:val="18"/>
                <w:szCs w:val="18"/>
              </w:rPr>
            </w:pPr>
          </w:p>
        </w:tc>
        <w:tc>
          <w:tcPr>
            <w:tcW w:w="1134" w:type="dxa"/>
            <w:vAlign w:val="center"/>
          </w:tcPr>
          <w:p w:rsidR="009F5731" w:rsidRDefault="009F5731">
            <w:pPr>
              <w:spacing w:before="20" w:after="20"/>
              <w:jc w:val="right"/>
              <w:rPr>
                <w:noProof/>
                <w:sz w:val="18"/>
                <w:szCs w:val="18"/>
              </w:rPr>
            </w:pPr>
          </w:p>
        </w:tc>
        <w:tc>
          <w:tcPr>
            <w:tcW w:w="1134" w:type="dxa"/>
          </w:tcPr>
          <w:p w:rsidR="009F5731" w:rsidRDefault="009F5731">
            <w:pPr>
              <w:spacing w:before="20" w:after="20"/>
              <w:jc w:val="right"/>
              <w:rPr>
                <w:noProof/>
                <w:sz w:val="18"/>
                <w:szCs w:val="18"/>
              </w:rPr>
            </w:pPr>
          </w:p>
        </w:tc>
        <w:tc>
          <w:tcPr>
            <w:tcW w:w="1134" w:type="dxa"/>
          </w:tcPr>
          <w:p w:rsidR="009F5731" w:rsidRDefault="009F5731">
            <w:pPr>
              <w:spacing w:before="20" w:after="20"/>
              <w:jc w:val="right"/>
              <w:rPr>
                <w:noProof/>
                <w:sz w:val="18"/>
                <w:szCs w:val="18"/>
              </w:rPr>
            </w:pPr>
          </w:p>
        </w:tc>
        <w:tc>
          <w:tcPr>
            <w:tcW w:w="1418" w:type="dxa"/>
            <w:vAlign w:val="center"/>
          </w:tcPr>
          <w:p w:rsidR="009F5731" w:rsidRDefault="009F5731">
            <w:pPr>
              <w:spacing w:before="20" w:after="20"/>
              <w:jc w:val="right"/>
              <w:rPr>
                <w:b/>
                <w:noProof/>
                <w:sz w:val="18"/>
                <w:szCs w:val="18"/>
              </w:rPr>
            </w:pPr>
          </w:p>
        </w:tc>
      </w:tr>
      <w:tr w:rsidR="009F5731">
        <w:tc>
          <w:tcPr>
            <w:tcW w:w="3960" w:type="dxa"/>
            <w:vMerge/>
            <w:shd w:val="thinDiagStripe" w:color="C0C0C0" w:fill="auto"/>
          </w:tcPr>
          <w:p w:rsidR="009F5731" w:rsidRDefault="009F5731">
            <w:pPr>
              <w:rPr>
                <w:noProof/>
                <w:sz w:val="20"/>
              </w:rPr>
            </w:pPr>
          </w:p>
        </w:tc>
        <w:tc>
          <w:tcPr>
            <w:tcW w:w="1440" w:type="dxa"/>
            <w:vAlign w:val="center"/>
          </w:tcPr>
          <w:p w:rsidR="009F5731" w:rsidRDefault="005C2A57">
            <w:pPr>
              <w:rPr>
                <w:noProof/>
                <w:sz w:val="18"/>
              </w:rPr>
            </w:pPr>
            <w:r>
              <w:rPr>
                <w:noProof/>
                <w:sz w:val="18"/>
              </w:rPr>
              <w:t>Πληρωμές</w:t>
            </w:r>
          </w:p>
        </w:tc>
        <w:tc>
          <w:tcPr>
            <w:tcW w:w="654" w:type="dxa"/>
            <w:vAlign w:val="center"/>
          </w:tcPr>
          <w:p w:rsidR="009F5731" w:rsidRDefault="005C2A57">
            <w:pPr>
              <w:jc w:val="center"/>
              <w:rPr>
                <w:noProof/>
                <w:sz w:val="14"/>
              </w:rPr>
            </w:pPr>
            <w:r>
              <w:rPr>
                <w:noProof/>
                <w:sz w:val="14"/>
              </w:rPr>
              <w:t>=5+ 6</w:t>
            </w:r>
          </w:p>
        </w:tc>
        <w:tc>
          <w:tcPr>
            <w:tcW w:w="1252" w:type="dxa"/>
            <w:vAlign w:val="center"/>
          </w:tcPr>
          <w:p w:rsidR="009F5731" w:rsidRDefault="009F5731">
            <w:pPr>
              <w:spacing w:before="20" w:after="20"/>
              <w:jc w:val="right"/>
              <w:rPr>
                <w:noProof/>
                <w:sz w:val="18"/>
                <w:szCs w:val="18"/>
              </w:rPr>
            </w:pPr>
          </w:p>
        </w:tc>
        <w:tc>
          <w:tcPr>
            <w:tcW w:w="1116" w:type="dxa"/>
            <w:vAlign w:val="center"/>
          </w:tcPr>
          <w:p w:rsidR="009F5731" w:rsidRDefault="009F5731">
            <w:pPr>
              <w:spacing w:before="20" w:after="20"/>
              <w:jc w:val="right"/>
              <w:rPr>
                <w:noProof/>
                <w:sz w:val="18"/>
                <w:szCs w:val="18"/>
              </w:rPr>
            </w:pPr>
          </w:p>
        </w:tc>
        <w:tc>
          <w:tcPr>
            <w:tcW w:w="1152" w:type="dxa"/>
            <w:vAlign w:val="center"/>
          </w:tcPr>
          <w:p w:rsidR="009F5731" w:rsidRDefault="009F5731">
            <w:pPr>
              <w:spacing w:before="20" w:after="20"/>
              <w:jc w:val="right"/>
              <w:rPr>
                <w:noProof/>
                <w:sz w:val="18"/>
                <w:szCs w:val="18"/>
              </w:rPr>
            </w:pPr>
          </w:p>
        </w:tc>
        <w:tc>
          <w:tcPr>
            <w:tcW w:w="1134" w:type="dxa"/>
            <w:vAlign w:val="center"/>
          </w:tcPr>
          <w:p w:rsidR="009F5731" w:rsidRDefault="009F5731">
            <w:pPr>
              <w:spacing w:before="20" w:after="20"/>
              <w:jc w:val="right"/>
              <w:rPr>
                <w:noProof/>
                <w:sz w:val="18"/>
                <w:szCs w:val="18"/>
              </w:rPr>
            </w:pPr>
          </w:p>
        </w:tc>
        <w:tc>
          <w:tcPr>
            <w:tcW w:w="1134" w:type="dxa"/>
          </w:tcPr>
          <w:p w:rsidR="009F5731" w:rsidRDefault="009F5731">
            <w:pPr>
              <w:spacing w:before="20" w:after="20"/>
              <w:jc w:val="right"/>
              <w:rPr>
                <w:noProof/>
                <w:sz w:val="18"/>
                <w:szCs w:val="18"/>
              </w:rPr>
            </w:pPr>
          </w:p>
        </w:tc>
        <w:tc>
          <w:tcPr>
            <w:tcW w:w="1134" w:type="dxa"/>
          </w:tcPr>
          <w:p w:rsidR="009F5731" w:rsidRDefault="009F5731">
            <w:pPr>
              <w:spacing w:before="20" w:after="20"/>
              <w:jc w:val="right"/>
              <w:rPr>
                <w:noProof/>
                <w:sz w:val="18"/>
                <w:szCs w:val="18"/>
              </w:rPr>
            </w:pPr>
          </w:p>
        </w:tc>
        <w:tc>
          <w:tcPr>
            <w:tcW w:w="1418" w:type="dxa"/>
            <w:vAlign w:val="center"/>
          </w:tcPr>
          <w:p w:rsidR="009F5731" w:rsidRDefault="009F5731">
            <w:pPr>
              <w:spacing w:before="20" w:after="20"/>
              <w:jc w:val="right"/>
              <w:rPr>
                <w:b/>
                <w:noProof/>
                <w:sz w:val="18"/>
                <w:szCs w:val="18"/>
              </w:rPr>
            </w:pPr>
          </w:p>
        </w:tc>
      </w:tr>
    </w:tbl>
    <w:p w:rsidR="009F5731" w:rsidRDefault="009F5731">
      <w:pPr>
        <w:spacing w:after="40"/>
        <w:rPr>
          <w:b/>
          <w:noProof/>
          <w:sz w:val="22"/>
          <w:u w:val="single"/>
        </w:rPr>
      </w:pPr>
    </w:p>
    <w:p w:rsidR="009F5731" w:rsidRDefault="005C2A57">
      <w:pPr>
        <w:spacing w:after="40"/>
        <w:rPr>
          <w:b/>
          <w:noProof/>
          <w:sz w:val="22"/>
          <w:u w:val="single"/>
        </w:rPr>
      </w:pPr>
      <w:r>
        <w:rPr>
          <w:b/>
          <w:noProof/>
          <w:sz w:val="22"/>
          <w:u w:val="single"/>
        </w:rPr>
        <w:t>Αν η πρόταση/πρωτοβουλία επηρεάζει περισσότερους του ενός επιχειρησιακούς τομείς, επαναλάβετε το ανωτέρω τμήμα:</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F5731">
        <w:trPr>
          <w:trHeight w:val="277"/>
        </w:trPr>
        <w:tc>
          <w:tcPr>
            <w:tcW w:w="3960" w:type="dxa"/>
            <w:vMerge w:val="restart"/>
            <w:tcBorders>
              <w:top w:val="single" w:sz="4" w:space="0" w:color="auto"/>
              <w:left w:val="single" w:sz="4" w:space="0" w:color="auto"/>
              <w:bottom w:val="single" w:sz="4" w:space="0" w:color="FF0000"/>
            </w:tcBorders>
            <w:vAlign w:val="center"/>
          </w:tcPr>
          <w:p w:rsidR="009F5731" w:rsidRDefault="005C2A57">
            <w:pPr>
              <w:spacing w:before="20" w:after="20"/>
              <w:rPr>
                <w:noProof/>
              </w:rPr>
            </w:pPr>
            <w:r>
              <w:rPr>
                <w:noProof/>
                <w:sz w:val="21"/>
              </w:rPr>
              <w:sym w:font="Wingdings" w:char="F09F"/>
            </w:r>
            <w:r>
              <w:rPr>
                <w:noProof/>
                <w:sz w:val="21"/>
              </w:rPr>
              <w:t>ΣΥΝΟΛΟ επιχειρησιακών πιστώσεων (όλοι οι επιχειρησιακοί τομείς)</w:t>
            </w:r>
          </w:p>
        </w:tc>
        <w:tc>
          <w:tcPr>
            <w:tcW w:w="1440" w:type="dxa"/>
            <w:tcBorders>
              <w:top w:val="single" w:sz="4" w:space="0" w:color="auto"/>
            </w:tcBorders>
            <w:vAlign w:val="center"/>
          </w:tcPr>
          <w:p w:rsidR="009F5731" w:rsidRDefault="005C2A57">
            <w:pPr>
              <w:spacing w:beforeLines="20" w:before="48" w:afterLines="20" w:after="48"/>
              <w:rPr>
                <w:noProof/>
                <w:sz w:val="18"/>
              </w:rPr>
            </w:pPr>
            <w:r>
              <w:rPr>
                <w:noProof/>
                <w:sz w:val="18"/>
              </w:rPr>
              <w:t>Αναλήψεις</w:t>
            </w:r>
            <w:r>
              <w:rPr>
                <w:noProof/>
                <w:sz w:val="18"/>
              </w:rPr>
              <w:t xml:space="preserve"> υποχρεώσεων</w:t>
            </w:r>
          </w:p>
        </w:tc>
        <w:tc>
          <w:tcPr>
            <w:tcW w:w="654" w:type="dxa"/>
            <w:tcBorders>
              <w:top w:val="single" w:sz="4" w:space="0" w:color="auto"/>
            </w:tcBorders>
            <w:vAlign w:val="center"/>
          </w:tcPr>
          <w:p w:rsidR="009F5731" w:rsidRDefault="005C2A57">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rsidR="009F5731" w:rsidRDefault="009F5731">
            <w:pPr>
              <w:spacing w:before="20" w:after="20"/>
              <w:jc w:val="right"/>
              <w:rPr>
                <w:noProof/>
                <w:sz w:val="20"/>
              </w:rPr>
            </w:pPr>
          </w:p>
        </w:tc>
        <w:tc>
          <w:tcPr>
            <w:tcW w:w="868" w:type="dxa"/>
            <w:tcBorders>
              <w:top w:val="single" w:sz="4" w:space="0" w:color="auto"/>
            </w:tcBorders>
            <w:vAlign w:val="center"/>
          </w:tcPr>
          <w:p w:rsidR="009F5731" w:rsidRDefault="009F5731">
            <w:pPr>
              <w:spacing w:before="20" w:after="20"/>
              <w:jc w:val="right"/>
              <w:rPr>
                <w:noProof/>
                <w:sz w:val="20"/>
              </w:rPr>
            </w:pPr>
          </w:p>
        </w:tc>
        <w:tc>
          <w:tcPr>
            <w:tcW w:w="868" w:type="dxa"/>
            <w:tcBorders>
              <w:top w:val="single" w:sz="4" w:space="0" w:color="auto"/>
            </w:tcBorders>
            <w:vAlign w:val="center"/>
          </w:tcPr>
          <w:p w:rsidR="009F5731" w:rsidRDefault="009F5731">
            <w:pPr>
              <w:spacing w:before="20" w:after="20"/>
              <w:jc w:val="right"/>
              <w:rPr>
                <w:noProof/>
                <w:sz w:val="20"/>
              </w:rPr>
            </w:pPr>
          </w:p>
        </w:tc>
        <w:tc>
          <w:tcPr>
            <w:tcW w:w="868" w:type="dxa"/>
            <w:tcBorders>
              <w:top w:val="single" w:sz="4" w:space="0" w:color="auto"/>
            </w:tcBorders>
            <w:vAlign w:val="center"/>
          </w:tcPr>
          <w:p w:rsidR="009F5731" w:rsidRDefault="009F5731">
            <w:pPr>
              <w:spacing w:before="20" w:after="20"/>
              <w:jc w:val="right"/>
              <w:rPr>
                <w:noProof/>
                <w:sz w:val="20"/>
              </w:rPr>
            </w:pPr>
          </w:p>
        </w:tc>
        <w:tc>
          <w:tcPr>
            <w:tcW w:w="868" w:type="dxa"/>
            <w:tcBorders>
              <w:top w:val="single" w:sz="4" w:space="0" w:color="auto"/>
            </w:tcBorders>
            <w:vAlign w:val="center"/>
          </w:tcPr>
          <w:p w:rsidR="009F5731" w:rsidRDefault="009F5731">
            <w:pPr>
              <w:spacing w:before="20" w:after="20"/>
              <w:jc w:val="right"/>
              <w:rPr>
                <w:noProof/>
                <w:sz w:val="20"/>
              </w:rPr>
            </w:pPr>
          </w:p>
        </w:tc>
        <w:tc>
          <w:tcPr>
            <w:tcW w:w="868" w:type="dxa"/>
            <w:tcBorders>
              <w:top w:val="single" w:sz="4" w:space="0" w:color="auto"/>
            </w:tcBorders>
            <w:vAlign w:val="center"/>
          </w:tcPr>
          <w:p w:rsidR="009F5731" w:rsidRDefault="009F5731">
            <w:pPr>
              <w:spacing w:before="20" w:after="20"/>
              <w:jc w:val="right"/>
              <w:rPr>
                <w:noProof/>
                <w:sz w:val="20"/>
              </w:rPr>
            </w:pPr>
          </w:p>
        </w:tc>
        <w:tc>
          <w:tcPr>
            <w:tcW w:w="868" w:type="dxa"/>
            <w:tcBorders>
              <w:top w:val="single" w:sz="4" w:space="0" w:color="auto"/>
            </w:tcBorders>
            <w:vAlign w:val="center"/>
          </w:tcPr>
          <w:p w:rsidR="009F5731" w:rsidRDefault="009F5731">
            <w:pPr>
              <w:spacing w:before="20" w:after="20"/>
              <w:jc w:val="right"/>
              <w:rPr>
                <w:b/>
                <w:noProof/>
                <w:sz w:val="20"/>
              </w:rPr>
            </w:pPr>
          </w:p>
        </w:tc>
        <w:tc>
          <w:tcPr>
            <w:tcW w:w="1777" w:type="dxa"/>
            <w:tcBorders>
              <w:top w:val="single" w:sz="4" w:space="0" w:color="auto"/>
              <w:right w:val="single" w:sz="4" w:space="0" w:color="auto"/>
            </w:tcBorders>
            <w:vAlign w:val="center"/>
          </w:tcPr>
          <w:p w:rsidR="009F5731" w:rsidRDefault="009F5731">
            <w:pPr>
              <w:spacing w:before="20" w:after="20"/>
              <w:jc w:val="right"/>
              <w:rPr>
                <w:b/>
                <w:noProof/>
                <w:sz w:val="20"/>
              </w:rPr>
            </w:pPr>
          </w:p>
        </w:tc>
      </w:tr>
      <w:tr w:rsidR="009F5731">
        <w:tc>
          <w:tcPr>
            <w:tcW w:w="3960" w:type="dxa"/>
            <w:vMerge/>
            <w:tcBorders>
              <w:top w:val="single" w:sz="4" w:space="0" w:color="FF0000"/>
              <w:left w:val="single" w:sz="4" w:space="0" w:color="auto"/>
              <w:bottom w:val="single" w:sz="4" w:space="0" w:color="FF0000"/>
            </w:tcBorders>
          </w:tcPr>
          <w:p w:rsidR="009F5731" w:rsidRDefault="009F5731">
            <w:pPr>
              <w:jc w:val="center"/>
              <w:rPr>
                <w:noProof/>
                <w:sz w:val="20"/>
              </w:rPr>
            </w:pPr>
          </w:p>
        </w:tc>
        <w:tc>
          <w:tcPr>
            <w:tcW w:w="1440" w:type="dxa"/>
            <w:vAlign w:val="center"/>
          </w:tcPr>
          <w:p w:rsidR="009F5731" w:rsidRDefault="005C2A57">
            <w:pPr>
              <w:spacing w:beforeLines="20" w:before="48" w:afterLines="20" w:after="48"/>
              <w:rPr>
                <w:noProof/>
                <w:sz w:val="18"/>
              </w:rPr>
            </w:pPr>
            <w:r>
              <w:rPr>
                <w:noProof/>
                <w:sz w:val="18"/>
              </w:rPr>
              <w:t>Πληρωμές</w:t>
            </w:r>
          </w:p>
        </w:tc>
        <w:tc>
          <w:tcPr>
            <w:tcW w:w="654" w:type="dxa"/>
            <w:vAlign w:val="center"/>
          </w:tcPr>
          <w:p w:rsidR="009F5731" w:rsidRDefault="005C2A57">
            <w:pPr>
              <w:spacing w:beforeLines="20" w:before="48" w:afterLines="20" w:after="48"/>
              <w:jc w:val="center"/>
              <w:rPr>
                <w:noProof/>
                <w:sz w:val="14"/>
              </w:rPr>
            </w:pPr>
            <w:r>
              <w:rPr>
                <w:noProof/>
                <w:sz w:val="14"/>
              </w:rPr>
              <w:t>(5)</w:t>
            </w: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b/>
                <w:noProof/>
                <w:sz w:val="20"/>
              </w:rPr>
            </w:pPr>
          </w:p>
        </w:tc>
        <w:tc>
          <w:tcPr>
            <w:tcW w:w="1777" w:type="dxa"/>
            <w:tcBorders>
              <w:right w:val="single" w:sz="4" w:space="0" w:color="auto"/>
            </w:tcBorders>
            <w:vAlign w:val="center"/>
          </w:tcPr>
          <w:p w:rsidR="009F5731" w:rsidRDefault="009F5731">
            <w:pPr>
              <w:spacing w:before="20" w:after="20"/>
              <w:jc w:val="right"/>
              <w:rPr>
                <w:b/>
                <w:noProof/>
                <w:sz w:val="20"/>
              </w:rPr>
            </w:pPr>
          </w:p>
        </w:tc>
      </w:tr>
      <w:tr w:rsidR="009F5731">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9F5731" w:rsidRDefault="005C2A57">
            <w:pPr>
              <w:spacing w:beforeLines="20" w:before="48" w:afterLines="20" w:after="48"/>
              <w:rPr>
                <w:noProof/>
              </w:rPr>
            </w:pPr>
            <w:r>
              <w:rPr>
                <w:noProof/>
                <w:sz w:val="21"/>
              </w:rPr>
              <w:t xml:space="preserve"> ΣΥΝΟΛΟ πιστώσεων διοικητικού χαρακτήρα χρηματοδοτούμενων από το κονδύλιο ειδικών προγραμμάτων (όλοι οι επιχειρησιακοί τομείς)</w:t>
            </w:r>
          </w:p>
        </w:tc>
        <w:tc>
          <w:tcPr>
            <w:tcW w:w="654" w:type="dxa"/>
            <w:vAlign w:val="center"/>
          </w:tcPr>
          <w:p w:rsidR="009F5731" w:rsidRDefault="009F5731">
            <w:pPr>
              <w:rPr>
                <w:noProof/>
              </w:rPr>
            </w:pPr>
          </w:p>
          <w:p w:rsidR="009F5731" w:rsidRDefault="005C2A57">
            <w:pPr>
              <w:spacing w:beforeLines="20" w:before="48" w:afterLines="20" w:after="48"/>
              <w:jc w:val="center"/>
              <w:rPr>
                <w:noProof/>
                <w:sz w:val="14"/>
              </w:rPr>
            </w:pPr>
            <w:r>
              <w:rPr>
                <w:noProof/>
                <w:sz w:val="14"/>
              </w:rPr>
              <w:t>(6)</w:t>
            </w: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1777" w:type="dxa"/>
            <w:vAlign w:val="center"/>
          </w:tcPr>
          <w:p w:rsidR="009F5731" w:rsidRDefault="009F5731">
            <w:pPr>
              <w:spacing w:before="20" w:after="20"/>
              <w:jc w:val="right"/>
              <w:rPr>
                <w:b/>
                <w:noProof/>
                <w:sz w:val="20"/>
              </w:rPr>
            </w:pPr>
          </w:p>
        </w:tc>
      </w:tr>
      <w:tr w:rsidR="009F5731">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9F5731" w:rsidRDefault="005C2A57">
            <w:pPr>
              <w:jc w:val="center"/>
              <w:rPr>
                <w:b/>
                <w:noProof/>
              </w:rPr>
            </w:pPr>
            <w:r>
              <w:rPr>
                <w:b/>
                <w:noProof/>
                <w:sz w:val="22"/>
              </w:rPr>
              <w:t>ΣΥΝΟΛΟ πιστώσεων</w:t>
            </w:r>
            <w:r>
              <w:rPr>
                <w:noProof/>
                <w:sz w:val="22"/>
              </w:rPr>
              <w:br/>
            </w:r>
            <w:r>
              <w:rPr>
                <w:b/>
                <w:noProof/>
                <w:sz w:val="22"/>
              </w:rPr>
              <w:t>των ΤΟΜΕΩΝ 1 έως 4</w:t>
            </w:r>
            <w:r>
              <w:rPr>
                <w:noProof/>
                <w:sz w:val="22"/>
              </w:rPr>
              <w:br/>
              <w:t xml:space="preserve">του πολυετούς δημοσιονομικού </w:t>
            </w:r>
            <w:r>
              <w:rPr>
                <w:noProof/>
                <w:sz w:val="22"/>
              </w:rPr>
              <w:t>πλαισίου</w:t>
            </w:r>
            <w:r>
              <w:rPr>
                <w:noProof/>
                <w:sz w:val="22"/>
              </w:rPr>
              <w:br/>
            </w:r>
            <w:r>
              <w:rPr>
                <w:noProof/>
                <w:sz w:val="20"/>
              </w:rPr>
              <w:t>(Ποσό αναφοράς)</w:t>
            </w:r>
          </w:p>
        </w:tc>
        <w:tc>
          <w:tcPr>
            <w:tcW w:w="1440" w:type="dxa"/>
            <w:vAlign w:val="center"/>
          </w:tcPr>
          <w:p w:rsidR="009F5731" w:rsidRDefault="005C2A57">
            <w:pPr>
              <w:rPr>
                <w:noProof/>
                <w:sz w:val="18"/>
              </w:rPr>
            </w:pPr>
            <w:r>
              <w:rPr>
                <w:noProof/>
                <w:sz w:val="18"/>
              </w:rPr>
              <w:t>Αναλήψεις υποχρεώσεων</w:t>
            </w:r>
          </w:p>
        </w:tc>
        <w:tc>
          <w:tcPr>
            <w:tcW w:w="654" w:type="dxa"/>
            <w:vAlign w:val="center"/>
          </w:tcPr>
          <w:p w:rsidR="009F5731" w:rsidRDefault="005C2A57">
            <w:pPr>
              <w:jc w:val="center"/>
              <w:rPr>
                <w:noProof/>
                <w:sz w:val="14"/>
              </w:rPr>
            </w:pPr>
            <w:r>
              <w:rPr>
                <w:noProof/>
                <w:sz w:val="14"/>
              </w:rPr>
              <w:t>=4+ 6</w:t>
            </w: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b/>
                <w:noProof/>
                <w:sz w:val="20"/>
              </w:rPr>
            </w:pPr>
          </w:p>
        </w:tc>
        <w:tc>
          <w:tcPr>
            <w:tcW w:w="1777" w:type="dxa"/>
            <w:tcBorders>
              <w:right w:val="single" w:sz="4" w:space="0" w:color="auto"/>
            </w:tcBorders>
            <w:vAlign w:val="center"/>
          </w:tcPr>
          <w:p w:rsidR="009F5731" w:rsidRDefault="009F5731">
            <w:pPr>
              <w:spacing w:before="20" w:after="20"/>
              <w:jc w:val="right"/>
              <w:rPr>
                <w:b/>
                <w:noProof/>
                <w:sz w:val="20"/>
              </w:rPr>
            </w:pPr>
          </w:p>
        </w:tc>
      </w:tr>
      <w:tr w:rsidR="009F5731">
        <w:tc>
          <w:tcPr>
            <w:tcW w:w="3960" w:type="dxa"/>
            <w:vMerge/>
            <w:tcBorders>
              <w:top w:val="single" w:sz="4" w:space="0" w:color="FF0000"/>
              <w:left w:val="single" w:sz="4" w:space="0" w:color="auto"/>
              <w:bottom w:val="single" w:sz="4" w:space="0" w:color="auto"/>
            </w:tcBorders>
            <w:shd w:val="thinDiagStripe" w:color="C0C0C0" w:fill="auto"/>
          </w:tcPr>
          <w:p w:rsidR="009F5731" w:rsidRDefault="009F5731">
            <w:pPr>
              <w:rPr>
                <w:noProof/>
                <w:sz w:val="20"/>
              </w:rPr>
            </w:pPr>
          </w:p>
        </w:tc>
        <w:tc>
          <w:tcPr>
            <w:tcW w:w="1440" w:type="dxa"/>
            <w:tcBorders>
              <w:bottom w:val="single" w:sz="4" w:space="0" w:color="auto"/>
            </w:tcBorders>
            <w:vAlign w:val="center"/>
          </w:tcPr>
          <w:p w:rsidR="009F5731" w:rsidRDefault="005C2A57">
            <w:pPr>
              <w:rPr>
                <w:noProof/>
                <w:sz w:val="18"/>
              </w:rPr>
            </w:pPr>
            <w:r>
              <w:rPr>
                <w:noProof/>
                <w:sz w:val="18"/>
              </w:rPr>
              <w:t>Πληρωμές</w:t>
            </w:r>
          </w:p>
        </w:tc>
        <w:tc>
          <w:tcPr>
            <w:tcW w:w="654" w:type="dxa"/>
            <w:tcBorders>
              <w:bottom w:val="single" w:sz="4" w:space="0" w:color="auto"/>
            </w:tcBorders>
            <w:vAlign w:val="center"/>
          </w:tcPr>
          <w:p w:rsidR="009F5731" w:rsidRDefault="005C2A57">
            <w:pPr>
              <w:jc w:val="center"/>
              <w:rPr>
                <w:noProof/>
                <w:sz w:val="14"/>
              </w:rPr>
            </w:pPr>
            <w:r>
              <w:rPr>
                <w:noProof/>
                <w:sz w:val="14"/>
              </w:rPr>
              <w:t>=5+ 6</w:t>
            </w:r>
          </w:p>
        </w:tc>
        <w:tc>
          <w:tcPr>
            <w:tcW w:w="868" w:type="dxa"/>
            <w:tcBorders>
              <w:bottom w:val="single" w:sz="4" w:space="0" w:color="auto"/>
            </w:tcBorders>
            <w:vAlign w:val="center"/>
          </w:tcPr>
          <w:p w:rsidR="009F5731" w:rsidRDefault="009F5731">
            <w:pPr>
              <w:spacing w:before="20" w:after="20"/>
              <w:jc w:val="right"/>
              <w:rPr>
                <w:noProof/>
                <w:sz w:val="20"/>
              </w:rPr>
            </w:pPr>
          </w:p>
        </w:tc>
        <w:tc>
          <w:tcPr>
            <w:tcW w:w="868" w:type="dxa"/>
            <w:tcBorders>
              <w:bottom w:val="single" w:sz="4" w:space="0" w:color="auto"/>
            </w:tcBorders>
            <w:vAlign w:val="center"/>
          </w:tcPr>
          <w:p w:rsidR="009F5731" w:rsidRDefault="009F5731">
            <w:pPr>
              <w:spacing w:before="20" w:after="20"/>
              <w:jc w:val="right"/>
              <w:rPr>
                <w:noProof/>
                <w:sz w:val="20"/>
              </w:rPr>
            </w:pPr>
          </w:p>
        </w:tc>
        <w:tc>
          <w:tcPr>
            <w:tcW w:w="868" w:type="dxa"/>
            <w:tcBorders>
              <w:bottom w:val="single" w:sz="4" w:space="0" w:color="auto"/>
            </w:tcBorders>
            <w:vAlign w:val="center"/>
          </w:tcPr>
          <w:p w:rsidR="009F5731" w:rsidRDefault="009F5731">
            <w:pPr>
              <w:spacing w:before="20" w:after="20"/>
              <w:jc w:val="right"/>
              <w:rPr>
                <w:noProof/>
                <w:sz w:val="20"/>
              </w:rPr>
            </w:pPr>
          </w:p>
        </w:tc>
        <w:tc>
          <w:tcPr>
            <w:tcW w:w="868" w:type="dxa"/>
            <w:tcBorders>
              <w:bottom w:val="single" w:sz="4" w:space="0" w:color="auto"/>
            </w:tcBorders>
            <w:vAlign w:val="center"/>
          </w:tcPr>
          <w:p w:rsidR="009F5731" w:rsidRDefault="009F5731">
            <w:pPr>
              <w:spacing w:before="20" w:after="20"/>
              <w:jc w:val="right"/>
              <w:rPr>
                <w:noProof/>
                <w:sz w:val="20"/>
              </w:rPr>
            </w:pPr>
          </w:p>
        </w:tc>
        <w:tc>
          <w:tcPr>
            <w:tcW w:w="868" w:type="dxa"/>
            <w:tcBorders>
              <w:bottom w:val="single" w:sz="4" w:space="0" w:color="auto"/>
            </w:tcBorders>
            <w:vAlign w:val="center"/>
          </w:tcPr>
          <w:p w:rsidR="009F5731" w:rsidRDefault="009F5731">
            <w:pPr>
              <w:spacing w:before="20" w:after="20"/>
              <w:jc w:val="right"/>
              <w:rPr>
                <w:noProof/>
                <w:sz w:val="20"/>
              </w:rPr>
            </w:pPr>
          </w:p>
        </w:tc>
        <w:tc>
          <w:tcPr>
            <w:tcW w:w="868" w:type="dxa"/>
            <w:tcBorders>
              <w:bottom w:val="single" w:sz="4" w:space="0" w:color="auto"/>
            </w:tcBorders>
            <w:vAlign w:val="center"/>
          </w:tcPr>
          <w:p w:rsidR="009F5731" w:rsidRDefault="009F5731">
            <w:pPr>
              <w:spacing w:before="20" w:after="20"/>
              <w:jc w:val="right"/>
              <w:rPr>
                <w:noProof/>
                <w:sz w:val="20"/>
              </w:rPr>
            </w:pPr>
          </w:p>
        </w:tc>
        <w:tc>
          <w:tcPr>
            <w:tcW w:w="868" w:type="dxa"/>
            <w:tcBorders>
              <w:bottom w:val="single" w:sz="4" w:space="0" w:color="auto"/>
            </w:tcBorders>
            <w:vAlign w:val="center"/>
          </w:tcPr>
          <w:p w:rsidR="009F5731" w:rsidRDefault="009F5731">
            <w:pPr>
              <w:spacing w:before="20" w:after="20"/>
              <w:jc w:val="right"/>
              <w:rPr>
                <w:b/>
                <w:noProof/>
                <w:sz w:val="20"/>
              </w:rPr>
            </w:pPr>
          </w:p>
        </w:tc>
        <w:tc>
          <w:tcPr>
            <w:tcW w:w="1777" w:type="dxa"/>
            <w:tcBorders>
              <w:bottom w:val="single" w:sz="4" w:space="0" w:color="auto"/>
              <w:right w:val="single" w:sz="4" w:space="0" w:color="auto"/>
            </w:tcBorders>
            <w:vAlign w:val="center"/>
          </w:tcPr>
          <w:p w:rsidR="009F5731" w:rsidRDefault="009F5731">
            <w:pPr>
              <w:spacing w:before="20" w:after="20"/>
              <w:jc w:val="right"/>
              <w:rPr>
                <w:b/>
                <w:noProof/>
                <w:sz w:val="20"/>
              </w:rPr>
            </w:pPr>
          </w:p>
        </w:tc>
      </w:tr>
    </w:tbl>
    <w:p w:rsidR="009F5731" w:rsidRDefault="009F5731">
      <w:pPr>
        <w:rPr>
          <w:noProof/>
        </w:rPr>
      </w:pPr>
    </w:p>
    <w:p w:rsidR="009F5731" w:rsidRDefault="005C2A57">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F5731">
        <w:trPr>
          <w:jc w:val="center"/>
        </w:trPr>
        <w:tc>
          <w:tcPr>
            <w:tcW w:w="4744" w:type="dxa"/>
            <w:shd w:val="thinDiagStripe" w:color="C0C0C0" w:fill="auto"/>
            <w:vAlign w:val="center"/>
          </w:tcPr>
          <w:p w:rsidR="009F5731" w:rsidRDefault="005C2A57">
            <w:pPr>
              <w:spacing w:before="60" w:after="60"/>
              <w:jc w:val="center"/>
              <w:rPr>
                <w:b/>
                <w:noProof/>
              </w:rPr>
            </w:pPr>
            <w:r>
              <w:rPr>
                <w:noProof/>
              </w:rPr>
              <w:br w:type="page"/>
            </w:r>
            <w:r>
              <w:rPr>
                <w:b/>
                <w:noProof/>
                <w:sz w:val="22"/>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rsidR="009F5731" w:rsidRDefault="005C2A57">
            <w:pPr>
              <w:spacing w:before="60" w:after="60"/>
              <w:jc w:val="center"/>
              <w:rPr>
                <w:noProof/>
              </w:rPr>
            </w:pPr>
            <w:r>
              <w:rPr>
                <w:b/>
                <w:noProof/>
                <w:sz w:val="22"/>
              </w:rPr>
              <w:t>5</w:t>
            </w:r>
          </w:p>
        </w:tc>
        <w:tc>
          <w:tcPr>
            <w:tcW w:w="7817" w:type="dxa"/>
            <w:vAlign w:val="center"/>
          </w:tcPr>
          <w:p w:rsidR="009F5731" w:rsidRDefault="005C2A57">
            <w:pPr>
              <w:spacing w:before="60" w:after="60"/>
              <w:rPr>
                <w:noProof/>
              </w:rPr>
            </w:pPr>
            <w:r>
              <w:rPr>
                <w:noProof/>
                <w:sz w:val="22"/>
              </w:rPr>
              <w:t>«Διοικητικές δαπάνες»</w:t>
            </w:r>
          </w:p>
        </w:tc>
      </w:tr>
    </w:tbl>
    <w:p w:rsidR="009F5731" w:rsidRDefault="005C2A57">
      <w:pPr>
        <w:jc w:val="left"/>
        <w:rPr>
          <w:noProof/>
          <w:sz w:val="20"/>
        </w:rPr>
      </w:pPr>
      <w:r>
        <w:rPr>
          <w:noProof/>
        </w:rPr>
        <w:t xml:space="preserve">Αυτό το τμήμα πρέπει να συμπληρωθεί με «στοιχεία διοικητικού χαρακτήρα του προϋπολογισμού» τα οποία θα εισαχθούν, καταρχάς, στο </w:t>
      </w:r>
      <w:hyperlink r:id="rId16">
        <w:r>
          <w:rPr>
            <w:rStyle w:val="Hyperlink"/>
            <w:noProof/>
          </w:rPr>
          <w:t>παράρτημα του νομοθετικού δημοσιονομικού δελτίου</w:t>
        </w:r>
      </w:hyperlink>
      <w:r>
        <w:rPr>
          <w:noProof/>
        </w:rPr>
        <w:t xml:space="preserve"> (παράρτημα V του εσωτερικού κανονισμού), που τηλεφορτώνεται στο DECIDE για διυπηρεσιακή διαβούλευση.</w:t>
      </w:r>
    </w:p>
    <w:p w:rsidR="009F5731" w:rsidRDefault="005C2A57">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F5731">
        <w:tc>
          <w:tcPr>
            <w:tcW w:w="3960" w:type="dxa"/>
            <w:tcBorders>
              <w:top w:val="nil"/>
              <w:left w:val="nil"/>
              <w:right w:val="nil"/>
            </w:tcBorders>
            <w:vAlign w:val="center"/>
          </w:tcPr>
          <w:p w:rsidR="009F5731" w:rsidRDefault="009F5731">
            <w:pPr>
              <w:jc w:val="center"/>
              <w:rPr>
                <w:noProof/>
              </w:rPr>
            </w:pPr>
          </w:p>
        </w:tc>
        <w:tc>
          <w:tcPr>
            <w:tcW w:w="1560" w:type="dxa"/>
            <w:tcBorders>
              <w:top w:val="nil"/>
              <w:left w:val="nil"/>
              <w:right w:val="nil"/>
            </w:tcBorders>
          </w:tcPr>
          <w:p w:rsidR="009F5731" w:rsidRDefault="009F5731">
            <w:pPr>
              <w:rPr>
                <w:noProof/>
                <w:sz w:val="20"/>
              </w:rPr>
            </w:pPr>
          </w:p>
        </w:tc>
        <w:tc>
          <w:tcPr>
            <w:tcW w:w="534" w:type="dxa"/>
            <w:tcBorders>
              <w:top w:val="nil"/>
              <w:left w:val="nil"/>
            </w:tcBorders>
          </w:tcPr>
          <w:p w:rsidR="009F5731" w:rsidRDefault="009F5731">
            <w:pPr>
              <w:jc w:val="center"/>
              <w:rPr>
                <w:noProof/>
                <w:sz w:val="20"/>
              </w:rPr>
            </w:pPr>
          </w:p>
        </w:tc>
        <w:tc>
          <w:tcPr>
            <w:tcW w:w="868" w:type="dxa"/>
            <w:vAlign w:val="center"/>
          </w:tcPr>
          <w:p w:rsidR="009F5731" w:rsidRDefault="005C2A57">
            <w:pPr>
              <w:jc w:val="center"/>
              <w:rPr>
                <w:noProof/>
                <w:sz w:val="20"/>
              </w:rPr>
            </w:pPr>
            <w:r>
              <w:rPr>
                <w:noProof/>
                <w:sz w:val="20"/>
              </w:rPr>
              <w:t>Έτος</w:t>
            </w:r>
            <w:r>
              <w:rPr>
                <w:noProof/>
                <w:sz w:val="22"/>
              </w:rPr>
              <w:br/>
            </w:r>
            <w:r>
              <w:rPr>
                <w:b/>
                <w:noProof/>
                <w:sz w:val="20"/>
              </w:rPr>
              <w:t>N</w:t>
            </w:r>
          </w:p>
        </w:tc>
        <w:tc>
          <w:tcPr>
            <w:tcW w:w="868" w:type="dxa"/>
            <w:vAlign w:val="center"/>
          </w:tcPr>
          <w:p w:rsidR="009F5731" w:rsidRDefault="005C2A57">
            <w:pPr>
              <w:jc w:val="center"/>
              <w:rPr>
                <w:noProof/>
                <w:sz w:val="20"/>
              </w:rPr>
            </w:pPr>
            <w:r>
              <w:rPr>
                <w:noProof/>
                <w:sz w:val="20"/>
              </w:rPr>
              <w:t>Έτος</w:t>
            </w:r>
            <w:r>
              <w:rPr>
                <w:noProof/>
                <w:sz w:val="22"/>
              </w:rPr>
              <w:br/>
            </w:r>
            <w:r>
              <w:rPr>
                <w:b/>
                <w:noProof/>
                <w:sz w:val="20"/>
              </w:rPr>
              <w:t>N+1</w:t>
            </w:r>
          </w:p>
        </w:tc>
        <w:tc>
          <w:tcPr>
            <w:tcW w:w="868" w:type="dxa"/>
            <w:vAlign w:val="center"/>
          </w:tcPr>
          <w:p w:rsidR="009F5731" w:rsidRDefault="005C2A57">
            <w:pPr>
              <w:jc w:val="center"/>
              <w:rPr>
                <w:noProof/>
                <w:sz w:val="20"/>
              </w:rPr>
            </w:pPr>
            <w:r>
              <w:rPr>
                <w:noProof/>
                <w:sz w:val="20"/>
              </w:rPr>
              <w:t>Έτος</w:t>
            </w:r>
            <w:r>
              <w:rPr>
                <w:noProof/>
                <w:sz w:val="22"/>
              </w:rPr>
              <w:br/>
            </w:r>
            <w:r>
              <w:rPr>
                <w:b/>
                <w:noProof/>
                <w:sz w:val="20"/>
              </w:rPr>
              <w:t>N+2</w:t>
            </w:r>
          </w:p>
        </w:tc>
        <w:tc>
          <w:tcPr>
            <w:tcW w:w="868" w:type="dxa"/>
            <w:vAlign w:val="center"/>
          </w:tcPr>
          <w:p w:rsidR="009F5731" w:rsidRDefault="005C2A57">
            <w:pPr>
              <w:jc w:val="center"/>
              <w:rPr>
                <w:noProof/>
                <w:sz w:val="20"/>
              </w:rPr>
            </w:pPr>
            <w:r>
              <w:rPr>
                <w:noProof/>
                <w:sz w:val="20"/>
              </w:rPr>
              <w:t>Έτος</w:t>
            </w:r>
            <w:r>
              <w:rPr>
                <w:noProof/>
                <w:sz w:val="22"/>
              </w:rPr>
              <w:br/>
            </w:r>
            <w:r>
              <w:rPr>
                <w:b/>
                <w:noProof/>
                <w:sz w:val="20"/>
              </w:rPr>
              <w:t>N+3</w:t>
            </w:r>
          </w:p>
        </w:tc>
        <w:tc>
          <w:tcPr>
            <w:tcW w:w="2604" w:type="dxa"/>
            <w:gridSpan w:val="3"/>
            <w:vAlign w:val="center"/>
          </w:tcPr>
          <w:p w:rsidR="009F5731" w:rsidRDefault="005C2A57">
            <w:pPr>
              <w:jc w:val="center"/>
              <w:rPr>
                <w:b/>
                <w:noProof/>
                <w:sz w:val="18"/>
              </w:rPr>
            </w:pPr>
            <w:r>
              <w:rPr>
                <w:noProof/>
                <w:sz w:val="18"/>
              </w:rPr>
              <w:t xml:space="preserve">Να εγγραφούν όσα έτη απαιτούνται, ώστε να φαίνεται η διάρκεια των επιπτώσεων (βλ. σημείο 1.6) </w:t>
            </w:r>
          </w:p>
        </w:tc>
        <w:tc>
          <w:tcPr>
            <w:tcW w:w="1777" w:type="dxa"/>
            <w:vAlign w:val="center"/>
          </w:tcPr>
          <w:p w:rsidR="009F5731" w:rsidRDefault="005C2A57">
            <w:pPr>
              <w:jc w:val="center"/>
              <w:rPr>
                <w:b/>
                <w:noProof/>
                <w:sz w:val="20"/>
              </w:rPr>
            </w:pPr>
            <w:r>
              <w:rPr>
                <w:b/>
                <w:noProof/>
                <w:sz w:val="20"/>
              </w:rPr>
              <w:t>ΣΥΝΟΛΟ</w:t>
            </w:r>
          </w:p>
        </w:tc>
      </w:tr>
      <w:tr w:rsidR="009F5731">
        <w:trPr>
          <w:gridAfter w:val="10"/>
          <w:wAfter w:w="9947" w:type="dxa"/>
        </w:trPr>
        <w:tc>
          <w:tcPr>
            <w:tcW w:w="3960" w:type="dxa"/>
            <w:vAlign w:val="center"/>
          </w:tcPr>
          <w:p w:rsidR="009F5731" w:rsidRDefault="005C2A57">
            <w:pPr>
              <w:spacing w:before="60" w:after="60"/>
              <w:jc w:val="center"/>
              <w:rPr>
                <w:noProof/>
              </w:rPr>
            </w:pPr>
            <w:r>
              <w:rPr>
                <w:noProof/>
                <w:sz w:val="22"/>
              </w:rPr>
              <w:t>ΓΔ: &lt;…….&gt;</w:t>
            </w:r>
          </w:p>
        </w:tc>
      </w:tr>
      <w:tr w:rsidR="009F5731">
        <w:trPr>
          <w:trHeight w:val="313"/>
        </w:trPr>
        <w:tc>
          <w:tcPr>
            <w:tcW w:w="6054" w:type="dxa"/>
            <w:gridSpan w:val="3"/>
            <w:vAlign w:val="center"/>
          </w:tcPr>
          <w:p w:rsidR="009F5731" w:rsidRDefault="005C2A57">
            <w:pPr>
              <w:spacing w:before="20" w:after="20"/>
              <w:rPr>
                <w:noProof/>
              </w:rPr>
            </w:pPr>
            <w:r>
              <w:rPr>
                <w:noProof/>
                <w:sz w:val="22"/>
              </w:rPr>
              <w:sym w:font="Wingdings" w:char="F09F"/>
            </w:r>
            <w:r>
              <w:rPr>
                <w:noProof/>
                <w:sz w:val="22"/>
              </w:rPr>
              <w:t>Ανθρώπινοι πόροι</w:t>
            </w: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b/>
                <w:noProof/>
                <w:sz w:val="20"/>
              </w:rPr>
            </w:pPr>
          </w:p>
        </w:tc>
        <w:tc>
          <w:tcPr>
            <w:tcW w:w="1777" w:type="dxa"/>
            <w:vAlign w:val="center"/>
          </w:tcPr>
          <w:p w:rsidR="009F5731" w:rsidRDefault="009F5731">
            <w:pPr>
              <w:spacing w:before="20" w:after="20"/>
              <w:jc w:val="right"/>
              <w:rPr>
                <w:b/>
                <w:noProof/>
                <w:sz w:val="20"/>
              </w:rPr>
            </w:pPr>
          </w:p>
        </w:tc>
      </w:tr>
      <w:tr w:rsidR="009F5731">
        <w:trPr>
          <w:trHeight w:val="351"/>
        </w:trPr>
        <w:tc>
          <w:tcPr>
            <w:tcW w:w="6054" w:type="dxa"/>
            <w:gridSpan w:val="3"/>
            <w:vAlign w:val="center"/>
          </w:tcPr>
          <w:p w:rsidR="009F5731" w:rsidRDefault="005C2A57">
            <w:pPr>
              <w:spacing w:before="20" w:after="20"/>
              <w:rPr>
                <w:noProof/>
              </w:rPr>
            </w:pPr>
            <w:r>
              <w:rPr>
                <w:noProof/>
                <w:sz w:val="22"/>
              </w:rPr>
              <w:sym w:font="Wingdings" w:char="F09F"/>
            </w:r>
            <w:r>
              <w:rPr>
                <w:noProof/>
                <w:sz w:val="22"/>
              </w:rPr>
              <w:t>Άλλες διοικητικές δαπάνες</w:t>
            </w: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868" w:type="dxa"/>
            <w:vAlign w:val="center"/>
          </w:tcPr>
          <w:p w:rsidR="009F5731" w:rsidRDefault="009F5731">
            <w:pPr>
              <w:spacing w:before="20" w:after="20"/>
              <w:jc w:val="right"/>
              <w:rPr>
                <w:b/>
                <w:noProof/>
                <w:sz w:val="20"/>
              </w:rPr>
            </w:pPr>
          </w:p>
        </w:tc>
        <w:tc>
          <w:tcPr>
            <w:tcW w:w="1777" w:type="dxa"/>
            <w:vAlign w:val="center"/>
          </w:tcPr>
          <w:p w:rsidR="009F5731" w:rsidRDefault="009F5731">
            <w:pPr>
              <w:spacing w:before="20" w:after="20"/>
              <w:jc w:val="right"/>
              <w:rPr>
                <w:b/>
                <w:noProof/>
                <w:sz w:val="20"/>
              </w:rPr>
            </w:pPr>
          </w:p>
        </w:tc>
      </w:tr>
      <w:tr w:rsidR="009F5731">
        <w:tc>
          <w:tcPr>
            <w:tcW w:w="3960" w:type="dxa"/>
            <w:vAlign w:val="center"/>
          </w:tcPr>
          <w:p w:rsidR="009F5731" w:rsidRDefault="005C2A57">
            <w:pPr>
              <w:jc w:val="center"/>
              <w:rPr>
                <w:b/>
                <w:noProof/>
              </w:rPr>
            </w:pPr>
            <w:r>
              <w:rPr>
                <w:b/>
                <w:noProof/>
                <w:sz w:val="22"/>
              </w:rPr>
              <w:t>ΣΥΝΟΛΟ ΓΔ</w:t>
            </w:r>
            <w:r>
              <w:rPr>
                <w:noProof/>
              </w:rPr>
              <w:t xml:space="preserve"> </w:t>
            </w:r>
            <w:r>
              <w:rPr>
                <w:noProof/>
                <w:sz w:val="22"/>
              </w:rPr>
              <w:t>&lt;….&gt;</w:t>
            </w:r>
          </w:p>
        </w:tc>
        <w:tc>
          <w:tcPr>
            <w:tcW w:w="2094" w:type="dxa"/>
            <w:gridSpan w:val="2"/>
            <w:vAlign w:val="center"/>
          </w:tcPr>
          <w:p w:rsidR="009F5731" w:rsidRDefault="005C2A57">
            <w:pPr>
              <w:rPr>
                <w:noProof/>
                <w:sz w:val="14"/>
              </w:rPr>
            </w:pPr>
            <w:r>
              <w:rPr>
                <w:noProof/>
                <w:sz w:val="18"/>
              </w:rPr>
              <w:t xml:space="preserve">Πιστώσεις </w:t>
            </w: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b/>
                <w:noProof/>
                <w:sz w:val="20"/>
              </w:rPr>
            </w:pPr>
          </w:p>
        </w:tc>
        <w:tc>
          <w:tcPr>
            <w:tcW w:w="1777" w:type="dxa"/>
            <w:vAlign w:val="center"/>
          </w:tcPr>
          <w:p w:rsidR="009F5731" w:rsidRDefault="009F5731">
            <w:pPr>
              <w:spacing w:before="20" w:after="20"/>
              <w:jc w:val="right"/>
              <w:rPr>
                <w:b/>
                <w:noProof/>
                <w:sz w:val="20"/>
              </w:rPr>
            </w:pPr>
          </w:p>
        </w:tc>
      </w:tr>
    </w:tbl>
    <w:p w:rsidR="009F5731" w:rsidRDefault="009F573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F5731">
        <w:tc>
          <w:tcPr>
            <w:tcW w:w="3960" w:type="dxa"/>
            <w:shd w:val="thinDiagStripe" w:color="C0C0C0" w:fill="auto"/>
            <w:vAlign w:val="center"/>
          </w:tcPr>
          <w:p w:rsidR="009F5731" w:rsidRDefault="005C2A57">
            <w:pPr>
              <w:jc w:val="center"/>
              <w:rPr>
                <w:b/>
                <w:noProof/>
              </w:rPr>
            </w:pPr>
            <w:r>
              <w:rPr>
                <w:b/>
                <w:noProof/>
                <w:sz w:val="22"/>
              </w:rPr>
              <w:t>ΣΥΝΟΛΟ πιστώσεων</w:t>
            </w:r>
            <w:r>
              <w:rPr>
                <w:noProof/>
                <w:sz w:val="22"/>
              </w:rPr>
              <w:br/>
            </w:r>
            <w:r>
              <w:rPr>
                <w:b/>
                <w:noProof/>
                <w:sz w:val="22"/>
              </w:rPr>
              <w:t>για τον ΤΟΜΕΑ 5</w:t>
            </w:r>
            <w:r>
              <w:rPr>
                <w:noProof/>
                <w:sz w:val="22"/>
              </w:rPr>
              <w:br/>
              <w:t xml:space="preserve">του </w:t>
            </w:r>
            <w:r>
              <w:rPr>
                <w:noProof/>
                <w:sz w:val="22"/>
              </w:rPr>
              <w:t>πολυετούς δημοσιονομικού πλαισίου</w:t>
            </w:r>
            <w:r>
              <w:rPr>
                <w:b/>
                <w:noProof/>
                <w:sz w:val="22"/>
              </w:rPr>
              <w:t xml:space="preserve"> </w:t>
            </w:r>
          </w:p>
        </w:tc>
        <w:tc>
          <w:tcPr>
            <w:tcW w:w="2094" w:type="dxa"/>
            <w:vAlign w:val="center"/>
          </w:tcPr>
          <w:p w:rsidR="009F5731" w:rsidRDefault="005C2A57">
            <w:pPr>
              <w:spacing w:before="40" w:after="40"/>
              <w:rPr>
                <w:noProof/>
              </w:rPr>
            </w:pPr>
            <w:r>
              <w:rPr>
                <w:noProof/>
                <w:sz w:val="18"/>
              </w:rPr>
              <w:t>(Σύνολο αναλήψεων υποχρεώσεων = Σύνολο πληρωμών)</w:t>
            </w: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noProof/>
                <w:sz w:val="20"/>
              </w:rPr>
            </w:pPr>
          </w:p>
        </w:tc>
        <w:tc>
          <w:tcPr>
            <w:tcW w:w="868" w:type="dxa"/>
            <w:vAlign w:val="center"/>
          </w:tcPr>
          <w:p w:rsidR="009F5731" w:rsidRDefault="009F5731">
            <w:pPr>
              <w:spacing w:before="20" w:after="20"/>
              <w:jc w:val="right"/>
              <w:rPr>
                <w:b/>
                <w:noProof/>
                <w:sz w:val="20"/>
              </w:rPr>
            </w:pPr>
          </w:p>
        </w:tc>
        <w:tc>
          <w:tcPr>
            <w:tcW w:w="1777" w:type="dxa"/>
            <w:vAlign w:val="center"/>
          </w:tcPr>
          <w:p w:rsidR="009F5731" w:rsidRDefault="009F5731">
            <w:pPr>
              <w:spacing w:before="20" w:after="20"/>
              <w:jc w:val="right"/>
              <w:rPr>
                <w:b/>
                <w:noProof/>
                <w:sz w:val="20"/>
              </w:rPr>
            </w:pPr>
          </w:p>
        </w:tc>
      </w:tr>
    </w:tbl>
    <w:p w:rsidR="009F5731" w:rsidRDefault="005C2A57">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F5731">
        <w:tc>
          <w:tcPr>
            <w:tcW w:w="3960" w:type="dxa"/>
            <w:tcBorders>
              <w:top w:val="nil"/>
              <w:left w:val="nil"/>
              <w:right w:val="nil"/>
            </w:tcBorders>
            <w:vAlign w:val="center"/>
          </w:tcPr>
          <w:p w:rsidR="009F5731" w:rsidRDefault="009F5731">
            <w:pPr>
              <w:jc w:val="center"/>
              <w:rPr>
                <w:noProof/>
              </w:rPr>
            </w:pPr>
          </w:p>
        </w:tc>
        <w:tc>
          <w:tcPr>
            <w:tcW w:w="1560" w:type="dxa"/>
            <w:tcBorders>
              <w:top w:val="nil"/>
              <w:left w:val="nil"/>
              <w:right w:val="nil"/>
            </w:tcBorders>
          </w:tcPr>
          <w:p w:rsidR="009F5731" w:rsidRDefault="009F5731">
            <w:pPr>
              <w:rPr>
                <w:noProof/>
                <w:sz w:val="20"/>
              </w:rPr>
            </w:pPr>
          </w:p>
        </w:tc>
        <w:tc>
          <w:tcPr>
            <w:tcW w:w="534" w:type="dxa"/>
            <w:tcBorders>
              <w:top w:val="nil"/>
              <w:left w:val="nil"/>
            </w:tcBorders>
          </w:tcPr>
          <w:p w:rsidR="009F5731" w:rsidRDefault="009F5731">
            <w:pPr>
              <w:jc w:val="center"/>
              <w:rPr>
                <w:noProof/>
                <w:sz w:val="20"/>
              </w:rPr>
            </w:pPr>
          </w:p>
        </w:tc>
        <w:tc>
          <w:tcPr>
            <w:tcW w:w="868" w:type="dxa"/>
            <w:vAlign w:val="center"/>
          </w:tcPr>
          <w:p w:rsidR="009F5731" w:rsidRDefault="005C2A57">
            <w:pPr>
              <w:jc w:val="center"/>
              <w:rPr>
                <w:noProof/>
                <w:sz w:val="20"/>
              </w:rPr>
            </w:pPr>
            <w:r>
              <w:rPr>
                <w:noProof/>
                <w:sz w:val="20"/>
              </w:rPr>
              <w:t>Έτος</w:t>
            </w:r>
            <w:r>
              <w:rPr>
                <w:noProof/>
                <w:sz w:val="22"/>
              </w:rPr>
              <w:br/>
            </w:r>
            <w:r>
              <w:rPr>
                <w:b/>
                <w:noProof/>
                <w:sz w:val="20"/>
              </w:rPr>
              <w:t>N</w:t>
            </w:r>
            <w:r>
              <w:rPr>
                <w:rStyle w:val="FootnoteReference"/>
                <w:b/>
                <w:noProof/>
                <w:sz w:val="20"/>
              </w:rPr>
              <w:footnoteReference w:id="13"/>
            </w:r>
          </w:p>
        </w:tc>
        <w:tc>
          <w:tcPr>
            <w:tcW w:w="868" w:type="dxa"/>
            <w:vAlign w:val="center"/>
          </w:tcPr>
          <w:p w:rsidR="009F5731" w:rsidRDefault="005C2A57">
            <w:pPr>
              <w:jc w:val="center"/>
              <w:rPr>
                <w:noProof/>
                <w:sz w:val="20"/>
              </w:rPr>
            </w:pPr>
            <w:r>
              <w:rPr>
                <w:noProof/>
                <w:sz w:val="20"/>
              </w:rPr>
              <w:t>Έτος</w:t>
            </w:r>
            <w:r>
              <w:rPr>
                <w:noProof/>
                <w:sz w:val="22"/>
              </w:rPr>
              <w:br/>
            </w:r>
            <w:r>
              <w:rPr>
                <w:b/>
                <w:noProof/>
                <w:sz w:val="20"/>
              </w:rPr>
              <w:t>N+1</w:t>
            </w:r>
          </w:p>
        </w:tc>
        <w:tc>
          <w:tcPr>
            <w:tcW w:w="868" w:type="dxa"/>
            <w:vAlign w:val="center"/>
          </w:tcPr>
          <w:p w:rsidR="009F5731" w:rsidRDefault="005C2A57">
            <w:pPr>
              <w:jc w:val="center"/>
              <w:rPr>
                <w:noProof/>
                <w:sz w:val="20"/>
              </w:rPr>
            </w:pPr>
            <w:r>
              <w:rPr>
                <w:noProof/>
                <w:sz w:val="20"/>
              </w:rPr>
              <w:t>Έτος</w:t>
            </w:r>
            <w:r>
              <w:rPr>
                <w:noProof/>
                <w:sz w:val="22"/>
              </w:rPr>
              <w:br/>
            </w:r>
            <w:r>
              <w:rPr>
                <w:b/>
                <w:noProof/>
                <w:sz w:val="20"/>
              </w:rPr>
              <w:t>N+2</w:t>
            </w:r>
          </w:p>
        </w:tc>
        <w:tc>
          <w:tcPr>
            <w:tcW w:w="868" w:type="dxa"/>
            <w:vAlign w:val="center"/>
          </w:tcPr>
          <w:p w:rsidR="009F5731" w:rsidRDefault="005C2A57">
            <w:pPr>
              <w:jc w:val="center"/>
              <w:rPr>
                <w:noProof/>
                <w:sz w:val="20"/>
              </w:rPr>
            </w:pPr>
            <w:r>
              <w:rPr>
                <w:noProof/>
                <w:sz w:val="20"/>
              </w:rPr>
              <w:t>Έτος</w:t>
            </w:r>
            <w:r>
              <w:rPr>
                <w:noProof/>
                <w:sz w:val="22"/>
              </w:rPr>
              <w:br/>
            </w:r>
            <w:r>
              <w:rPr>
                <w:b/>
                <w:noProof/>
                <w:sz w:val="20"/>
              </w:rPr>
              <w:t>N+3</w:t>
            </w:r>
          </w:p>
        </w:tc>
        <w:tc>
          <w:tcPr>
            <w:tcW w:w="2604" w:type="dxa"/>
            <w:gridSpan w:val="3"/>
            <w:vAlign w:val="center"/>
          </w:tcPr>
          <w:p w:rsidR="009F5731" w:rsidRDefault="005C2A57">
            <w:pPr>
              <w:jc w:val="center"/>
              <w:rPr>
                <w:b/>
                <w:noProof/>
                <w:sz w:val="18"/>
              </w:rPr>
            </w:pPr>
            <w:r>
              <w:rPr>
                <w:noProof/>
                <w:sz w:val="18"/>
              </w:rPr>
              <w:t xml:space="preserve">Να εγγραφούν όσα έτη απαιτούνται, ώστε να φαίνεται η διάρκεια των επιπτώσεων (βλ. </w:t>
            </w:r>
            <w:r>
              <w:rPr>
                <w:noProof/>
                <w:sz w:val="18"/>
              </w:rPr>
              <w:t>σημείο 1.6)</w:t>
            </w:r>
          </w:p>
        </w:tc>
        <w:tc>
          <w:tcPr>
            <w:tcW w:w="1777" w:type="dxa"/>
            <w:vAlign w:val="center"/>
          </w:tcPr>
          <w:p w:rsidR="009F5731" w:rsidRDefault="005C2A57">
            <w:pPr>
              <w:jc w:val="center"/>
              <w:rPr>
                <w:b/>
                <w:noProof/>
                <w:sz w:val="20"/>
              </w:rPr>
            </w:pPr>
            <w:r>
              <w:rPr>
                <w:b/>
                <w:noProof/>
                <w:sz w:val="20"/>
              </w:rPr>
              <w:t>ΣΥΝΟΛΟ</w:t>
            </w:r>
          </w:p>
        </w:tc>
      </w:tr>
      <w:tr w:rsidR="009F5731">
        <w:tc>
          <w:tcPr>
            <w:tcW w:w="3960" w:type="dxa"/>
            <w:vMerge w:val="restart"/>
            <w:shd w:val="clear" w:color="auto" w:fill="C0C0C0"/>
            <w:vAlign w:val="center"/>
          </w:tcPr>
          <w:p w:rsidR="009F5731" w:rsidRDefault="005C2A57">
            <w:pPr>
              <w:jc w:val="center"/>
              <w:rPr>
                <w:b/>
                <w:noProof/>
              </w:rPr>
            </w:pPr>
            <w:r>
              <w:rPr>
                <w:b/>
                <w:noProof/>
                <w:sz w:val="22"/>
              </w:rPr>
              <w:t>ΣΥΝΟΛΟ πιστώσεων</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rsidR="009F5731" w:rsidRDefault="005C2A57">
            <w:pPr>
              <w:rPr>
                <w:noProof/>
                <w:sz w:val="14"/>
              </w:rPr>
            </w:pPr>
            <w:r>
              <w:rPr>
                <w:noProof/>
                <w:sz w:val="18"/>
              </w:rPr>
              <w:t>Αναλήψεις υποχρεώσεων</w:t>
            </w: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b/>
                <w:noProof/>
                <w:sz w:val="20"/>
              </w:rPr>
            </w:pPr>
          </w:p>
        </w:tc>
        <w:tc>
          <w:tcPr>
            <w:tcW w:w="1777" w:type="dxa"/>
            <w:vAlign w:val="center"/>
          </w:tcPr>
          <w:p w:rsidR="009F5731" w:rsidRDefault="009F5731">
            <w:pPr>
              <w:spacing w:before="60" w:after="60"/>
              <w:jc w:val="right"/>
              <w:rPr>
                <w:b/>
                <w:noProof/>
                <w:sz w:val="20"/>
              </w:rPr>
            </w:pPr>
          </w:p>
        </w:tc>
      </w:tr>
      <w:tr w:rsidR="009F5731">
        <w:tc>
          <w:tcPr>
            <w:tcW w:w="3960" w:type="dxa"/>
            <w:vMerge/>
            <w:shd w:val="clear" w:color="auto" w:fill="C0C0C0"/>
          </w:tcPr>
          <w:p w:rsidR="009F5731" w:rsidRDefault="009F5731">
            <w:pPr>
              <w:rPr>
                <w:noProof/>
                <w:sz w:val="20"/>
              </w:rPr>
            </w:pPr>
          </w:p>
        </w:tc>
        <w:tc>
          <w:tcPr>
            <w:tcW w:w="2094" w:type="dxa"/>
            <w:gridSpan w:val="2"/>
            <w:vAlign w:val="center"/>
          </w:tcPr>
          <w:p w:rsidR="009F5731" w:rsidRDefault="005C2A57">
            <w:pPr>
              <w:rPr>
                <w:noProof/>
                <w:sz w:val="14"/>
              </w:rPr>
            </w:pPr>
            <w:r>
              <w:rPr>
                <w:noProof/>
                <w:sz w:val="18"/>
              </w:rPr>
              <w:t>Πληρωμές</w:t>
            </w: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noProof/>
                <w:sz w:val="20"/>
              </w:rPr>
            </w:pPr>
          </w:p>
        </w:tc>
        <w:tc>
          <w:tcPr>
            <w:tcW w:w="868" w:type="dxa"/>
            <w:vAlign w:val="center"/>
          </w:tcPr>
          <w:p w:rsidR="009F5731" w:rsidRDefault="009F5731">
            <w:pPr>
              <w:spacing w:before="60" w:after="60"/>
              <w:jc w:val="right"/>
              <w:rPr>
                <w:b/>
                <w:noProof/>
                <w:sz w:val="20"/>
              </w:rPr>
            </w:pPr>
          </w:p>
        </w:tc>
        <w:tc>
          <w:tcPr>
            <w:tcW w:w="1777" w:type="dxa"/>
            <w:vAlign w:val="center"/>
          </w:tcPr>
          <w:p w:rsidR="009F5731" w:rsidRDefault="009F5731">
            <w:pPr>
              <w:spacing w:before="60" w:after="60"/>
              <w:jc w:val="right"/>
              <w:rPr>
                <w:b/>
                <w:noProof/>
                <w:sz w:val="20"/>
              </w:rPr>
            </w:pPr>
          </w:p>
        </w:tc>
      </w:tr>
    </w:tbl>
    <w:p w:rsidR="009F5731" w:rsidRDefault="009F5731">
      <w:pPr>
        <w:rPr>
          <w:noProof/>
        </w:rPr>
      </w:pPr>
    </w:p>
    <w:p w:rsidR="009F5731" w:rsidRDefault="005C2A57">
      <w:pPr>
        <w:pStyle w:val="ManualHeading3"/>
        <w:rPr>
          <w:bCs/>
          <w:noProof/>
          <w:szCs w:val="24"/>
        </w:rPr>
      </w:pPr>
      <w:bookmarkStart w:id="45" w:name="_Toc514938054"/>
      <w:bookmarkStart w:id="46" w:name="_Toc520485053"/>
      <w:r>
        <w:t>3.2.2.</w:t>
      </w:r>
      <w:r>
        <w:tab/>
      </w:r>
      <w:r>
        <w:rPr>
          <w:noProof/>
        </w:rPr>
        <w:t>Εκτιμώμενο αποτέλεσμα που χρηματοδοτείται με επιχειρησιακές πιστώσεις</w:t>
      </w:r>
      <w:bookmarkEnd w:id="45"/>
      <w:bookmarkEnd w:id="46"/>
      <w:r>
        <w:rPr>
          <w:noProof/>
        </w:rPr>
        <w:t xml:space="preserve"> </w:t>
      </w:r>
    </w:p>
    <w:p w:rsidR="009F5731" w:rsidRDefault="005C2A57">
      <w:pPr>
        <w:jc w:val="right"/>
        <w:rPr>
          <w:noProof/>
          <w:sz w:val="20"/>
        </w:rPr>
      </w:pPr>
      <w:r>
        <w:rPr>
          <w:noProof/>
          <w:sz w:val="20"/>
        </w:rPr>
        <w:t xml:space="preserve">Πιστώσεις ανάληψης υποχρεώσεων </w:t>
      </w:r>
      <w:r>
        <w:rPr>
          <w:noProof/>
          <w:sz w:val="20"/>
        </w:rPr>
        <w:t>σε εκατ. EUR (με 3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9F5731">
        <w:trPr>
          <w:jc w:val="center"/>
        </w:trPr>
        <w:tc>
          <w:tcPr>
            <w:tcW w:w="1423" w:type="dxa"/>
            <w:vMerge w:val="restart"/>
            <w:vAlign w:val="center"/>
          </w:tcPr>
          <w:p w:rsidR="009F5731" w:rsidRDefault="005C2A57">
            <w:pPr>
              <w:ind w:right="-29"/>
              <w:jc w:val="center"/>
              <w:rPr>
                <w:b/>
                <w:noProof/>
                <w:sz w:val="18"/>
                <w:szCs w:val="18"/>
              </w:rPr>
            </w:pPr>
            <w:r>
              <w:rPr>
                <w:b/>
                <w:noProof/>
                <w:sz w:val="18"/>
              </w:rPr>
              <w:t xml:space="preserve">Να προσδιοριστούν οι στόχοι και τα αποτελέσματα </w:t>
            </w:r>
          </w:p>
          <w:p w:rsidR="009F5731" w:rsidRDefault="009F5731">
            <w:pPr>
              <w:ind w:right="-29"/>
              <w:jc w:val="center"/>
              <w:rPr>
                <w:b/>
                <w:noProof/>
                <w:sz w:val="18"/>
                <w:szCs w:val="18"/>
              </w:rPr>
            </w:pPr>
          </w:p>
          <w:p w:rsidR="009F5731" w:rsidRDefault="005C2A57">
            <w:pPr>
              <w:ind w:right="-29"/>
              <w:jc w:val="center"/>
              <w:rPr>
                <w:noProof/>
                <w:sz w:val="18"/>
                <w:szCs w:val="18"/>
              </w:rPr>
            </w:pPr>
            <w:r>
              <w:rPr>
                <w:noProof/>
                <w:sz w:val="18"/>
              </w:rPr>
              <w:sym w:font="Wingdings" w:char="F0F2"/>
            </w:r>
          </w:p>
        </w:tc>
        <w:tc>
          <w:tcPr>
            <w:tcW w:w="720" w:type="dxa"/>
            <w:vAlign w:val="center"/>
          </w:tcPr>
          <w:p w:rsidR="009F5731" w:rsidRDefault="009F5731">
            <w:pPr>
              <w:ind w:right="-29"/>
              <w:jc w:val="center"/>
              <w:rPr>
                <w:noProof/>
                <w:sz w:val="18"/>
                <w:szCs w:val="18"/>
              </w:rPr>
            </w:pPr>
          </w:p>
        </w:tc>
        <w:tc>
          <w:tcPr>
            <w:tcW w:w="701" w:type="dxa"/>
            <w:vAlign w:val="center"/>
          </w:tcPr>
          <w:p w:rsidR="009F5731" w:rsidRDefault="009F5731">
            <w:pPr>
              <w:ind w:right="-29"/>
              <w:jc w:val="center"/>
              <w:rPr>
                <w:noProof/>
                <w:sz w:val="18"/>
                <w:szCs w:val="18"/>
              </w:rPr>
            </w:pPr>
          </w:p>
        </w:tc>
        <w:tc>
          <w:tcPr>
            <w:tcW w:w="1224" w:type="dxa"/>
            <w:gridSpan w:val="2"/>
            <w:tcBorders>
              <w:left w:val="nil"/>
            </w:tcBorders>
            <w:vAlign w:val="center"/>
          </w:tcPr>
          <w:p w:rsidR="009F5731" w:rsidRDefault="005C2A57">
            <w:pPr>
              <w:ind w:right="-29"/>
              <w:jc w:val="center"/>
              <w:rPr>
                <w:noProof/>
                <w:sz w:val="18"/>
                <w:szCs w:val="18"/>
              </w:rPr>
            </w:pPr>
            <w:r>
              <w:rPr>
                <w:noProof/>
                <w:sz w:val="18"/>
              </w:rPr>
              <w:t>Έτος</w:t>
            </w:r>
            <w:r>
              <w:rPr>
                <w:noProof/>
                <w:sz w:val="22"/>
              </w:rPr>
              <w:br/>
            </w:r>
            <w:r>
              <w:rPr>
                <w:b/>
                <w:noProof/>
                <w:sz w:val="18"/>
              </w:rPr>
              <w:t>N</w:t>
            </w:r>
          </w:p>
        </w:tc>
        <w:tc>
          <w:tcPr>
            <w:tcW w:w="1260" w:type="dxa"/>
            <w:gridSpan w:val="2"/>
            <w:vAlign w:val="center"/>
          </w:tcPr>
          <w:p w:rsidR="009F5731" w:rsidRDefault="005C2A57">
            <w:pPr>
              <w:ind w:right="-29"/>
              <w:jc w:val="center"/>
              <w:rPr>
                <w:noProof/>
                <w:sz w:val="18"/>
                <w:szCs w:val="18"/>
              </w:rPr>
            </w:pPr>
            <w:r>
              <w:rPr>
                <w:noProof/>
                <w:sz w:val="18"/>
              </w:rPr>
              <w:t>Έτος</w:t>
            </w:r>
            <w:r>
              <w:rPr>
                <w:noProof/>
                <w:sz w:val="22"/>
              </w:rPr>
              <w:br/>
            </w:r>
            <w:r>
              <w:rPr>
                <w:b/>
                <w:noProof/>
                <w:sz w:val="18"/>
              </w:rPr>
              <w:t>N+1</w:t>
            </w:r>
          </w:p>
        </w:tc>
        <w:tc>
          <w:tcPr>
            <w:tcW w:w="1440" w:type="dxa"/>
            <w:gridSpan w:val="2"/>
            <w:vAlign w:val="center"/>
          </w:tcPr>
          <w:p w:rsidR="009F5731" w:rsidRDefault="005C2A57">
            <w:pPr>
              <w:ind w:right="-29"/>
              <w:jc w:val="center"/>
              <w:rPr>
                <w:noProof/>
                <w:sz w:val="18"/>
                <w:szCs w:val="18"/>
              </w:rPr>
            </w:pPr>
            <w:r>
              <w:rPr>
                <w:noProof/>
                <w:sz w:val="18"/>
              </w:rPr>
              <w:t>Έτος</w:t>
            </w:r>
            <w:r>
              <w:rPr>
                <w:noProof/>
                <w:sz w:val="22"/>
              </w:rPr>
              <w:br/>
            </w:r>
            <w:r>
              <w:rPr>
                <w:b/>
                <w:noProof/>
                <w:sz w:val="18"/>
              </w:rPr>
              <w:t>N+2</w:t>
            </w:r>
          </w:p>
        </w:tc>
        <w:tc>
          <w:tcPr>
            <w:tcW w:w="1620" w:type="dxa"/>
            <w:gridSpan w:val="3"/>
            <w:vAlign w:val="center"/>
          </w:tcPr>
          <w:p w:rsidR="009F5731" w:rsidRDefault="005C2A57">
            <w:pPr>
              <w:ind w:right="-29"/>
              <w:jc w:val="center"/>
              <w:rPr>
                <w:noProof/>
                <w:sz w:val="18"/>
                <w:szCs w:val="18"/>
              </w:rPr>
            </w:pPr>
            <w:r>
              <w:rPr>
                <w:noProof/>
                <w:sz w:val="18"/>
              </w:rPr>
              <w:t>Έτος</w:t>
            </w:r>
            <w:r>
              <w:rPr>
                <w:noProof/>
                <w:sz w:val="22"/>
              </w:rPr>
              <w:br/>
            </w:r>
            <w:r>
              <w:rPr>
                <w:b/>
                <w:noProof/>
                <w:sz w:val="18"/>
              </w:rPr>
              <w:t>N+3</w:t>
            </w:r>
          </w:p>
        </w:tc>
        <w:tc>
          <w:tcPr>
            <w:tcW w:w="3600" w:type="dxa"/>
            <w:gridSpan w:val="6"/>
            <w:vAlign w:val="center"/>
          </w:tcPr>
          <w:p w:rsidR="009F5731" w:rsidRDefault="005C2A57">
            <w:pPr>
              <w:jc w:val="center"/>
              <w:rPr>
                <w:noProof/>
                <w:sz w:val="18"/>
                <w:szCs w:val="18"/>
              </w:rPr>
            </w:pPr>
            <w:r>
              <w:rPr>
                <w:noProof/>
                <w:sz w:val="18"/>
              </w:rPr>
              <w:t>Να εγγραφούν όσα έτη απαιτούνται, ώστε να φαίνεται η διάρκεια των επιπτώσεων (βλ. σημείο 1.6)</w:t>
            </w:r>
          </w:p>
        </w:tc>
        <w:tc>
          <w:tcPr>
            <w:tcW w:w="1620" w:type="dxa"/>
            <w:gridSpan w:val="2"/>
            <w:tcBorders>
              <w:left w:val="nil"/>
              <w:bottom w:val="nil"/>
            </w:tcBorders>
            <w:vAlign w:val="center"/>
          </w:tcPr>
          <w:p w:rsidR="009F5731" w:rsidRDefault="005C2A57">
            <w:pPr>
              <w:ind w:right="-29"/>
              <w:jc w:val="center"/>
              <w:rPr>
                <w:noProof/>
                <w:sz w:val="18"/>
                <w:szCs w:val="18"/>
              </w:rPr>
            </w:pPr>
            <w:r>
              <w:rPr>
                <w:b/>
                <w:noProof/>
                <w:sz w:val="18"/>
              </w:rPr>
              <w:t>ΣΥΝΟΛΟ</w:t>
            </w:r>
          </w:p>
        </w:tc>
      </w:tr>
      <w:tr w:rsidR="009F5731">
        <w:trPr>
          <w:jc w:val="center"/>
        </w:trPr>
        <w:tc>
          <w:tcPr>
            <w:tcW w:w="1423" w:type="dxa"/>
            <w:vMerge/>
            <w:vAlign w:val="center"/>
          </w:tcPr>
          <w:p w:rsidR="009F5731" w:rsidRDefault="009F5731">
            <w:pPr>
              <w:ind w:right="-29"/>
              <w:jc w:val="center"/>
              <w:rPr>
                <w:noProof/>
                <w:sz w:val="18"/>
                <w:szCs w:val="18"/>
              </w:rPr>
            </w:pPr>
          </w:p>
        </w:tc>
        <w:tc>
          <w:tcPr>
            <w:tcW w:w="12185" w:type="dxa"/>
            <w:gridSpan w:val="19"/>
            <w:vAlign w:val="center"/>
          </w:tcPr>
          <w:p w:rsidR="009F5731" w:rsidRDefault="005C2A57">
            <w:pPr>
              <w:spacing w:before="60" w:after="60"/>
              <w:ind w:right="-29"/>
              <w:jc w:val="center"/>
              <w:rPr>
                <w:noProof/>
                <w:sz w:val="18"/>
                <w:szCs w:val="18"/>
              </w:rPr>
            </w:pPr>
            <w:r>
              <w:rPr>
                <w:b/>
                <w:noProof/>
                <w:sz w:val="18"/>
              </w:rPr>
              <w:t>ΑΠΟΤΕΛΕΣΜΑΤΑ</w:t>
            </w:r>
          </w:p>
        </w:tc>
      </w:tr>
      <w:tr w:rsidR="009F5731">
        <w:trPr>
          <w:cantSplit/>
          <w:trHeight w:val="1134"/>
          <w:jc w:val="center"/>
        </w:trPr>
        <w:tc>
          <w:tcPr>
            <w:tcW w:w="1423" w:type="dxa"/>
            <w:vMerge/>
            <w:vAlign w:val="center"/>
          </w:tcPr>
          <w:p w:rsidR="009F5731" w:rsidRDefault="009F5731">
            <w:pPr>
              <w:rPr>
                <w:noProof/>
                <w:sz w:val="18"/>
                <w:szCs w:val="18"/>
              </w:rPr>
            </w:pPr>
          </w:p>
        </w:tc>
        <w:tc>
          <w:tcPr>
            <w:tcW w:w="720" w:type="dxa"/>
            <w:vAlign w:val="center"/>
          </w:tcPr>
          <w:p w:rsidR="009F5731" w:rsidRDefault="005C2A57">
            <w:pPr>
              <w:jc w:val="center"/>
              <w:rPr>
                <w:noProof/>
                <w:sz w:val="18"/>
                <w:szCs w:val="18"/>
              </w:rPr>
            </w:pPr>
            <w:r>
              <w:rPr>
                <w:noProof/>
                <w:sz w:val="18"/>
              </w:rPr>
              <w:t>Είδος</w:t>
            </w:r>
            <w:r>
              <w:rPr>
                <w:rStyle w:val="FootnoteReference"/>
                <w:noProof/>
                <w:sz w:val="18"/>
              </w:rPr>
              <w:footnoteReference w:id="14"/>
            </w:r>
          </w:p>
          <w:p w:rsidR="009F5731" w:rsidRDefault="009F5731">
            <w:pPr>
              <w:spacing w:before="0" w:after="0"/>
              <w:jc w:val="center"/>
              <w:rPr>
                <w:noProof/>
                <w:sz w:val="18"/>
                <w:szCs w:val="18"/>
              </w:rPr>
            </w:pPr>
          </w:p>
        </w:tc>
        <w:tc>
          <w:tcPr>
            <w:tcW w:w="701" w:type="dxa"/>
            <w:vAlign w:val="center"/>
          </w:tcPr>
          <w:p w:rsidR="009F5731" w:rsidRDefault="005C2A57">
            <w:pPr>
              <w:jc w:val="center"/>
              <w:rPr>
                <w:noProof/>
                <w:sz w:val="18"/>
                <w:szCs w:val="18"/>
              </w:rPr>
            </w:pPr>
            <w:r>
              <w:rPr>
                <w:noProof/>
                <w:sz w:val="18"/>
              </w:rPr>
              <w:t xml:space="preserve">Μέσο </w:t>
            </w:r>
            <w:r>
              <w:rPr>
                <w:noProof/>
                <w:sz w:val="18"/>
              </w:rPr>
              <w:t>κόστος</w:t>
            </w:r>
          </w:p>
        </w:tc>
        <w:tc>
          <w:tcPr>
            <w:tcW w:w="504" w:type="dxa"/>
            <w:tcBorders>
              <w:left w:val="nil"/>
              <w:right w:val="dashSmallGap" w:sz="4" w:space="0" w:color="auto"/>
            </w:tcBorders>
            <w:shd w:val="pct10" w:color="auto" w:fill="auto"/>
            <w:textDirection w:val="btLr"/>
            <w:vAlign w:val="center"/>
          </w:tcPr>
          <w:p w:rsidR="009F5731" w:rsidRDefault="005C2A57">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9F5731" w:rsidRDefault="005C2A57">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rsidR="009F5731" w:rsidRDefault="005C2A57">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9F5731" w:rsidRDefault="005C2A57">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rsidR="009F5731" w:rsidRDefault="005C2A57">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9F5731" w:rsidRDefault="005C2A57">
            <w:pPr>
              <w:jc w:val="center"/>
              <w:rPr>
                <w:noProof/>
                <w:sz w:val="18"/>
                <w:szCs w:val="18"/>
              </w:rPr>
            </w:pPr>
            <w:r>
              <w:rPr>
                <w:noProof/>
                <w:sz w:val="18"/>
              </w:rPr>
              <w:t>Κόστος</w:t>
            </w:r>
          </w:p>
        </w:tc>
        <w:tc>
          <w:tcPr>
            <w:tcW w:w="900" w:type="dxa"/>
            <w:tcBorders>
              <w:right w:val="dashSmallGap" w:sz="4" w:space="0" w:color="auto"/>
            </w:tcBorders>
            <w:shd w:val="pct10" w:color="auto" w:fill="auto"/>
            <w:textDirection w:val="btLr"/>
            <w:vAlign w:val="center"/>
          </w:tcPr>
          <w:p w:rsidR="009F5731" w:rsidRDefault="005C2A57">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rsidR="009F5731" w:rsidRDefault="005C2A57">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rsidR="009F5731" w:rsidRDefault="005C2A57">
            <w:pPr>
              <w:ind w:left="113" w:right="113"/>
              <w:jc w:val="center"/>
              <w:rPr>
                <w:noProof/>
                <w:sz w:val="18"/>
                <w:szCs w:val="18"/>
              </w:rPr>
            </w:pPr>
            <w:r>
              <w:rPr>
                <w:noProof/>
                <w:sz w:val="18"/>
              </w:rPr>
              <w:t>Αριθμός</w:t>
            </w:r>
          </w:p>
        </w:tc>
        <w:tc>
          <w:tcPr>
            <w:tcW w:w="648" w:type="dxa"/>
            <w:tcBorders>
              <w:left w:val="dashSmallGap" w:sz="4" w:space="0" w:color="auto"/>
            </w:tcBorders>
            <w:shd w:val="pct10" w:color="auto" w:fill="auto"/>
            <w:vAlign w:val="center"/>
          </w:tcPr>
          <w:p w:rsidR="009F5731" w:rsidRDefault="005C2A57">
            <w:pPr>
              <w:jc w:val="center"/>
              <w:rPr>
                <w:noProof/>
                <w:sz w:val="18"/>
                <w:szCs w:val="18"/>
              </w:rPr>
            </w:pPr>
            <w:r>
              <w:rPr>
                <w:noProof/>
                <w:sz w:val="18"/>
              </w:rPr>
              <w:t>Κόστος</w:t>
            </w:r>
          </w:p>
        </w:tc>
        <w:tc>
          <w:tcPr>
            <w:tcW w:w="432" w:type="dxa"/>
            <w:tcBorders>
              <w:right w:val="dashSmallGap" w:sz="4" w:space="0" w:color="auto"/>
            </w:tcBorders>
            <w:shd w:val="pct10" w:color="auto" w:fill="auto"/>
            <w:textDirection w:val="btLr"/>
            <w:vAlign w:val="center"/>
          </w:tcPr>
          <w:p w:rsidR="009F5731" w:rsidRDefault="005C2A57">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9F5731" w:rsidRDefault="005C2A57">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rsidR="009F5731" w:rsidRDefault="005C2A57">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9F5731" w:rsidRDefault="005C2A57">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rsidR="009F5731" w:rsidRDefault="005C2A57">
            <w:pPr>
              <w:jc w:val="center"/>
              <w:rPr>
                <w:noProof/>
                <w:sz w:val="18"/>
                <w:szCs w:val="18"/>
              </w:rPr>
            </w:pPr>
            <w:r>
              <w:rPr>
                <w:noProof/>
                <w:sz w:val="18"/>
              </w:rPr>
              <w:t>Συνολικός αριθμός</w:t>
            </w:r>
          </w:p>
        </w:tc>
        <w:tc>
          <w:tcPr>
            <w:tcW w:w="900" w:type="dxa"/>
            <w:tcBorders>
              <w:left w:val="dashSmallGap" w:sz="4" w:space="0" w:color="auto"/>
            </w:tcBorders>
            <w:shd w:val="pct10" w:color="auto" w:fill="auto"/>
            <w:vAlign w:val="center"/>
          </w:tcPr>
          <w:p w:rsidR="009F5731" w:rsidRDefault="005C2A57">
            <w:pPr>
              <w:jc w:val="center"/>
              <w:rPr>
                <w:noProof/>
                <w:sz w:val="18"/>
                <w:szCs w:val="18"/>
              </w:rPr>
            </w:pPr>
            <w:r>
              <w:rPr>
                <w:noProof/>
                <w:sz w:val="18"/>
              </w:rPr>
              <w:t>Συνολικό κόστος</w:t>
            </w:r>
          </w:p>
        </w:tc>
      </w:tr>
      <w:tr w:rsidR="009F5731">
        <w:trPr>
          <w:jc w:val="center"/>
        </w:trPr>
        <w:tc>
          <w:tcPr>
            <w:tcW w:w="2844" w:type="dxa"/>
            <w:gridSpan w:val="3"/>
            <w:vAlign w:val="center"/>
          </w:tcPr>
          <w:p w:rsidR="009F5731" w:rsidRDefault="005C2A57">
            <w:pPr>
              <w:spacing w:before="60" w:after="60"/>
              <w:ind w:right="-29"/>
              <w:jc w:val="center"/>
              <w:rPr>
                <w:noProof/>
                <w:sz w:val="18"/>
                <w:szCs w:val="18"/>
              </w:rPr>
            </w:pPr>
            <w:r>
              <w:rPr>
                <w:noProof/>
                <w:sz w:val="18"/>
              </w:rPr>
              <w:t>ΕΙΔΙΚΟΣ ΣΤΟΧΟΣ αριθ. 1</w:t>
            </w:r>
            <w:r>
              <w:rPr>
                <w:rStyle w:val="FootnoteReference"/>
                <w:noProof/>
                <w:sz w:val="18"/>
              </w:rPr>
              <w:footnoteReference w:id="15"/>
            </w:r>
            <w:r>
              <w:rPr>
                <w:noProof/>
                <w:sz w:val="18"/>
              </w:rPr>
              <w:t xml:space="preserve"> ...</w:t>
            </w:r>
          </w:p>
        </w:tc>
        <w:tc>
          <w:tcPr>
            <w:tcW w:w="504"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54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90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gridSpan w:val="2"/>
            <w:tcBorders>
              <w:top w:val="nil"/>
              <w:left w:val="nil"/>
              <w:bottom w:val="nil"/>
              <w:right w:val="nil"/>
            </w:tcBorders>
          </w:tcPr>
          <w:p w:rsidR="009F5731" w:rsidRDefault="009F5731">
            <w:pPr>
              <w:spacing w:before="60" w:after="60"/>
              <w:ind w:right="-29"/>
              <w:jc w:val="center"/>
              <w:rPr>
                <w:noProof/>
                <w:sz w:val="18"/>
                <w:szCs w:val="18"/>
              </w:rPr>
            </w:pPr>
          </w:p>
        </w:tc>
        <w:tc>
          <w:tcPr>
            <w:tcW w:w="540" w:type="dxa"/>
            <w:tcBorders>
              <w:top w:val="nil"/>
              <w:left w:val="nil"/>
              <w:bottom w:val="nil"/>
              <w:right w:val="nil"/>
            </w:tcBorders>
          </w:tcPr>
          <w:p w:rsidR="009F5731" w:rsidRDefault="009F5731">
            <w:pPr>
              <w:spacing w:before="60" w:after="60"/>
              <w:ind w:right="-29"/>
              <w:jc w:val="center"/>
              <w:rPr>
                <w:noProof/>
                <w:sz w:val="18"/>
                <w:szCs w:val="18"/>
              </w:rPr>
            </w:pPr>
          </w:p>
        </w:tc>
        <w:tc>
          <w:tcPr>
            <w:tcW w:w="648" w:type="dxa"/>
            <w:tcBorders>
              <w:top w:val="nil"/>
              <w:left w:val="nil"/>
              <w:bottom w:val="nil"/>
              <w:right w:val="nil"/>
            </w:tcBorders>
          </w:tcPr>
          <w:p w:rsidR="009F5731" w:rsidRDefault="009F5731">
            <w:pPr>
              <w:spacing w:before="60" w:after="60"/>
              <w:ind w:right="-29"/>
              <w:jc w:val="center"/>
              <w:rPr>
                <w:noProof/>
                <w:sz w:val="18"/>
                <w:szCs w:val="18"/>
              </w:rPr>
            </w:pPr>
          </w:p>
        </w:tc>
        <w:tc>
          <w:tcPr>
            <w:tcW w:w="432"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54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900" w:type="dxa"/>
            <w:tcBorders>
              <w:top w:val="nil"/>
              <w:left w:val="nil"/>
              <w:bottom w:val="nil"/>
              <w:right w:val="nil"/>
            </w:tcBorders>
          </w:tcPr>
          <w:p w:rsidR="009F5731" w:rsidRDefault="009F5731">
            <w:pPr>
              <w:spacing w:before="60" w:after="60"/>
              <w:ind w:right="-29"/>
              <w:jc w:val="center"/>
              <w:rPr>
                <w:noProof/>
                <w:sz w:val="18"/>
                <w:szCs w:val="18"/>
              </w:rPr>
            </w:pPr>
          </w:p>
        </w:tc>
      </w:tr>
      <w:tr w:rsidR="009F5731">
        <w:trPr>
          <w:trHeight w:hRule="exact" w:val="369"/>
          <w:jc w:val="center"/>
        </w:trPr>
        <w:tc>
          <w:tcPr>
            <w:tcW w:w="1423" w:type="dxa"/>
          </w:tcPr>
          <w:p w:rsidR="009F5731" w:rsidRDefault="005C2A57">
            <w:pPr>
              <w:ind w:right="-29"/>
              <w:jc w:val="center"/>
              <w:rPr>
                <w:noProof/>
                <w:sz w:val="18"/>
                <w:szCs w:val="18"/>
              </w:rPr>
            </w:pPr>
            <w:r>
              <w:rPr>
                <w:noProof/>
                <w:sz w:val="18"/>
              </w:rPr>
              <w:t>- Αποτέλεσμα</w:t>
            </w:r>
          </w:p>
        </w:tc>
        <w:tc>
          <w:tcPr>
            <w:tcW w:w="720" w:type="dxa"/>
          </w:tcPr>
          <w:p w:rsidR="009F5731" w:rsidRDefault="009F5731">
            <w:pPr>
              <w:ind w:right="-29"/>
              <w:jc w:val="center"/>
              <w:rPr>
                <w:noProof/>
                <w:sz w:val="18"/>
                <w:szCs w:val="18"/>
              </w:rPr>
            </w:pPr>
          </w:p>
        </w:tc>
        <w:tc>
          <w:tcPr>
            <w:tcW w:w="701" w:type="dxa"/>
          </w:tcPr>
          <w:p w:rsidR="009F5731" w:rsidRDefault="009F5731">
            <w:pPr>
              <w:ind w:right="-29"/>
              <w:jc w:val="center"/>
              <w:rPr>
                <w:noProof/>
                <w:sz w:val="18"/>
                <w:szCs w:val="18"/>
              </w:rPr>
            </w:pPr>
          </w:p>
        </w:tc>
        <w:tc>
          <w:tcPr>
            <w:tcW w:w="504"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540"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720"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900" w:type="dxa"/>
            <w:tcBorders>
              <w:right w:val="dashSmallGap" w:sz="4" w:space="0" w:color="auto"/>
            </w:tcBorders>
          </w:tcPr>
          <w:p w:rsidR="009F5731" w:rsidRDefault="009F5731">
            <w:pPr>
              <w:ind w:right="-29"/>
              <w:jc w:val="center"/>
              <w:rPr>
                <w:noProof/>
                <w:sz w:val="18"/>
                <w:szCs w:val="18"/>
              </w:rPr>
            </w:pPr>
          </w:p>
        </w:tc>
        <w:tc>
          <w:tcPr>
            <w:tcW w:w="720" w:type="dxa"/>
            <w:gridSpan w:val="2"/>
            <w:tcBorders>
              <w:left w:val="dashSmallGap" w:sz="4" w:space="0" w:color="auto"/>
            </w:tcBorders>
          </w:tcPr>
          <w:p w:rsidR="009F5731" w:rsidRDefault="009F5731">
            <w:pPr>
              <w:ind w:right="-29"/>
              <w:jc w:val="center"/>
              <w:rPr>
                <w:noProof/>
                <w:sz w:val="18"/>
                <w:szCs w:val="18"/>
              </w:rPr>
            </w:pPr>
          </w:p>
        </w:tc>
        <w:tc>
          <w:tcPr>
            <w:tcW w:w="540" w:type="dxa"/>
            <w:tcBorders>
              <w:right w:val="dashSmallGap" w:sz="4" w:space="0" w:color="auto"/>
            </w:tcBorders>
          </w:tcPr>
          <w:p w:rsidR="009F5731" w:rsidRDefault="009F5731">
            <w:pPr>
              <w:ind w:right="-29"/>
              <w:jc w:val="center"/>
              <w:rPr>
                <w:noProof/>
                <w:sz w:val="18"/>
                <w:szCs w:val="18"/>
              </w:rPr>
            </w:pPr>
          </w:p>
        </w:tc>
        <w:tc>
          <w:tcPr>
            <w:tcW w:w="648" w:type="dxa"/>
            <w:tcBorders>
              <w:left w:val="dashSmallGap" w:sz="4" w:space="0" w:color="auto"/>
            </w:tcBorders>
          </w:tcPr>
          <w:p w:rsidR="009F5731" w:rsidRDefault="009F5731">
            <w:pPr>
              <w:ind w:right="-29"/>
              <w:jc w:val="center"/>
              <w:rPr>
                <w:noProof/>
                <w:sz w:val="18"/>
                <w:szCs w:val="18"/>
              </w:rPr>
            </w:pPr>
          </w:p>
        </w:tc>
        <w:tc>
          <w:tcPr>
            <w:tcW w:w="432"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540"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900" w:type="dxa"/>
          </w:tcPr>
          <w:p w:rsidR="009F5731" w:rsidRDefault="009F5731">
            <w:pPr>
              <w:ind w:right="-29"/>
              <w:jc w:val="center"/>
              <w:rPr>
                <w:noProof/>
                <w:sz w:val="18"/>
                <w:szCs w:val="18"/>
              </w:rPr>
            </w:pPr>
          </w:p>
        </w:tc>
      </w:tr>
      <w:tr w:rsidR="009F5731">
        <w:trPr>
          <w:trHeight w:hRule="exact" w:val="369"/>
          <w:jc w:val="center"/>
        </w:trPr>
        <w:tc>
          <w:tcPr>
            <w:tcW w:w="1423" w:type="dxa"/>
          </w:tcPr>
          <w:p w:rsidR="009F5731" w:rsidRDefault="005C2A57">
            <w:pPr>
              <w:ind w:right="-29"/>
              <w:jc w:val="center"/>
              <w:rPr>
                <w:noProof/>
                <w:sz w:val="18"/>
                <w:szCs w:val="18"/>
              </w:rPr>
            </w:pPr>
            <w:r>
              <w:rPr>
                <w:noProof/>
                <w:sz w:val="18"/>
              </w:rPr>
              <w:t>- Αποτέλεσμα</w:t>
            </w:r>
          </w:p>
        </w:tc>
        <w:tc>
          <w:tcPr>
            <w:tcW w:w="720" w:type="dxa"/>
          </w:tcPr>
          <w:p w:rsidR="009F5731" w:rsidRDefault="009F5731">
            <w:pPr>
              <w:ind w:right="-29"/>
              <w:jc w:val="center"/>
              <w:rPr>
                <w:noProof/>
                <w:sz w:val="18"/>
                <w:szCs w:val="18"/>
              </w:rPr>
            </w:pPr>
          </w:p>
        </w:tc>
        <w:tc>
          <w:tcPr>
            <w:tcW w:w="701" w:type="dxa"/>
          </w:tcPr>
          <w:p w:rsidR="009F5731" w:rsidRDefault="009F5731">
            <w:pPr>
              <w:ind w:right="-29"/>
              <w:jc w:val="center"/>
              <w:rPr>
                <w:noProof/>
                <w:sz w:val="18"/>
                <w:szCs w:val="18"/>
              </w:rPr>
            </w:pPr>
          </w:p>
        </w:tc>
        <w:tc>
          <w:tcPr>
            <w:tcW w:w="504"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540"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720"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900" w:type="dxa"/>
            <w:tcBorders>
              <w:right w:val="dashSmallGap" w:sz="4" w:space="0" w:color="auto"/>
            </w:tcBorders>
          </w:tcPr>
          <w:p w:rsidR="009F5731" w:rsidRDefault="009F5731">
            <w:pPr>
              <w:ind w:right="-29"/>
              <w:jc w:val="center"/>
              <w:rPr>
                <w:noProof/>
                <w:sz w:val="18"/>
                <w:szCs w:val="18"/>
              </w:rPr>
            </w:pPr>
          </w:p>
        </w:tc>
        <w:tc>
          <w:tcPr>
            <w:tcW w:w="720" w:type="dxa"/>
            <w:gridSpan w:val="2"/>
            <w:tcBorders>
              <w:left w:val="dashSmallGap" w:sz="4" w:space="0" w:color="auto"/>
            </w:tcBorders>
          </w:tcPr>
          <w:p w:rsidR="009F5731" w:rsidRDefault="009F5731">
            <w:pPr>
              <w:ind w:right="-29"/>
              <w:jc w:val="center"/>
              <w:rPr>
                <w:noProof/>
                <w:sz w:val="18"/>
                <w:szCs w:val="18"/>
              </w:rPr>
            </w:pPr>
          </w:p>
        </w:tc>
        <w:tc>
          <w:tcPr>
            <w:tcW w:w="540" w:type="dxa"/>
            <w:tcBorders>
              <w:right w:val="dashSmallGap" w:sz="4" w:space="0" w:color="auto"/>
            </w:tcBorders>
          </w:tcPr>
          <w:p w:rsidR="009F5731" w:rsidRDefault="009F5731">
            <w:pPr>
              <w:ind w:right="-29"/>
              <w:jc w:val="center"/>
              <w:rPr>
                <w:noProof/>
                <w:sz w:val="18"/>
                <w:szCs w:val="18"/>
              </w:rPr>
            </w:pPr>
          </w:p>
        </w:tc>
        <w:tc>
          <w:tcPr>
            <w:tcW w:w="648" w:type="dxa"/>
            <w:tcBorders>
              <w:left w:val="dashSmallGap" w:sz="4" w:space="0" w:color="auto"/>
            </w:tcBorders>
          </w:tcPr>
          <w:p w:rsidR="009F5731" w:rsidRDefault="009F5731">
            <w:pPr>
              <w:ind w:right="-29"/>
              <w:jc w:val="center"/>
              <w:rPr>
                <w:noProof/>
                <w:sz w:val="18"/>
                <w:szCs w:val="18"/>
              </w:rPr>
            </w:pPr>
          </w:p>
        </w:tc>
        <w:tc>
          <w:tcPr>
            <w:tcW w:w="432"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540" w:type="dxa"/>
            <w:tcBorders>
              <w:right w:val="dashSmallGap" w:sz="4" w:space="0" w:color="auto"/>
            </w:tcBorders>
          </w:tcPr>
          <w:p w:rsidR="009F5731" w:rsidRDefault="009F5731">
            <w:pPr>
              <w:ind w:right="-29"/>
              <w:jc w:val="center"/>
              <w:rPr>
                <w:noProof/>
                <w:sz w:val="18"/>
                <w:szCs w:val="18"/>
              </w:rPr>
            </w:pPr>
          </w:p>
        </w:tc>
        <w:tc>
          <w:tcPr>
            <w:tcW w:w="720" w:type="dxa"/>
            <w:tcBorders>
              <w:left w:val="dashSmallGap" w:sz="4" w:space="0" w:color="auto"/>
            </w:tcBorders>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900" w:type="dxa"/>
          </w:tcPr>
          <w:p w:rsidR="009F5731" w:rsidRDefault="009F5731">
            <w:pPr>
              <w:ind w:right="-29"/>
              <w:jc w:val="center"/>
              <w:rPr>
                <w:noProof/>
                <w:sz w:val="18"/>
                <w:szCs w:val="18"/>
              </w:rPr>
            </w:pPr>
          </w:p>
        </w:tc>
      </w:tr>
      <w:tr w:rsidR="009F5731">
        <w:trPr>
          <w:trHeight w:hRule="exact" w:val="369"/>
          <w:jc w:val="center"/>
        </w:trPr>
        <w:tc>
          <w:tcPr>
            <w:tcW w:w="1423" w:type="dxa"/>
          </w:tcPr>
          <w:p w:rsidR="009F5731" w:rsidRDefault="005C2A57">
            <w:pPr>
              <w:ind w:right="-29"/>
              <w:jc w:val="center"/>
              <w:rPr>
                <w:noProof/>
                <w:sz w:val="18"/>
                <w:szCs w:val="18"/>
              </w:rPr>
            </w:pPr>
            <w:r>
              <w:rPr>
                <w:noProof/>
                <w:sz w:val="18"/>
              </w:rPr>
              <w:t>- Αποτέλεσμα</w:t>
            </w:r>
          </w:p>
        </w:tc>
        <w:tc>
          <w:tcPr>
            <w:tcW w:w="720" w:type="dxa"/>
          </w:tcPr>
          <w:p w:rsidR="009F5731" w:rsidRDefault="009F5731">
            <w:pPr>
              <w:ind w:right="-29"/>
              <w:jc w:val="center"/>
              <w:rPr>
                <w:noProof/>
                <w:sz w:val="18"/>
                <w:szCs w:val="18"/>
              </w:rPr>
            </w:pPr>
          </w:p>
        </w:tc>
        <w:tc>
          <w:tcPr>
            <w:tcW w:w="701" w:type="dxa"/>
          </w:tcPr>
          <w:p w:rsidR="009F5731" w:rsidRDefault="009F5731">
            <w:pPr>
              <w:ind w:right="-29"/>
              <w:jc w:val="center"/>
              <w:rPr>
                <w:noProof/>
                <w:sz w:val="18"/>
                <w:szCs w:val="18"/>
              </w:rPr>
            </w:pPr>
          </w:p>
        </w:tc>
        <w:tc>
          <w:tcPr>
            <w:tcW w:w="504"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54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900" w:type="dxa"/>
          </w:tcPr>
          <w:p w:rsidR="009F5731" w:rsidRDefault="009F5731">
            <w:pPr>
              <w:ind w:right="-29"/>
              <w:jc w:val="center"/>
              <w:rPr>
                <w:noProof/>
                <w:sz w:val="18"/>
                <w:szCs w:val="18"/>
              </w:rPr>
            </w:pPr>
          </w:p>
        </w:tc>
        <w:tc>
          <w:tcPr>
            <w:tcW w:w="720" w:type="dxa"/>
            <w:gridSpan w:val="2"/>
          </w:tcPr>
          <w:p w:rsidR="009F5731" w:rsidRDefault="009F5731">
            <w:pPr>
              <w:ind w:right="-29"/>
              <w:jc w:val="center"/>
              <w:rPr>
                <w:noProof/>
                <w:sz w:val="18"/>
                <w:szCs w:val="18"/>
              </w:rPr>
            </w:pPr>
          </w:p>
        </w:tc>
        <w:tc>
          <w:tcPr>
            <w:tcW w:w="540" w:type="dxa"/>
          </w:tcPr>
          <w:p w:rsidR="009F5731" w:rsidRDefault="009F5731">
            <w:pPr>
              <w:ind w:right="-29"/>
              <w:jc w:val="center"/>
              <w:rPr>
                <w:noProof/>
                <w:sz w:val="18"/>
                <w:szCs w:val="18"/>
              </w:rPr>
            </w:pPr>
          </w:p>
        </w:tc>
        <w:tc>
          <w:tcPr>
            <w:tcW w:w="648" w:type="dxa"/>
          </w:tcPr>
          <w:p w:rsidR="009F5731" w:rsidRDefault="009F5731">
            <w:pPr>
              <w:ind w:right="-29"/>
              <w:jc w:val="center"/>
              <w:rPr>
                <w:noProof/>
                <w:sz w:val="18"/>
                <w:szCs w:val="18"/>
              </w:rPr>
            </w:pPr>
          </w:p>
        </w:tc>
        <w:tc>
          <w:tcPr>
            <w:tcW w:w="432"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54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900" w:type="dxa"/>
          </w:tcPr>
          <w:p w:rsidR="009F5731" w:rsidRDefault="009F5731">
            <w:pPr>
              <w:ind w:right="-29"/>
              <w:jc w:val="center"/>
              <w:rPr>
                <w:noProof/>
                <w:sz w:val="18"/>
                <w:szCs w:val="18"/>
              </w:rPr>
            </w:pPr>
          </w:p>
        </w:tc>
      </w:tr>
      <w:tr w:rsidR="009F5731">
        <w:trPr>
          <w:trHeight w:val="77"/>
          <w:jc w:val="center"/>
        </w:trPr>
        <w:tc>
          <w:tcPr>
            <w:tcW w:w="2844" w:type="dxa"/>
            <w:gridSpan w:val="3"/>
            <w:tcBorders>
              <w:bottom w:val="single" w:sz="12" w:space="0" w:color="auto"/>
            </w:tcBorders>
            <w:vAlign w:val="center"/>
          </w:tcPr>
          <w:p w:rsidR="009F5731" w:rsidRDefault="005C2A57">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54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900" w:type="dxa"/>
            <w:tcBorders>
              <w:bottom w:val="single" w:sz="12" w:space="0" w:color="auto"/>
            </w:tcBorders>
          </w:tcPr>
          <w:p w:rsidR="009F5731" w:rsidRDefault="009F5731">
            <w:pPr>
              <w:ind w:right="-29"/>
              <w:jc w:val="center"/>
              <w:rPr>
                <w:noProof/>
                <w:sz w:val="18"/>
                <w:szCs w:val="18"/>
              </w:rPr>
            </w:pPr>
          </w:p>
        </w:tc>
        <w:tc>
          <w:tcPr>
            <w:tcW w:w="720" w:type="dxa"/>
            <w:gridSpan w:val="2"/>
            <w:tcBorders>
              <w:bottom w:val="single" w:sz="12" w:space="0" w:color="auto"/>
            </w:tcBorders>
          </w:tcPr>
          <w:p w:rsidR="009F5731" w:rsidRDefault="009F5731">
            <w:pPr>
              <w:ind w:right="-29"/>
              <w:jc w:val="center"/>
              <w:rPr>
                <w:noProof/>
                <w:sz w:val="18"/>
                <w:szCs w:val="18"/>
              </w:rPr>
            </w:pPr>
          </w:p>
        </w:tc>
        <w:tc>
          <w:tcPr>
            <w:tcW w:w="540" w:type="dxa"/>
            <w:tcBorders>
              <w:bottom w:val="single" w:sz="12" w:space="0" w:color="auto"/>
            </w:tcBorders>
          </w:tcPr>
          <w:p w:rsidR="009F5731" w:rsidRDefault="009F5731">
            <w:pPr>
              <w:ind w:right="-29"/>
              <w:jc w:val="center"/>
              <w:rPr>
                <w:noProof/>
                <w:sz w:val="18"/>
                <w:szCs w:val="18"/>
              </w:rPr>
            </w:pPr>
          </w:p>
        </w:tc>
        <w:tc>
          <w:tcPr>
            <w:tcW w:w="648" w:type="dxa"/>
            <w:tcBorders>
              <w:bottom w:val="single" w:sz="12" w:space="0" w:color="auto"/>
            </w:tcBorders>
          </w:tcPr>
          <w:p w:rsidR="009F5731" w:rsidRDefault="009F5731">
            <w:pPr>
              <w:ind w:right="-29"/>
              <w:jc w:val="center"/>
              <w:rPr>
                <w:noProof/>
                <w:sz w:val="18"/>
                <w:szCs w:val="18"/>
              </w:rPr>
            </w:pPr>
          </w:p>
        </w:tc>
        <w:tc>
          <w:tcPr>
            <w:tcW w:w="432"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54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900" w:type="dxa"/>
            <w:tcBorders>
              <w:bottom w:val="single" w:sz="12" w:space="0" w:color="auto"/>
            </w:tcBorders>
          </w:tcPr>
          <w:p w:rsidR="009F5731" w:rsidRDefault="009F5731">
            <w:pPr>
              <w:ind w:right="-29"/>
              <w:jc w:val="center"/>
              <w:rPr>
                <w:noProof/>
                <w:sz w:val="18"/>
                <w:szCs w:val="18"/>
              </w:rPr>
            </w:pPr>
          </w:p>
        </w:tc>
      </w:tr>
      <w:tr w:rsidR="009F5731">
        <w:trPr>
          <w:jc w:val="center"/>
        </w:trPr>
        <w:tc>
          <w:tcPr>
            <w:tcW w:w="2844" w:type="dxa"/>
            <w:gridSpan w:val="3"/>
            <w:vAlign w:val="center"/>
          </w:tcPr>
          <w:p w:rsidR="009F5731" w:rsidRDefault="005C2A57">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54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90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gridSpan w:val="2"/>
            <w:tcBorders>
              <w:top w:val="nil"/>
              <w:left w:val="nil"/>
              <w:bottom w:val="nil"/>
              <w:right w:val="nil"/>
            </w:tcBorders>
          </w:tcPr>
          <w:p w:rsidR="009F5731" w:rsidRDefault="009F5731">
            <w:pPr>
              <w:spacing w:before="60" w:after="60"/>
              <w:ind w:right="-29"/>
              <w:jc w:val="center"/>
              <w:rPr>
                <w:noProof/>
                <w:sz w:val="18"/>
                <w:szCs w:val="18"/>
              </w:rPr>
            </w:pPr>
          </w:p>
        </w:tc>
        <w:tc>
          <w:tcPr>
            <w:tcW w:w="540" w:type="dxa"/>
            <w:tcBorders>
              <w:top w:val="nil"/>
              <w:left w:val="nil"/>
              <w:bottom w:val="nil"/>
              <w:right w:val="nil"/>
            </w:tcBorders>
          </w:tcPr>
          <w:p w:rsidR="009F5731" w:rsidRDefault="009F5731">
            <w:pPr>
              <w:spacing w:before="60" w:after="60"/>
              <w:ind w:right="-29"/>
              <w:jc w:val="center"/>
              <w:rPr>
                <w:noProof/>
                <w:sz w:val="18"/>
                <w:szCs w:val="18"/>
              </w:rPr>
            </w:pPr>
          </w:p>
        </w:tc>
        <w:tc>
          <w:tcPr>
            <w:tcW w:w="648" w:type="dxa"/>
            <w:tcBorders>
              <w:top w:val="nil"/>
              <w:left w:val="nil"/>
              <w:bottom w:val="nil"/>
              <w:right w:val="nil"/>
            </w:tcBorders>
          </w:tcPr>
          <w:p w:rsidR="009F5731" w:rsidRDefault="009F5731">
            <w:pPr>
              <w:spacing w:before="60" w:after="60"/>
              <w:ind w:right="-29"/>
              <w:jc w:val="center"/>
              <w:rPr>
                <w:noProof/>
                <w:sz w:val="18"/>
                <w:szCs w:val="18"/>
              </w:rPr>
            </w:pPr>
          </w:p>
        </w:tc>
        <w:tc>
          <w:tcPr>
            <w:tcW w:w="432"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54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720" w:type="dxa"/>
            <w:tcBorders>
              <w:top w:val="nil"/>
              <w:left w:val="nil"/>
              <w:bottom w:val="nil"/>
              <w:right w:val="nil"/>
            </w:tcBorders>
          </w:tcPr>
          <w:p w:rsidR="009F5731" w:rsidRDefault="009F5731">
            <w:pPr>
              <w:spacing w:before="60" w:after="60"/>
              <w:ind w:right="-29"/>
              <w:jc w:val="center"/>
              <w:rPr>
                <w:noProof/>
                <w:sz w:val="18"/>
                <w:szCs w:val="18"/>
              </w:rPr>
            </w:pPr>
          </w:p>
        </w:tc>
        <w:tc>
          <w:tcPr>
            <w:tcW w:w="900" w:type="dxa"/>
            <w:tcBorders>
              <w:top w:val="nil"/>
              <w:left w:val="nil"/>
              <w:bottom w:val="nil"/>
              <w:right w:val="nil"/>
            </w:tcBorders>
          </w:tcPr>
          <w:p w:rsidR="009F5731" w:rsidRDefault="009F5731">
            <w:pPr>
              <w:spacing w:before="60" w:after="60"/>
              <w:ind w:right="-29"/>
              <w:jc w:val="center"/>
              <w:rPr>
                <w:noProof/>
                <w:sz w:val="18"/>
                <w:szCs w:val="18"/>
              </w:rPr>
            </w:pPr>
          </w:p>
        </w:tc>
      </w:tr>
      <w:tr w:rsidR="009F5731">
        <w:trPr>
          <w:trHeight w:hRule="exact" w:val="369"/>
          <w:jc w:val="center"/>
        </w:trPr>
        <w:tc>
          <w:tcPr>
            <w:tcW w:w="1423" w:type="dxa"/>
          </w:tcPr>
          <w:p w:rsidR="009F5731" w:rsidRDefault="005C2A57">
            <w:pPr>
              <w:ind w:right="-29"/>
              <w:jc w:val="center"/>
              <w:rPr>
                <w:noProof/>
                <w:sz w:val="18"/>
                <w:szCs w:val="18"/>
              </w:rPr>
            </w:pPr>
            <w:r>
              <w:rPr>
                <w:noProof/>
                <w:sz w:val="18"/>
              </w:rPr>
              <w:t>- Αποτέλεσμα</w:t>
            </w:r>
          </w:p>
        </w:tc>
        <w:tc>
          <w:tcPr>
            <w:tcW w:w="720" w:type="dxa"/>
          </w:tcPr>
          <w:p w:rsidR="009F5731" w:rsidRDefault="009F5731">
            <w:pPr>
              <w:ind w:right="-29"/>
              <w:jc w:val="center"/>
              <w:rPr>
                <w:noProof/>
                <w:sz w:val="18"/>
                <w:szCs w:val="18"/>
              </w:rPr>
            </w:pPr>
          </w:p>
        </w:tc>
        <w:tc>
          <w:tcPr>
            <w:tcW w:w="701" w:type="dxa"/>
          </w:tcPr>
          <w:p w:rsidR="009F5731" w:rsidRDefault="009F5731">
            <w:pPr>
              <w:ind w:right="-29"/>
              <w:jc w:val="center"/>
              <w:rPr>
                <w:noProof/>
                <w:sz w:val="18"/>
                <w:szCs w:val="18"/>
              </w:rPr>
            </w:pPr>
          </w:p>
        </w:tc>
        <w:tc>
          <w:tcPr>
            <w:tcW w:w="504"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54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900" w:type="dxa"/>
          </w:tcPr>
          <w:p w:rsidR="009F5731" w:rsidRDefault="009F5731">
            <w:pPr>
              <w:ind w:right="-29"/>
              <w:jc w:val="center"/>
              <w:rPr>
                <w:noProof/>
                <w:sz w:val="18"/>
                <w:szCs w:val="18"/>
              </w:rPr>
            </w:pPr>
          </w:p>
        </w:tc>
        <w:tc>
          <w:tcPr>
            <w:tcW w:w="720" w:type="dxa"/>
            <w:gridSpan w:val="2"/>
          </w:tcPr>
          <w:p w:rsidR="009F5731" w:rsidRDefault="009F5731">
            <w:pPr>
              <w:ind w:right="-29"/>
              <w:jc w:val="center"/>
              <w:rPr>
                <w:noProof/>
                <w:sz w:val="18"/>
                <w:szCs w:val="18"/>
              </w:rPr>
            </w:pPr>
          </w:p>
        </w:tc>
        <w:tc>
          <w:tcPr>
            <w:tcW w:w="540" w:type="dxa"/>
          </w:tcPr>
          <w:p w:rsidR="009F5731" w:rsidRDefault="009F5731">
            <w:pPr>
              <w:ind w:right="-29"/>
              <w:jc w:val="center"/>
              <w:rPr>
                <w:noProof/>
                <w:sz w:val="18"/>
                <w:szCs w:val="18"/>
              </w:rPr>
            </w:pPr>
          </w:p>
        </w:tc>
        <w:tc>
          <w:tcPr>
            <w:tcW w:w="648" w:type="dxa"/>
          </w:tcPr>
          <w:p w:rsidR="009F5731" w:rsidRDefault="009F5731">
            <w:pPr>
              <w:ind w:right="-29"/>
              <w:jc w:val="center"/>
              <w:rPr>
                <w:noProof/>
                <w:sz w:val="18"/>
                <w:szCs w:val="18"/>
              </w:rPr>
            </w:pPr>
          </w:p>
        </w:tc>
        <w:tc>
          <w:tcPr>
            <w:tcW w:w="432"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54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720" w:type="dxa"/>
          </w:tcPr>
          <w:p w:rsidR="009F5731" w:rsidRDefault="009F5731">
            <w:pPr>
              <w:ind w:right="-29"/>
              <w:jc w:val="center"/>
              <w:rPr>
                <w:noProof/>
                <w:sz w:val="18"/>
                <w:szCs w:val="18"/>
              </w:rPr>
            </w:pPr>
          </w:p>
        </w:tc>
        <w:tc>
          <w:tcPr>
            <w:tcW w:w="900" w:type="dxa"/>
          </w:tcPr>
          <w:p w:rsidR="009F5731" w:rsidRDefault="009F5731">
            <w:pPr>
              <w:ind w:right="-29"/>
              <w:jc w:val="center"/>
              <w:rPr>
                <w:noProof/>
                <w:sz w:val="18"/>
                <w:szCs w:val="18"/>
              </w:rPr>
            </w:pPr>
          </w:p>
        </w:tc>
      </w:tr>
      <w:tr w:rsidR="009F5731">
        <w:trPr>
          <w:jc w:val="center"/>
        </w:trPr>
        <w:tc>
          <w:tcPr>
            <w:tcW w:w="2844" w:type="dxa"/>
            <w:gridSpan w:val="3"/>
            <w:tcBorders>
              <w:bottom w:val="single" w:sz="12" w:space="0" w:color="auto"/>
            </w:tcBorders>
            <w:vAlign w:val="center"/>
          </w:tcPr>
          <w:p w:rsidR="009F5731" w:rsidRDefault="005C2A57">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54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951" w:type="dxa"/>
            <w:gridSpan w:val="2"/>
            <w:tcBorders>
              <w:bottom w:val="single" w:sz="12" w:space="0" w:color="auto"/>
            </w:tcBorders>
          </w:tcPr>
          <w:p w:rsidR="009F5731" w:rsidRDefault="009F5731">
            <w:pPr>
              <w:ind w:right="-29"/>
              <w:jc w:val="center"/>
              <w:rPr>
                <w:noProof/>
                <w:sz w:val="18"/>
                <w:szCs w:val="18"/>
              </w:rPr>
            </w:pPr>
          </w:p>
        </w:tc>
        <w:tc>
          <w:tcPr>
            <w:tcW w:w="669" w:type="dxa"/>
            <w:tcBorders>
              <w:bottom w:val="single" w:sz="12" w:space="0" w:color="auto"/>
            </w:tcBorders>
          </w:tcPr>
          <w:p w:rsidR="009F5731" w:rsidRDefault="009F5731">
            <w:pPr>
              <w:ind w:right="-29"/>
              <w:jc w:val="center"/>
              <w:rPr>
                <w:noProof/>
                <w:sz w:val="18"/>
                <w:szCs w:val="18"/>
              </w:rPr>
            </w:pPr>
          </w:p>
        </w:tc>
        <w:tc>
          <w:tcPr>
            <w:tcW w:w="540" w:type="dxa"/>
            <w:tcBorders>
              <w:bottom w:val="single" w:sz="12" w:space="0" w:color="auto"/>
            </w:tcBorders>
          </w:tcPr>
          <w:p w:rsidR="009F5731" w:rsidRDefault="009F5731">
            <w:pPr>
              <w:ind w:right="-29"/>
              <w:jc w:val="center"/>
              <w:rPr>
                <w:noProof/>
                <w:sz w:val="18"/>
                <w:szCs w:val="18"/>
              </w:rPr>
            </w:pPr>
          </w:p>
        </w:tc>
        <w:tc>
          <w:tcPr>
            <w:tcW w:w="648" w:type="dxa"/>
            <w:tcBorders>
              <w:bottom w:val="single" w:sz="12" w:space="0" w:color="auto"/>
            </w:tcBorders>
          </w:tcPr>
          <w:p w:rsidR="009F5731" w:rsidRDefault="009F5731">
            <w:pPr>
              <w:ind w:right="-29"/>
              <w:jc w:val="center"/>
              <w:rPr>
                <w:noProof/>
                <w:sz w:val="18"/>
                <w:szCs w:val="18"/>
              </w:rPr>
            </w:pPr>
          </w:p>
        </w:tc>
        <w:tc>
          <w:tcPr>
            <w:tcW w:w="432"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54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720" w:type="dxa"/>
            <w:tcBorders>
              <w:bottom w:val="single" w:sz="12" w:space="0" w:color="auto"/>
            </w:tcBorders>
          </w:tcPr>
          <w:p w:rsidR="009F5731" w:rsidRDefault="009F5731">
            <w:pPr>
              <w:ind w:right="-29"/>
              <w:jc w:val="center"/>
              <w:rPr>
                <w:noProof/>
                <w:sz w:val="18"/>
                <w:szCs w:val="18"/>
              </w:rPr>
            </w:pPr>
          </w:p>
        </w:tc>
        <w:tc>
          <w:tcPr>
            <w:tcW w:w="900" w:type="dxa"/>
            <w:tcBorders>
              <w:bottom w:val="single" w:sz="12" w:space="0" w:color="auto"/>
            </w:tcBorders>
          </w:tcPr>
          <w:p w:rsidR="009F5731" w:rsidRDefault="009F5731">
            <w:pPr>
              <w:ind w:right="-29"/>
              <w:jc w:val="center"/>
              <w:rPr>
                <w:noProof/>
                <w:sz w:val="18"/>
                <w:szCs w:val="18"/>
              </w:rPr>
            </w:pPr>
          </w:p>
        </w:tc>
      </w:tr>
      <w:tr w:rsidR="009F5731">
        <w:trPr>
          <w:jc w:val="center"/>
        </w:trPr>
        <w:tc>
          <w:tcPr>
            <w:tcW w:w="2844" w:type="dxa"/>
            <w:gridSpan w:val="3"/>
            <w:tcBorders>
              <w:top w:val="single" w:sz="12" w:space="0" w:color="auto"/>
              <w:left w:val="single" w:sz="12" w:space="0" w:color="auto"/>
              <w:bottom w:val="single" w:sz="12" w:space="0" w:color="auto"/>
            </w:tcBorders>
            <w:vAlign w:val="center"/>
          </w:tcPr>
          <w:p w:rsidR="009F5731" w:rsidRDefault="005C2A57">
            <w:pPr>
              <w:ind w:right="-29"/>
              <w:jc w:val="center"/>
              <w:rPr>
                <w:noProof/>
                <w:sz w:val="18"/>
                <w:szCs w:val="18"/>
              </w:rPr>
            </w:pPr>
            <w:r>
              <w:rPr>
                <w:b/>
                <w:noProof/>
                <w:sz w:val="18"/>
              </w:rPr>
              <w:t>ΣΥΝΟΛΑ</w:t>
            </w:r>
          </w:p>
        </w:tc>
        <w:tc>
          <w:tcPr>
            <w:tcW w:w="504"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72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54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72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72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72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90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54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648"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432"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72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54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72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720" w:type="dxa"/>
            <w:tcBorders>
              <w:top w:val="single" w:sz="12" w:space="0" w:color="auto"/>
              <w:bottom w:val="single" w:sz="12" w:space="0" w:color="auto"/>
            </w:tcBorders>
          </w:tcPr>
          <w:p w:rsidR="009F5731" w:rsidRDefault="009F5731">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F5731" w:rsidRDefault="009F5731">
            <w:pPr>
              <w:spacing w:before="180" w:after="180"/>
              <w:ind w:right="-29"/>
              <w:jc w:val="center"/>
              <w:rPr>
                <w:noProof/>
                <w:sz w:val="18"/>
                <w:szCs w:val="18"/>
              </w:rPr>
            </w:pPr>
          </w:p>
        </w:tc>
      </w:tr>
    </w:tbl>
    <w:p w:rsidR="009F5731" w:rsidRDefault="009F5731">
      <w:pPr>
        <w:rPr>
          <w:noProof/>
        </w:rPr>
        <w:sectPr w:rsidR="009F5731">
          <w:headerReference w:type="default" r:id="rId17"/>
          <w:footerReference w:type="default" r:id="rId18"/>
          <w:headerReference w:type="first" r:id="rId19"/>
          <w:footerReference w:type="first" r:id="rId20"/>
          <w:pgSz w:w="16840" w:h="11907" w:orient="landscape" w:code="9"/>
          <w:pgMar w:top="1134" w:right="1418" w:bottom="567" w:left="1418" w:header="709" w:footer="709" w:gutter="0"/>
          <w:cols w:space="708"/>
          <w:docGrid w:linePitch="360"/>
        </w:sectPr>
      </w:pPr>
    </w:p>
    <w:p w:rsidR="009F5731" w:rsidRDefault="005C2A57">
      <w:pPr>
        <w:pStyle w:val="ManualHeading3"/>
        <w:rPr>
          <w:bCs/>
          <w:noProof/>
          <w:szCs w:val="24"/>
        </w:rPr>
      </w:pPr>
      <w:bookmarkStart w:id="47" w:name="_Toc514938055"/>
      <w:bookmarkStart w:id="48" w:name="_Toc520485054"/>
      <w:r>
        <w:t>3.2.3.</w:t>
      </w:r>
      <w:r>
        <w:tab/>
      </w:r>
      <w:r>
        <w:rPr>
          <w:noProof/>
        </w:rPr>
        <w:t>Συνοπτική παρουσίαση των εκτιμώμενων επιπτώσεων στις διοικητικές πιστώσεις</w:t>
      </w:r>
      <w:bookmarkEnd w:id="47"/>
      <w:bookmarkEnd w:id="48"/>
      <w:r>
        <w:rPr>
          <w:noProof/>
        </w:rPr>
        <w:t xml:space="preserve"> </w:t>
      </w:r>
    </w:p>
    <w:p w:rsidR="009F5731" w:rsidRDefault="005C2A57">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rsidR="009F5731" w:rsidRDefault="005C2A57">
      <w:pPr>
        <w:pStyle w:val="ListDash1"/>
        <w:rPr>
          <w:noProof/>
        </w:rPr>
      </w:pPr>
      <w:r>
        <w:rPr>
          <w:noProof/>
        </w:rPr>
        <w:sym w:font="Wingdings" w:char="F0A8"/>
      </w:r>
      <w:r>
        <w:rPr>
          <w:noProof/>
        </w:rPr>
        <w:tab/>
        <w:t xml:space="preserve">Η </w:t>
      </w:r>
      <w:r>
        <w:rPr>
          <w:noProof/>
        </w:rPr>
        <w:t>πρόταση/πρωτοβουλία συνεπάγεται τη χρησιμοποίηση πιστώσεων διοικητικού χαρακτήρα, όπως εξηγείται κατωτέρω:</w:t>
      </w:r>
    </w:p>
    <w:p w:rsidR="009F5731" w:rsidRDefault="005C2A57">
      <w:pPr>
        <w:jc w:val="right"/>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9F5731">
        <w:trPr>
          <w:trHeight w:val="585"/>
        </w:trPr>
        <w:tc>
          <w:tcPr>
            <w:tcW w:w="1980" w:type="dxa"/>
          </w:tcPr>
          <w:p w:rsidR="009F5731" w:rsidRDefault="009F5731">
            <w:pPr>
              <w:spacing w:before="60" w:after="60" w:line="200" w:lineRule="exact"/>
              <w:rPr>
                <w:noProof/>
                <w:sz w:val="16"/>
                <w:szCs w:val="16"/>
              </w:rPr>
            </w:pPr>
          </w:p>
        </w:tc>
        <w:tc>
          <w:tcPr>
            <w:tcW w:w="1080" w:type="dxa"/>
            <w:vAlign w:val="center"/>
          </w:tcPr>
          <w:p w:rsidR="009F5731" w:rsidRDefault="005C2A57">
            <w:pPr>
              <w:spacing w:before="60" w:after="60" w:line="200" w:lineRule="exact"/>
              <w:jc w:val="center"/>
              <w:rPr>
                <w:noProof/>
                <w:sz w:val="16"/>
                <w:szCs w:val="16"/>
              </w:rPr>
            </w:pPr>
            <w:r>
              <w:rPr>
                <w:noProof/>
                <w:sz w:val="16"/>
              </w:rPr>
              <w:t>Έτος</w:t>
            </w:r>
            <w:r>
              <w:rPr>
                <w:noProof/>
                <w:sz w:val="22"/>
              </w:rPr>
              <w:br/>
            </w:r>
            <w:r>
              <w:rPr>
                <w:b/>
                <w:noProof/>
                <w:sz w:val="16"/>
              </w:rPr>
              <w:t>N</w:t>
            </w:r>
            <w:r>
              <w:rPr>
                <w:rStyle w:val="FootnoteReference"/>
                <w:b/>
                <w:noProof/>
                <w:sz w:val="16"/>
              </w:rPr>
              <w:footnoteReference w:id="16"/>
            </w:r>
          </w:p>
        </w:tc>
        <w:tc>
          <w:tcPr>
            <w:tcW w:w="1080" w:type="dxa"/>
            <w:vAlign w:val="center"/>
          </w:tcPr>
          <w:p w:rsidR="009F5731" w:rsidRDefault="005C2A57">
            <w:pPr>
              <w:spacing w:before="60" w:after="60" w:line="200" w:lineRule="exact"/>
              <w:jc w:val="center"/>
              <w:rPr>
                <w:noProof/>
                <w:sz w:val="16"/>
                <w:szCs w:val="16"/>
              </w:rPr>
            </w:pPr>
            <w:r>
              <w:rPr>
                <w:noProof/>
                <w:sz w:val="16"/>
              </w:rPr>
              <w:t>Έτος</w:t>
            </w:r>
            <w:r>
              <w:rPr>
                <w:noProof/>
                <w:sz w:val="22"/>
              </w:rPr>
              <w:br/>
            </w:r>
            <w:r>
              <w:rPr>
                <w:b/>
                <w:noProof/>
                <w:sz w:val="16"/>
              </w:rPr>
              <w:t>N+1</w:t>
            </w:r>
          </w:p>
        </w:tc>
        <w:tc>
          <w:tcPr>
            <w:tcW w:w="1080" w:type="dxa"/>
            <w:vAlign w:val="center"/>
          </w:tcPr>
          <w:p w:rsidR="009F5731" w:rsidRDefault="005C2A57">
            <w:pPr>
              <w:spacing w:before="60" w:after="60" w:line="200" w:lineRule="exact"/>
              <w:jc w:val="center"/>
              <w:rPr>
                <w:noProof/>
                <w:sz w:val="16"/>
                <w:szCs w:val="16"/>
              </w:rPr>
            </w:pPr>
            <w:r>
              <w:rPr>
                <w:noProof/>
                <w:sz w:val="16"/>
              </w:rPr>
              <w:t>Έτος</w:t>
            </w:r>
            <w:r>
              <w:rPr>
                <w:noProof/>
                <w:sz w:val="22"/>
              </w:rPr>
              <w:br/>
            </w:r>
            <w:r>
              <w:rPr>
                <w:b/>
                <w:noProof/>
                <w:sz w:val="16"/>
              </w:rPr>
              <w:t>N+2</w:t>
            </w:r>
          </w:p>
        </w:tc>
        <w:tc>
          <w:tcPr>
            <w:tcW w:w="1080" w:type="dxa"/>
            <w:vAlign w:val="center"/>
          </w:tcPr>
          <w:p w:rsidR="009F5731" w:rsidRDefault="005C2A57">
            <w:pPr>
              <w:spacing w:before="60" w:after="60" w:line="200" w:lineRule="exact"/>
              <w:jc w:val="center"/>
              <w:rPr>
                <w:noProof/>
                <w:sz w:val="16"/>
                <w:szCs w:val="16"/>
              </w:rPr>
            </w:pPr>
            <w:r>
              <w:rPr>
                <w:noProof/>
                <w:sz w:val="16"/>
              </w:rPr>
              <w:t>Έτος</w:t>
            </w:r>
            <w:r>
              <w:rPr>
                <w:noProof/>
                <w:sz w:val="22"/>
              </w:rPr>
              <w:br/>
            </w:r>
            <w:r>
              <w:rPr>
                <w:b/>
                <w:noProof/>
                <w:sz w:val="16"/>
              </w:rPr>
              <w:t>N+3</w:t>
            </w:r>
          </w:p>
        </w:tc>
        <w:tc>
          <w:tcPr>
            <w:tcW w:w="3240" w:type="dxa"/>
            <w:vAlign w:val="center"/>
          </w:tcPr>
          <w:p w:rsidR="009F5731" w:rsidRDefault="005C2A57">
            <w:pPr>
              <w:spacing w:line="200" w:lineRule="exact"/>
              <w:jc w:val="center"/>
              <w:rPr>
                <w:b/>
                <w:noProof/>
                <w:sz w:val="16"/>
                <w:szCs w:val="16"/>
              </w:rPr>
            </w:pPr>
            <w:r>
              <w:rPr>
                <w:noProof/>
                <w:sz w:val="16"/>
              </w:rPr>
              <w:t xml:space="preserve">Να εγγραφούν όσα έτη απαιτούνται, ώστε να φαίνεται η διάρκεια των </w:t>
            </w:r>
            <w:r>
              <w:rPr>
                <w:noProof/>
                <w:sz w:val="16"/>
              </w:rPr>
              <w:t>επιπτώσεων (βλ. σημείο 1.6)</w:t>
            </w:r>
          </w:p>
        </w:tc>
        <w:tc>
          <w:tcPr>
            <w:tcW w:w="1080" w:type="dxa"/>
            <w:vAlign w:val="center"/>
          </w:tcPr>
          <w:p w:rsidR="009F5731" w:rsidRDefault="005C2A57">
            <w:pPr>
              <w:spacing w:before="60" w:after="60" w:line="200" w:lineRule="exact"/>
              <w:jc w:val="center"/>
              <w:rPr>
                <w:b/>
                <w:noProof/>
                <w:sz w:val="16"/>
                <w:szCs w:val="16"/>
              </w:rPr>
            </w:pPr>
            <w:r>
              <w:rPr>
                <w:b/>
                <w:noProof/>
                <w:sz w:val="16"/>
              </w:rPr>
              <w:t>ΣΥΝΟΛΟ</w:t>
            </w:r>
          </w:p>
        </w:tc>
      </w:tr>
    </w:tbl>
    <w:p w:rsidR="009F5731" w:rsidRDefault="009F573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F5731">
        <w:trPr>
          <w:trHeight w:val="585"/>
        </w:trPr>
        <w:tc>
          <w:tcPr>
            <w:tcW w:w="1980" w:type="dxa"/>
            <w:shd w:val="clear" w:color="auto" w:fill="CCCCCC"/>
            <w:vAlign w:val="center"/>
          </w:tcPr>
          <w:p w:rsidR="009F5731" w:rsidRDefault="005C2A57">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b/>
                <w:noProof/>
                <w:sz w:val="16"/>
                <w:szCs w:val="16"/>
              </w:rPr>
            </w:pPr>
          </w:p>
        </w:tc>
        <w:tc>
          <w:tcPr>
            <w:tcW w:w="1080" w:type="dxa"/>
            <w:vAlign w:val="center"/>
          </w:tcPr>
          <w:p w:rsidR="009F5731" w:rsidRDefault="009F5731">
            <w:pPr>
              <w:spacing w:before="60" w:after="60" w:line="200" w:lineRule="exact"/>
              <w:jc w:val="right"/>
              <w:rPr>
                <w:b/>
                <w:noProof/>
                <w:sz w:val="16"/>
                <w:szCs w:val="16"/>
              </w:rPr>
            </w:pPr>
          </w:p>
        </w:tc>
      </w:tr>
      <w:tr w:rsidR="009F5731">
        <w:trPr>
          <w:trHeight w:val="585"/>
        </w:trPr>
        <w:tc>
          <w:tcPr>
            <w:tcW w:w="1980" w:type="dxa"/>
            <w:vAlign w:val="center"/>
          </w:tcPr>
          <w:p w:rsidR="009F5731" w:rsidRDefault="005C2A57">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b/>
                <w:noProof/>
                <w:sz w:val="16"/>
                <w:szCs w:val="16"/>
              </w:rPr>
            </w:pPr>
          </w:p>
        </w:tc>
        <w:tc>
          <w:tcPr>
            <w:tcW w:w="1080" w:type="dxa"/>
            <w:vAlign w:val="center"/>
          </w:tcPr>
          <w:p w:rsidR="009F5731" w:rsidRDefault="009F5731">
            <w:pPr>
              <w:spacing w:before="60" w:after="60" w:line="200" w:lineRule="exact"/>
              <w:jc w:val="right"/>
              <w:rPr>
                <w:b/>
                <w:noProof/>
                <w:sz w:val="16"/>
                <w:szCs w:val="16"/>
              </w:rPr>
            </w:pPr>
          </w:p>
        </w:tc>
      </w:tr>
      <w:tr w:rsidR="009F5731">
        <w:trPr>
          <w:trHeight w:val="585"/>
        </w:trPr>
        <w:tc>
          <w:tcPr>
            <w:tcW w:w="1980" w:type="dxa"/>
            <w:vAlign w:val="center"/>
          </w:tcPr>
          <w:p w:rsidR="009F5731" w:rsidRDefault="005C2A57">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b/>
                <w:noProof/>
                <w:sz w:val="16"/>
                <w:szCs w:val="16"/>
              </w:rPr>
            </w:pPr>
          </w:p>
        </w:tc>
        <w:tc>
          <w:tcPr>
            <w:tcW w:w="1080" w:type="dxa"/>
            <w:vAlign w:val="center"/>
          </w:tcPr>
          <w:p w:rsidR="009F5731" w:rsidRDefault="009F5731">
            <w:pPr>
              <w:spacing w:before="60" w:after="60" w:line="200" w:lineRule="exact"/>
              <w:jc w:val="right"/>
              <w:rPr>
                <w:b/>
                <w:noProof/>
                <w:sz w:val="16"/>
                <w:szCs w:val="16"/>
              </w:rPr>
            </w:pPr>
          </w:p>
        </w:tc>
      </w:tr>
      <w:tr w:rsidR="009F5731">
        <w:trPr>
          <w:trHeight w:val="585"/>
        </w:trPr>
        <w:tc>
          <w:tcPr>
            <w:tcW w:w="1980" w:type="dxa"/>
            <w:shd w:val="clear" w:color="auto" w:fill="CCCCCC"/>
            <w:vAlign w:val="center"/>
          </w:tcPr>
          <w:p w:rsidR="009F5731" w:rsidRDefault="005C2A57">
            <w:pPr>
              <w:spacing w:before="60" w:after="60" w:line="200" w:lineRule="exact"/>
              <w:jc w:val="center"/>
              <w:rPr>
                <w:b/>
                <w:noProof/>
                <w:sz w:val="16"/>
                <w:szCs w:val="16"/>
              </w:rPr>
            </w:pPr>
            <w:r>
              <w:rPr>
                <w:b/>
                <w:noProof/>
                <w:sz w:val="16"/>
              </w:rPr>
              <w:t>Μερικό σύνολο του ΤΟΜΕΑ 5</w:t>
            </w:r>
            <w:r>
              <w:rPr>
                <w:noProof/>
                <w:sz w:val="22"/>
              </w:rPr>
              <w:br/>
            </w:r>
            <w:r>
              <w:rPr>
                <w:b/>
                <w:noProof/>
                <w:sz w:val="16"/>
              </w:rPr>
              <w:t xml:space="preserve">του πολυετούς δημοσιονομικού πλαισίου </w:t>
            </w: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b/>
                <w:noProof/>
                <w:sz w:val="16"/>
                <w:szCs w:val="16"/>
              </w:rPr>
            </w:pPr>
          </w:p>
        </w:tc>
        <w:tc>
          <w:tcPr>
            <w:tcW w:w="1080" w:type="dxa"/>
            <w:vAlign w:val="center"/>
          </w:tcPr>
          <w:p w:rsidR="009F5731" w:rsidRDefault="009F5731">
            <w:pPr>
              <w:spacing w:before="60" w:after="60" w:line="200" w:lineRule="exact"/>
              <w:jc w:val="right"/>
              <w:rPr>
                <w:b/>
                <w:noProof/>
                <w:sz w:val="16"/>
                <w:szCs w:val="16"/>
              </w:rPr>
            </w:pPr>
          </w:p>
        </w:tc>
      </w:tr>
    </w:tbl>
    <w:p w:rsidR="009F5731" w:rsidRDefault="009F573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F5731">
        <w:trPr>
          <w:trHeight w:val="585"/>
        </w:trPr>
        <w:tc>
          <w:tcPr>
            <w:tcW w:w="1980" w:type="dxa"/>
            <w:shd w:val="clear" w:color="auto" w:fill="CCCCCC"/>
            <w:vAlign w:val="center"/>
          </w:tcPr>
          <w:p w:rsidR="009F5731" w:rsidRDefault="005C2A57">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17"/>
            </w:r>
            <w:r>
              <w:rPr>
                <w:noProof/>
                <w:sz w:val="22"/>
              </w:rPr>
              <w:br/>
            </w:r>
            <w:r>
              <w:rPr>
                <w:b/>
                <w:noProof/>
                <w:sz w:val="16"/>
              </w:rPr>
              <w:t xml:space="preserve">του πολυετούς δημοσιονομικού πλαισίου </w:t>
            </w:r>
          </w:p>
          <w:p w:rsidR="009F5731" w:rsidRDefault="009F5731">
            <w:pPr>
              <w:spacing w:before="0" w:after="0" w:line="200" w:lineRule="exact"/>
              <w:jc w:val="center"/>
              <w:rPr>
                <w:b/>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b/>
                <w:noProof/>
                <w:sz w:val="16"/>
                <w:szCs w:val="16"/>
              </w:rPr>
            </w:pPr>
          </w:p>
        </w:tc>
        <w:tc>
          <w:tcPr>
            <w:tcW w:w="1080" w:type="dxa"/>
            <w:vAlign w:val="center"/>
          </w:tcPr>
          <w:p w:rsidR="009F5731" w:rsidRDefault="009F5731">
            <w:pPr>
              <w:spacing w:before="60" w:after="60" w:line="200" w:lineRule="exact"/>
              <w:jc w:val="right"/>
              <w:rPr>
                <w:b/>
                <w:noProof/>
                <w:sz w:val="16"/>
                <w:szCs w:val="16"/>
              </w:rPr>
            </w:pPr>
          </w:p>
        </w:tc>
      </w:tr>
      <w:tr w:rsidR="009F5731">
        <w:trPr>
          <w:trHeight w:val="585"/>
        </w:trPr>
        <w:tc>
          <w:tcPr>
            <w:tcW w:w="1980" w:type="dxa"/>
            <w:vAlign w:val="center"/>
          </w:tcPr>
          <w:p w:rsidR="009F5731" w:rsidRDefault="005C2A57">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b/>
                <w:noProof/>
                <w:sz w:val="16"/>
                <w:szCs w:val="16"/>
              </w:rPr>
            </w:pPr>
          </w:p>
        </w:tc>
        <w:tc>
          <w:tcPr>
            <w:tcW w:w="1080" w:type="dxa"/>
            <w:vAlign w:val="center"/>
          </w:tcPr>
          <w:p w:rsidR="009F5731" w:rsidRDefault="009F5731">
            <w:pPr>
              <w:spacing w:before="60" w:after="60" w:line="200" w:lineRule="exact"/>
              <w:jc w:val="right"/>
              <w:rPr>
                <w:b/>
                <w:noProof/>
                <w:sz w:val="16"/>
                <w:szCs w:val="16"/>
              </w:rPr>
            </w:pPr>
          </w:p>
        </w:tc>
      </w:tr>
      <w:tr w:rsidR="009F5731">
        <w:trPr>
          <w:trHeight w:val="585"/>
        </w:trPr>
        <w:tc>
          <w:tcPr>
            <w:tcW w:w="1980" w:type="dxa"/>
            <w:vAlign w:val="center"/>
          </w:tcPr>
          <w:p w:rsidR="009F5731" w:rsidRDefault="005C2A57">
            <w:pPr>
              <w:spacing w:before="60" w:after="60" w:line="200" w:lineRule="exact"/>
              <w:ind w:left="72"/>
              <w:jc w:val="left"/>
              <w:rPr>
                <w:noProof/>
                <w:sz w:val="16"/>
                <w:szCs w:val="16"/>
              </w:rPr>
            </w:pPr>
            <w:r>
              <w:rPr>
                <w:noProof/>
                <w:sz w:val="16"/>
              </w:rPr>
              <w:t>Άλλες δαπάνες</w:t>
            </w:r>
            <w:r>
              <w:rPr>
                <w:noProof/>
                <w:sz w:val="22"/>
              </w:rPr>
              <w:br/>
            </w:r>
            <w:r>
              <w:rPr>
                <w:noProof/>
                <w:sz w:val="16"/>
              </w:rPr>
              <w:t>διοικητικού χαρακτήρα</w:t>
            </w: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b/>
                <w:noProof/>
                <w:sz w:val="16"/>
                <w:szCs w:val="16"/>
              </w:rPr>
            </w:pPr>
          </w:p>
        </w:tc>
        <w:tc>
          <w:tcPr>
            <w:tcW w:w="1080" w:type="dxa"/>
            <w:vAlign w:val="center"/>
          </w:tcPr>
          <w:p w:rsidR="009F5731" w:rsidRDefault="009F5731">
            <w:pPr>
              <w:spacing w:before="60" w:after="60" w:line="200" w:lineRule="exact"/>
              <w:jc w:val="right"/>
              <w:rPr>
                <w:b/>
                <w:noProof/>
                <w:sz w:val="16"/>
                <w:szCs w:val="16"/>
              </w:rPr>
            </w:pPr>
          </w:p>
        </w:tc>
      </w:tr>
      <w:tr w:rsidR="009F5731">
        <w:trPr>
          <w:trHeight w:val="585"/>
        </w:trPr>
        <w:tc>
          <w:tcPr>
            <w:tcW w:w="1980" w:type="dxa"/>
            <w:shd w:val="clear" w:color="auto" w:fill="CCCCCC"/>
            <w:vAlign w:val="center"/>
          </w:tcPr>
          <w:p w:rsidR="009F5731" w:rsidRDefault="005C2A57">
            <w:pPr>
              <w:spacing w:before="60" w:after="60" w:line="200" w:lineRule="exact"/>
              <w:jc w:val="center"/>
              <w:rPr>
                <w:b/>
                <w:noProof/>
                <w:sz w:val="16"/>
                <w:szCs w:val="16"/>
              </w:rPr>
            </w:pPr>
            <w:r>
              <w:rPr>
                <w:b/>
                <w:noProof/>
                <w:sz w:val="16"/>
              </w:rPr>
              <w:t xml:space="preserve">Μερικό σύνολο </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noProof/>
                <w:sz w:val="16"/>
                <w:szCs w:val="16"/>
              </w:rPr>
            </w:pPr>
          </w:p>
        </w:tc>
        <w:tc>
          <w:tcPr>
            <w:tcW w:w="1080" w:type="dxa"/>
            <w:vAlign w:val="center"/>
          </w:tcPr>
          <w:p w:rsidR="009F5731" w:rsidRDefault="009F5731">
            <w:pPr>
              <w:spacing w:before="60" w:after="60" w:line="200" w:lineRule="exact"/>
              <w:jc w:val="right"/>
              <w:rPr>
                <w:b/>
                <w:noProof/>
                <w:sz w:val="16"/>
                <w:szCs w:val="16"/>
              </w:rPr>
            </w:pPr>
          </w:p>
        </w:tc>
        <w:tc>
          <w:tcPr>
            <w:tcW w:w="1080" w:type="dxa"/>
            <w:vAlign w:val="center"/>
          </w:tcPr>
          <w:p w:rsidR="009F5731" w:rsidRDefault="009F5731">
            <w:pPr>
              <w:spacing w:before="60" w:after="60" w:line="200" w:lineRule="exact"/>
              <w:jc w:val="right"/>
              <w:rPr>
                <w:b/>
                <w:noProof/>
                <w:sz w:val="16"/>
                <w:szCs w:val="16"/>
              </w:rPr>
            </w:pPr>
          </w:p>
        </w:tc>
      </w:tr>
    </w:tbl>
    <w:p w:rsidR="009F5731" w:rsidRDefault="009F5731">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F573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F5731" w:rsidRDefault="005C2A57">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rsidR="009F5731" w:rsidRDefault="009F573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F5731" w:rsidRDefault="009F573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F5731" w:rsidRDefault="009F573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F5731" w:rsidRDefault="009F573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F5731" w:rsidRDefault="009F573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F5731" w:rsidRDefault="009F573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F5731" w:rsidRDefault="009F573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9F5731" w:rsidRDefault="009F5731">
            <w:pPr>
              <w:spacing w:before="60" w:after="60" w:line="200" w:lineRule="exact"/>
              <w:jc w:val="right"/>
              <w:rPr>
                <w:b/>
                <w:noProof/>
                <w:sz w:val="16"/>
                <w:szCs w:val="16"/>
              </w:rPr>
            </w:pPr>
          </w:p>
        </w:tc>
      </w:tr>
    </w:tbl>
    <w:p w:rsidR="009F5731" w:rsidRDefault="005C2A57">
      <w:pPr>
        <w:rPr>
          <w:noProof/>
          <w:sz w:val="18"/>
        </w:rPr>
      </w:pPr>
      <w:r>
        <w:rPr>
          <w:noProof/>
          <w:sz w:val="18"/>
        </w:rPr>
        <w:t xml:space="preserve">Οι απαιτούμενες πιστώσεις για </w:t>
      </w:r>
      <w:r>
        <w:rPr>
          <w:noProof/>
          <w:sz w:val="18"/>
        </w:rPr>
        <w:t xml:space="preserve">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w:t>
      </w:r>
      <w:r>
        <w:rPr>
          <w:noProof/>
          <w:sz w:val="18"/>
        </w:rPr>
        <w:t>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9F5731" w:rsidRDefault="009F5731">
      <w:pPr>
        <w:rPr>
          <w:noProof/>
          <w:sz w:val="18"/>
        </w:rPr>
        <w:sectPr w:rsidR="009F5731">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9F5731" w:rsidRDefault="005C2A57">
      <w:pPr>
        <w:pStyle w:val="ManualHeading4"/>
        <w:rPr>
          <w:bCs/>
          <w:noProof/>
          <w:szCs w:val="24"/>
        </w:rPr>
      </w:pPr>
      <w:r>
        <w:t>3.2.3.1.</w:t>
      </w:r>
      <w:r>
        <w:tab/>
      </w:r>
      <w:r>
        <w:rPr>
          <w:noProof/>
        </w:rPr>
        <w:t>Εκτ</w:t>
      </w:r>
      <w:r>
        <w:rPr>
          <w:noProof/>
        </w:rPr>
        <w:t xml:space="preserve">ιμώμενες ανάγκες σε ανθρώπινους πόρους </w:t>
      </w:r>
    </w:p>
    <w:p w:rsidR="009F5731" w:rsidRDefault="005C2A57">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rsidR="009F5731" w:rsidRDefault="005C2A57">
      <w:pPr>
        <w:pStyle w:val="ListDash1"/>
        <w:rPr>
          <w:noProof/>
        </w:rPr>
      </w:pPr>
      <w:r>
        <w:rPr>
          <w:noProof/>
        </w:rPr>
        <w:sym w:font="Wingdings" w:char="F0A8"/>
      </w:r>
      <w:r>
        <w:rPr>
          <w:noProof/>
        </w:rPr>
        <w:tab/>
        <w:t>Η πρόταση/πρωτοβουλία συνεπάγεται τη χρησιμοποίηση ανθρώπινων πόρων, όπως εξηγείται κατωτέρω:</w:t>
      </w:r>
    </w:p>
    <w:p w:rsidR="009F5731" w:rsidRDefault="005C2A57">
      <w:pPr>
        <w:spacing w:after="60"/>
        <w:jc w:val="right"/>
        <w:rPr>
          <w:i/>
          <w:noProof/>
          <w:sz w:val="20"/>
        </w:rPr>
      </w:pPr>
      <w:r>
        <w:rPr>
          <w:i/>
          <w:noProof/>
          <w:sz w:val="20"/>
        </w:rPr>
        <w:t>Εκτίμηση η οποία πρέπει να εκφράζεται σε μονά</w:t>
      </w:r>
      <w:r>
        <w:rPr>
          <w:i/>
          <w:noProof/>
          <w:sz w:val="20"/>
        </w:rPr>
        <w:t>δες ισοδυνάμων πλήρους απασχόλησης</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rsidR="009F5731">
        <w:trPr>
          <w:gridBefore w:val="1"/>
          <w:wBefore w:w="13" w:type="dxa"/>
          <w:trHeight w:val="289"/>
          <w:jc w:val="center"/>
        </w:trPr>
        <w:tc>
          <w:tcPr>
            <w:tcW w:w="3906" w:type="dxa"/>
            <w:gridSpan w:val="2"/>
            <w:shd w:val="clear" w:color="auto" w:fill="auto"/>
          </w:tcPr>
          <w:p w:rsidR="009F5731" w:rsidRDefault="009F5731">
            <w:pPr>
              <w:pStyle w:val="Text1"/>
              <w:spacing w:before="40" w:after="40"/>
              <w:ind w:left="0"/>
              <w:jc w:val="center"/>
              <w:rPr>
                <w:i/>
                <w:noProof/>
                <w:sz w:val="16"/>
                <w:szCs w:val="16"/>
              </w:rPr>
            </w:pPr>
          </w:p>
        </w:tc>
        <w:tc>
          <w:tcPr>
            <w:tcW w:w="600" w:type="dxa"/>
            <w:shd w:val="clear" w:color="auto" w:fill="auto"/>
            <w:vAlign w:val="center"/>
          </w:tcPr>
          <w:p w:rsidR="009F5731" w:rsidRDefault="005C2A57">
            <w:pPr>
              <w:spacing w:before="20" w:after="20"/>
              <w:jc w:val="center"/>
              <w:rPr>
                <w:noProof/>
                <w:sz w:val="16"/>
                <w:szCs w:val="16"/>
              </w:rPr>
            </w:pPr>
            <w:r>
              <w:rPr>
                <w:noProof/>
                <w:sz w:val="16"/>
              </w:rPr>
              <w:t>Έτος</w:t>
            </w:r>
            <w:r>
              <w:rPr>
                <w:noProof/>
                <w:sz w:val="22"/>
              </w:rPr>
              <w:br/>
            </w:r>
            <w:r>
              <w:rPr>
                <w:b/>
                <w:noProof/>
                <w:sz w:val="16"/>
              </w:rPr>
              <w:t>N</w:t>
            </w:r>
          </w:p>
        </w:tc>
        <w:tc>
          <w:tcPr>
            <w:tcW w:w="600" w:type="dxa"/>
            <w:shd w:val="clear" w:color="auto" w:fill="auto"/>
            <w:vAlign w:val="center"/>
          </w:tcPr>
          <w:p w:rsidR="009F5731" w:rsidRDefault="005C2A57">
            <w:pPr>
              <w:spacing w:before="20" w:after="20"/>
              <w:jc w:val="center"/>
              <w:rPr>
                <w:noProof/>
                <w:sz w:val="16"/>
                <w:szCs w:val="16"/>
              </w:rPr>
            </w:pPr>
            <w:r>
              <w:rPr>
                <w:noProof/>
                <w:sz w:val="16"/>
              </w:rPr>
              <w:t>Έτος</w:t>
            </w:r>
            <w:r>
              <w:rPr>
                <w:noProof/>
                <w:sz w:val="22"/>
              </w:rPr>
              <w:br/>
            </w:r>
            <w:r>
              <w:rPr>
                <w:b/>
                <w:noProof/>
                <w:sz w:val="16"/>
              </w:rPr>
              <w:t>N+1</w:t>
            </w:r>
          </w:p>
        </w:tc>
        <w:tc>
          <w:tcPr>
            <w:tcW w:w="600" w:type="dxa"/>
            <w:shd w:val="clear" w:color="auto" w:fill="auto"/>
            <w:vAlign w:val="center"/>
          </w:tcPr>
          <w:p w:rsidR="009F5731" w:rsidRDefault="005C2A57">
            <w:pPr>
              <w:spacing w:before="20" w:after="20"/>
              <w:jc w:val="center"/>
              <w:rPr>
                <w:noProof/>
                <w:sz w:val="16"/>
                <w:szCs w:val="16"/>
              </w:rPr>
            </w:pPr>
            <w:r>
              <w:rPr>
                <w:noProof/>
                <w:sz w:val="16"/>
              </w:rPr>
              <w:t xml:space="preserve">Έτος </w:t>
            </w:r>
            <w:r>
              <w:rPr>
                <w:b/>
                <w:noProof/>
                <w:sz w:val="16"/>
              </w:rPr>
              <w:t>N+2</w:t>
            </w:r>
          </w:p>
        </w:tc>
        <w:tc>
          <w:tcPr>
            <w:tcW w:w="600" w:type="dxa"/>
            <w:shd w:val="clear" w:color="auto" w:fill="auto"/>
            <w:vAlign w:val="center"/>
          </w:tcPr>
          <w:p w:rsidR="009F5731" w:rsidRDefault="005C2A57">
            <w:pPr>
              <w:spacing w:before="20" w:after="20"/>
              <w:jc w:val="center"/>
              <w:rPr>
                <w:noProof/>
                <w:sz w:val="16"/>
                <w:szCs w:val="16"/>
              </w:rPr>
            </w:pPr>
            <w:r>
              <w:rPr>
                <w:noProof/>
                <w:sz w:val="16"/>
              </w:rPr>
              <w:t xml:space="preserve">Έτος </w:t>
            </w:r>
            <w:r>
              <w:rPr>
                <w:b/>
                <w:noProof/>
                <w:sz w:val="16"/>
              </w:rPr>
              <w:t>N+3</w:t>
            </w:r>
          </w:p>
        </w:tc>
        <w:tc>
          <w:tcPr>
            <w:tcW w:w="600" w:type="dxa"/>
            <w:gridSpan w:val="3"/>
            <w:shd w:val="clear" w:color="auto" w:fill="auto"/>
            <w:vAlign w:val="center"/>
          </w:tcPr>
          <w:p w:rsidR="009F5731" w:rsidRDefault="005C2A57">
            <w:pPr>
              <w:jc w:val="center"/>
              <w:rPr>
                <w:b/>
                <w:noProof/>
                <w:sz w:val="16"/>
                <w:szCs w:val="16"/>
              </w:rPr>
            </w:pPr>
            <w:r>
              <w:rPr>
                <w:noProof/>
                <w:sz w:val="16"/>
              </w:rPr>
              <w:t xml:space="preserve">Να εγγραφούν όσα έτη απαιτούνται, ώστε να </w:t>
            </w:r>
            <w:r>
              <w:rPr>
                <w:noProof/>
              </w:rPr>
              <w:t>εμφανίζεται η διάρκεια των επιπτώσεων (βλ. σημείο 1.6)</w:t>
            </w:r>
          </w:p>
        </w:tc>
      </w:tr>
      <w:tr w:rsidR="009F5731">
        <w:trPr>
          <w:gridBefore w:val="1"/>
          <w:wBefore w:w="13" w:type="dxa"/>
          <w:trHeight w:val="289"/>
          <w:jc w:val="center"/>
        </w:trPr>
        <w:tc>
          <w:tcPr>
            <w:tcW w:w="600" w:type="dxa"/>
            <w:gridSpan w:val="9"/>
            <w:shd w:val="clear" w:color="auto" w:fill="auto"/>
          </w:tcPr>
          <w:p w:rsidR="009F5731" w:rsidRDefault="005C2A57">
            <w:pPr>
              <w:jc w:val="left"/>
              <w:rPr>
                <w:noProof/>
                <w:sz w:val="16"/>
                <w:szCs w:val="16"/>
              </w:rPr>
            </w:pPr>
            <w:r>
              <w:rPr>
                <w:b/>
                <w:noProof/>
                <w:sz w:val="16"/>
              </w:rPr>
              <w:sym w:font="Wingdings" w:char="F09F"/>
            </w:r>
            <w:r>
              <w:rPr>
                <w:b/>
                <w:noProof/>
                <w:sz w:val="16"/>
              </w:rPr>
              <w:t>Θέσεις απασχόλησης του πίνακα προσωπικού (θέσεις μόνιμων και έκτακτων υπαλλήλων)</w:t>
            </w:r>
          </w:p>
        </w:tc>
      </w:tr>
      <w:tr w:rsidR="009F5731">
        <w:trPr>
          <w:gridBefore w:val="1"/>
          <w:wBefore w:w="13" w:type="dxa"/>
          <w:trHeight w:val="289"/>
          <w:jc w:val="center"/>
        </w:trPr>
        <w:tc>
          <w:tcPr>
            <w:tcW w:w="3906" w:type="dxa"/>
            <w:gridSpan w:val="2"/>
            <w:shd w:val="clear" w:color="auto" w:fill="auto"/>
            <w:vAlign w:val="center"/>
          </w:tcPr>
          <w:p w:rsidR="009F5731" w:rsidRDefault="005C2A57">
            <w:pPr>
              <w:pStyle w:val="Text1"/>
              <w:spacing w:beforeLines="20" w:before="48" w:afterLines="20" w:after="48"/>
              <w:ind w:left="134"/>
              <w:jc w:val="left"/>
              <w:rPr>
                <w:b/>
                <w:noProof/>
                <w:sz w:val="16"/>
                <w:szCs w:val="16"/>
              </w:rPr>
            </w:pPr>
            <w:r>
              <w:rPr>
                <w:noProof/>
                <w:sz w:val="16"/>
              </w:rPr>
              <w:t>XX 01</w:t>
            </w:r>
            <w:r>
              <w:rPr>
                <w:noProof/>
                <w:sz w:val="16"/>
              </w:rPr>
              <w:t xml:space="preserve"> 01 01 (στην έδρα και στις αντιπροσωπείες της Επιτροπής)</w:t>
            </w: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3906" w:type="dxa"/>
            <w:gridSpan w:val="2"/>
            <w:shd w:val="clear" w:color="auto" w:fill="auto"/>
            <w:vAlign w:val="center"/>
          </w:tcPr>
          <w:p w:rsidR="009F5731" w:rsidRDefault="005C2A57">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3906" w:type="dxa"/>
            <w:gridSpan w:val="2"/>
            <w:shd w:val="clear" w:color="auto" w:fill="auto"/>
            <w:vAlign w:val="center"/>
          </w:tcPr>
          <w:p w:rsidR="009F5731" w:rsidRDefault="005C2A57">
            <w:pPr>
              <w:pStyle w:val="Text1"/>
              <w:spacing w:beforeLines="20" w:before="48" w:afterLines="20" w:after="48"/>
              <w:ind w:left="134"/>
              <w:jc w:val="left"/>
              <w:rPr>
                <w:noProof/>
                <w:sz w:val="16"/>
                <w:szCs w:val="16"/>
              </w:rPr>
            </w:pPr>
            <w:r>
              <w:rPr>
                <w:noProof/>
                <w:sz w:val="16"/>
              </w:rPr>
              <w:t>XX 01 05 01/11/21 (έμμεση έρευνα)</w:t>
            </w: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3906" w:type="dxa"/>
            <w:gridSpan w:val="2"/>
            <w:shd w:val="clear" w:color="auto" w:fill="auto"/>
            <w:vAlign w:val="center"/>
          </w:tcPr>
          <w:p w:rsidR="009F5731" w:rsidRDefault="005C2A57">
            <w:pPr>
              <w:pStyle w:val="Text1"/>
              <w:spacing w:beforeLines="20" w:before="48" w:afterLines="20" w:after="48"/>
              <w:ind w:left="134"/>
              <w:jc w:val="left"/>
              <w:rPr>
                <w:noProof/>
                <w:sz w:val="16"/>
                <w:szCs w:val="16"/>
              </w:rPr>
            </w:pPr>
            <w:r>
              <w:rPr>
                <w:noProof/>
                <w:sz w:val="16"/>
              </w:rPr>
              <w:t>10 01 05 01/11 (άμεση έρευνα)</w:t>
            </w: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trHeight w:val="248"/>
          <w:jc w:val="center"/>
        </w:trPr>
        <w:tc>
          <w:tcPr>
            <w:tcW w:w="600" w:type="dxa"/>
            <w:gridSpan w:val="10"/>
            <w:shd w:val="clear" w:color="auto" w:fill="auto"/>
            <w:vAlign w:val="center"/>
          </w:tcPr>
          <w:p w:rsidR="009F5731" w:rsidRDefault="005C2A57">
            <w:pPr>
              <w:pStyle w:val="Text1"/>
              <w:spacing w:before="60" w:after="60"/>
              <w:ind w:left="0"/>
              <w:jc w:val="left"/>
              <w:rPr>
                <w:b/>
                <w:noProof/>
                <w:sz w:val="16"/>
                <w:szCs w:val="16"/>
              </w:rPr>
            </w:pPr>
            <w:r>
              <w:rPr>
                <w:b/>
                <w:noProof/>
                <w:sz w:val="16"/>
              </w:rPr>
              <w:sym w:font="Wingdings" w:char="F09F"/>
            </w:r>
            <w:r>
              <w:rPr>
                <w:b/>
                <w:noProof/>
                <w:sz w:val="16"/>
              </w:rPr>
              <w:t xml:space="preserve">Εξωτερικό προσωπικό (σε μονάδα ισοδυνάμου πλήρους απασχόλησης: </w:t>
            </w:r>
            <w:r>
              <w:rPr>
                <w:b/>
                <w:noProof/>
              </w:rPr>
              <w:t>ΙΠΑ)</w:t>
            </w:r>
            <w:r>
              <w:rPr>
                <w:rStyle w:val="FootnoteReference"/>
                <w:b/>
                <w:noProof/>
              </w:rPr>
              <w:footnoteReference w:id="18"/>
            </w:r>
          </w:p>
          <w:p w:rsidR="009F5731" w:rsidRDefault="009F5731">
            <w:pPr>
              <w:pStyle w:val="Text1"/>
              <w:spacing w:before="0" w:after="0"/>
              <w:ind w:left="0"/>
              <w:jc w:val="left"/>
              <w:rPr>
                <w:noProof/>
                <w:sz w:val="16"/>
                <w:szCs w:val="16"/>
              </w:rPr>
            </w:pPr>
          </w:p>
        </w:tc>
      </w:tr>
      <w:tr w:rsidR="009F5731">
        <w:trPr>
          <w:gridBefore w:val="1"/>
          <w:wBefore w:w="13" w:type="dxa"/>
          <w:trHeight w:val="289"/>
          <w:jc w:val="center"/>
        </w:trPr>
        <w:tc>
          <w:tcPr>
            <w:tcW w:w="3906" w:type="dxa"/>
            <w:gridSpan w:val="2"/>
            <w:shd w:val="clear" w:color="auto" w:fill="auto"/>
            <w:vAlign w:val="center"/>
          </w:tcPr>
          <w:p w:rsidR="009F5731" w:rsidRDefault="005C2A57">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3906" w:type="dxa"/>
            <w:gridSpan w:val="2"/>
            <w:shd w:val="clear" w:color="auto" w:fill="auto"/>
            <w:vAlign w:val="center"/>
          </w:tcPr>
          <w:p w:rsidR="009F5731" w:rsidRDefault="005C2A57">
            <w:pPr>
              <w:pStyle w:val="Text1"/>
              <w:spacing w:beforeLines="20" w:before="48" w:afterLines="20" w:after="48"/>
              <w:ind w:left="136"/>
              <w:jc w:val="left"/>
              <w:rPr>
                <w:noProof/>
                <w:sz w:val="16"/>
                <w:szCs w:val="16"/>
              </w:rPr>
            </w:pPr>
            <w:r>
              <w:rPr>
                <w:noProof/>
                <w:sz w:val="16"/>
              </w:rPr>
              <w:t>XX 01 02 02 (AC, AL, END, INT και JPD στις αντιπροσωπείες της ΕΕ)</w:t>
            </w: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1952" w:type="dxa"/>
            <w:vMerge w:val="restart"/>
            <w:shd w:val="clear" w:color="auto" w:fill="auto"/>
            <w:vAlign w:val="center"/>
          </w:tcPr>
          <w:p w:rsidR="009F5731" w:rsidRDefault="005C2A57">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rPr>
              <w:t>yy</w:t>
            </w:r>
            <w:r>
              <w:rPr>
                <w:b/>
                <w:i/>
                <w:noProof/>
                <w:sz w:val="16"/>
              </w:rPr>
              <w:t xml:space="preserve"> </w:t>
            </w:r>
            <w:r>
              <w:rPr>
                <w:rStyle w:val="FootnoteReference"/>
                <w:b/>
                <w:i/>
                <w:noProof/>
                <w:sz w:val="16"/>
              </w:rPr>
              <w:footnoteReference w:id="19"/>
            </w:r>
          </w:p>
          <w:p w:rsidR="009F5731" w:rsidRDefault="009F5731">
            <w:pPr>
              <w:pStyle w:val="Text1"/>
              <w:spacing w:beforeLines="20" w:before="48" w:afterLines="20" w:after="48"/>
              <w:ind w:left="136"/>
              <w:jc w:val="left"/>
              <w:rPr>
                <w:b/>
                <w:noProof/>
                <w:sz w:val="16"/>
                <w:szCs w:val="16"/>
              </w:rPr>
            </w:pPr>
          </w:p>
        </w:tc>
        <w:tc>
          <w:tcPr>
            <w:tcW w:w="1954" w:type="dxa"/>
            <w:shd w:val="clear" w:color="auto" w:fill="auto"/>
            <w:vAlign w:val="center"/>
          </w:tcPr>
          <w:p w:rsidR="009F5731" w:rsidRDefault="005C2A57">
            <w:pPr>
              <w:pStyle w:val="Text1"/>
              <w:spacing w:beforeLines="20" w:before="48" w:afterLines="20" w:after="48"/>
              <w:ind w:left="136"/>
              <w:jc w:val="left"/>
              <w:rPr>
                <w:b/>
                <w:noProof/>
                <w:sz w:val="16"/>
                <w:szCs w:val="16"/>
              </w:rPr>
            </w:pPr>
            <w:r>
              <w:rPr>
                <w:noProof/>
                <w:sz w:val="16"/>
              </w:rPr>
              <w:t>- στην έδρα</w:t>
            </w:r>
          </w:p>
          <w:p w:rsidR="009F5731" w:rsidRDefault="009F5731">
            <w:pPr>
              <w:pStyle w:val="Text1"/>
              <w:spacing w:beforeLines="20" w:before="48" w:afterLines="20" w:after="48"/>
              <w:ind w:left="136"/>
              <w:jc w:val="left"/>
              <w:rPr>
                <w:b/>
                <w:noProof/>
                <w:sz w:val="16"/>
                <w:szCs w:val="16"/>
              </w:rPr>
            </w:pPr>
          </w:p>
        </w:tc>
        <w:tc>
          <w:tcPr>
            <w:tcW w:w="600" w:type="dxa"/>
            <w:shd w:val="clear" w:color="auto" w:fill="auto"/>
            <w:vAlign w:val="center"/>
          </w:tcPr>
          <w:p w:rsidR="009F5731" w:rsidRDefault="009F5731">
            <w:pPr>
              <w:pStyle w:val="Text1"/>
              <w:spacing w:beforeLines="20" w:before="48" w:afterLines="20" w:after="48"/>
              <w:ind w:left="0"/>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1952" w:type="dxa"/>
            <w:vMerge/>
            <w:shd w:val="clear" w:color="auto" w:fill="auto"/>
            <w:vAlign w:val="center"/>
          </w:tcPr>
          <w:p w:rsidR="009F5731" w:rsidRDefault="009F5731">
            <w:pPr>
              <w:pStyle w:val="Text1"/>
              <w:spacing w:beforeLines="20" w:before="48" w:afterLines="20" w:after="48"/>
              <w:ind w:left="136"/>
              <w:jc w:val="left"/>
              <w:rPr>
                <w:b/>
                <w:noProof/>
                <w:sz w:val="16"/>
                <w:szCs w:val="16"/>
              </w:rPr>
            </w:pPr>
          </w:p>
        </w:tc>
        <w:tc>
          <w:tcPr>
            <w:tcW w:w="1954" w:type="dxa"/>
            <w:shd w:val="clear" w:color="auto" w:fill="auto"/>
            <w:vAlign w:val="center"/>
          </w:tcPr>
          <w:p w:rsidR="009F5731" w:rsidRDefault="005C2A57">
            <w:pPr>
              <w:pStyle w:val="Text1"/>
              <w:spacing w:beforeLines="20" w:before="48" w:afterLines="20" w:after="48"/>
              <w:ind w:left="136"/>
              <w:jc w:val="left"/>
              <w:rPr>
                <w:b/>
                <w:noProof/>
                <w:sz w:val="16"/>
                <w:szCs w:val="16"/>
              </w:rPr>
            </w:pPr>
            <w:r>
              <w:rPr>
                <w:noProof/>
                <w:sz w:val="16"/>
              </w:rPr>
              <w:t xml:space="preserve">- στις αντιπροσωπείες της ΕΕ </w:t>
            </w:r>
          </w:p>
        </w:tc>
        <w:tc>
          <w:tcPr>
            <w:tcW w:w="600" w:type="dxa"/>
            <w:shd w:val="clear" w:color="auto" w:fill="auto"/>
            <w:vAlign w:val="center"/>
          </w:tcPr>
          <w:p w:rsidR="009F5731" w:rsidRDefault="009F5731">
            <w:pPr>
              <w:pStyle w:val="Text1"/>
              <w:spacing w:beforeLines="20" w:before="48" w:afterLines="20" w:after="48"/>
              <w:ind w:left="0"/>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3906" w:type="dxa"/>
            <w:gridSpan w:val="2"/>
            <w:shd w:val="clear" w:color="auto" w:fill="auto"/>
            <w:vAlign w:val="center"/>
          </w:tcPr>
          <w:p w:rsidR="009F5731" w:rsidRDefault="005C2A57">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02/12/22 (AC, END, INT – έμμεση έρευνα)</w:t>
            </w: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3906" w:type="dxa"/>
            <w:gridSpan w:val="2"/>
            <w:shd w:val="clear" w:color="auto" w:fill="auto"/>
            <w:vAlign w:val="center"/>
          </w:tcPr>
          <w:p w:rsidR="009F5731" w:rsidRDefault="005C2A57">
            <w:pPr>
              <w:pStyle w:val="Text1"/>
              <w:spacing w:beforeLines="20" w:before="48" w:afterLines="20" w:after="48"/>
              <w:ind w:left="136"/>
              <w:jc w:val="left"/>
              <w:rPr>
                <w:noProof/>
                <w:sz w:val="16"/>
                <w:szCs w:val="16"/>
              </w:rPr>
            </w:pPr>
            <w:r>
              <w:rPr>
                <w:noProof/>
                <w:sz w:val="16"/>
              </w:rPr>
              <w:t>10 01 05 02/12 (AC, END, INT - άμεση έρευνα)</w:t>
            </w: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c>
          <w:tcPr>
            <w:tcW w:w="600" w:type="dxa"/>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3906" w:type="dxa"/>
            <w:gridSpan w:val="2"/>
            <w:tcBorders>
              <w:bottom w:val="double" w:sz="4" w:space="0" w:color="auto"/>
            </w:tcBorders>
            <w:shd w:val="clear" w:color="auto" w:fill="auto"/>
            <w:vAlign w:val="center"/>
          </w:tcPr>
          <w:p w:rsidR="009F5731" w:rsidRDefault="005C2A57">
            <w:pPr>
              <w:pStyle w:val="Text1"/>
              <w:spacing w:beforeLines="20" w:before="48" w:afterLines="20" w:after="48"/>
              <w:ind w:left="134"/>
              <w:jc w:val="left"/>
              <w:rPr>
                <w:noProof/>
                <w:sz w:val="16"/>
                <w:szCs w:val="16"/>
              </w:rPr>
            </w:pPr>
            <w:r>
              <w:rPr>
                <w:noProof/>
                <w:sz w:val="16"/>
              </w:rPr>
              <w:t>Άλλες γραμμές προϋπολογισμού (να προσδιοριστούν)</w:t>
            </w:r>
          </w:p>
        </w:tc>
        <w:tc>
          <w:tcPr>
            <w:tcW w:w="600" w:type="dxa"/>
            <w:tcBorders>
              <w:bottom w:val="double" w:sz="4" w:space="0" w:color="auto"/>
            </w:tcBorders>
            <w:shd w:val="clear" w:color="auto" w:fill="auto"/>
            <w:vAlign w:val="center"/>
          </w:tcPr>
          <w:p w:rsidR="009F5731" w:rsidRDefault="009F5731">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9F5731" w:rsidRDefault="009F5731">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9F5731" w:rsidRDefault="009F5731">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9F5731" w:rsidRDefault="009F5731">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9F5731" w:rsidRDefault="009F5731">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9F5731" w:rsidRDefault="009F5731">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9F5731" w:rsidRDefault="009F5731">
            <w:pPr>
              <w:spacing w:beforeLines="20" w:before="48" w:afterLines="20" w:after="48"/>
              <w:jc w:val="center"/>
              <w:rPr>
                <w:noProof/>
                <w:sz w:val="16"/>
                <w:szCs w:val="16"/>
              </w:rPr>
            </w:pPr>
          </w:p>
        </w:tc>
      </w:tr>
      <w:tr w:rsidR="009F5731">
        <w:trPr>
          <w:gridBefore w:val="1"/>
          <w:wBefore w:w="13" w:type="dxa"/>
          <w:trHeight w:val="289"/>
          <w:jc w:val="center"/>
        </w:trPr>
        <w:tc>
          <w:tcPr>
            <w:tcW w:w="3906" w:type="dxa"/>
            <w:gridSpan w:val="2"/>
            <w:tcBorders>
              <w:top w:val="double" w:sz="4" w:space="0" w:color="auto"/>
            </w:tcBorders>
            <w:shd w:val="clear" w:color="auto" w:fill="auto"/>
            <w:vAlign w:val="center"/>
          </w:tcPr>
          <w:p w:rsidR="009F5731" w:rsidRDefault="005C2A57">
            <w:pPr>
              <w:pStyle w:val="Text1"/>
              <w:spacing w:beforeLines="20" w:before="48" w:afterLines="20" w:after="48"/>
              <w:ind w:left="136"/>
              <w:jc w:val="left"/>
              <w:rPr>
                <w:noProof/>
                <w:sz w:val="16"/>
                <w:szCs w:val="16"/>
              </w:rPr>
            </w:pPr>
            <w:r>
              <w:rPr>
                <w:b/>
                <w:noProof/>
                <w:sz w:val="16"/>
              </w:rPr>
              <w:t>ΣΥΝΟΛΟ</w:t>
            </w:r>
          </w:p>
        </w:tc>
        <w:tc>
          <w:tcPr>
            <w:tcW w:w="600" w:type="dxa"/>
            <w:tcBorders>
              <w:top w:val="double" w:sz="4" w:space="0" w:color="auto"/>
            </w:tcBorders>
            <w:shd w:val="clear" w:color="auto" w:fill="auto"/>
            <w:vAlign w:val="center"/>
          </w:tcPr>
          <w:p w:rsidR="009F5731" w:rsidRDefault="009F5731">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9F5731" w:rsidRDefault="009F5731">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9F5731" w:rsidRDefault="009F5731">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9F5731" w:rsidRDefault="009F5731">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9F5731" w:rsidRDefault="009F5731">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9F5731" w:rsidRDefault="009F5731">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9F5731" w:rsidRDefault="009F5731">
            <w:pPr>
              <w:spacing w:beforeLines="20" w:before="48" w:afterLines="20" w:after="48"/>
              <w:jc w:val="center"/>
              <w:rPr>
                <w:b/>
                <w:noProof/>
                <w:sz w:val="16"/>
                <w:szCs w:val="16"/>
              </w:rPr>
            </w:pPr>
          </w:p>
        </w:tc>
      </w:tr>
    </w:tbl>
    <w:p w:rsidR="009F5731" w:rsidRDefault="005C2A57">
      <w:pPr>
        <w:pStyle w:val="Text1"/>
        <w:spacing w:before="60" w:after="60"/>
        <w:ind w:left="851"/>
        <w:rPr>
          <w:noProof/>
          <w:sz w:val="18"/>
          <w:szCs w:val="18"/>
        </w:rPr>
      </w:pPr>
      <w:r>
        <w:rPr>
          <w:b/>
          <w:noProof/>
          <w:sz w:val="18"/>
        </w:rPr>
        <w:t>XX</w:t>
      </w:r>
      <w:r>
        <w:rPr>
          <w:noProof/>
        </w:rPr>
        <w:t xml:space="preserve"> </w:t>
      </w:r>
      <w:r>
        <w:rPr>
          <w:noProof/>
          <w:sz w:val="18"/>
        </w:rPr>
        <w:t>είναι ο σχετικός τομέας πολιτικής</w:t>
      </w:r>
      <w:r>
        <w:rPr>
          <w:noProof/>
          <w:sz w:val="18"/>
        </w:rPr>
        <w:t xml:space="preserve"> ή ο σχετικός τίτλος του προϋπολογισμού.</w:t>
      </w:r>
    </w:p>
    <w:p w:rsidR="009F5731" w:rsidRDefault="005C2A57">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w:t>
      </w:r>
      <w:r>
        <w:rPr>
          <w:noProof/>
          <w:sz w:val="18"/>
        </w:rPr>
        <w:t xml:space="preserve">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9F5731" w:rsidRDefault="005C2A57">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F5731">
        <w:tc>
          <w:tcPr>
            <w:tcW w:w="3240" w:type="dxa"/>
          </w:tcPr>
          <w:p w:rsidR="009F5731" w:rsidRDefault="005C2A57">
            <w:pPr>
              <w:rPr>
                <w:noProof/>
                <w:sz w:val="20"/>
              </w:rPr>
            </w:pPr>
            <w:r>
              <w:rPr>
                <w:noProof/>
                <w:sz w:val="20"/>
              </w:rPr>
              <w:t>Μόνιμοι και έκτακτοι υπάλλ</w:t>
            </w:r>
            <w:r>
              <w:rPr>
                <w:noProof/>
                <w:sz w:val="20"/>
              </w:rPr>
              <w:t>ηλοι</w:t>
            </w:r>
          </w:p>
        </w:tc>
        <w:tc>
          <w:tcPr>
            <w:tcW w:w="7200" w:type="dxa"/>
          </w:tcPr>
          <w:p w:rsidR="009F5731" w:rsidRDefault="009F5731">
            <w:pPr>
              <w:rPr>
                <w:noProof/>
                <w:sz w:val="20"/>
              </w:rPr>
            </w:pPr>
          </w:p>
        </w:tc>
      </w:tr>
      <w:tr w:rsidR="009F5731">
        <w:tc>
          <w:tcPr>
            <w:tcW w:w="3240" w:type="dxa"/>
          </w:tcPr>
          <w:p w:rsidR="009F5731" w:rsidRDefault="005C2A57">
            <w:pPr>
              <w:spacing w:before="60" w:after="60"/>
              <w:rPr>
                <w:noProof/>
                <w:sz w:val="20"/>
              </w:rPr>
            </w:pPr>
            <w:r>
              <w:rPr>
                <w:noProof/>
                <w:sz w:val="20"/>
              </w:rPr>
              <w:t>Εξωτερικό προσωπικό</w:t>
            </w:r>
          </w:p>
        </w:tc>
        <w:tc>
          <w:tcPr>
            <w:tcW w:w="7200" w:type="dxa"/>
          </w:tcPr>
          <w:p w:rsidR="009F5731" w:rsidRDefault="009F5731">
            <w:pPr>
              <w:rPr>
                <w:noProof/>
                <w:sz w:val="20"/>
              </w:rPr>
            </w:pPr>
          </w:p>
        </w:tc>
      </w:tr>
    </w:tbl>
    <w:p w:rsidR="009F5731" w:rsidRDefault="009F5731">
      <w:pPr>
        <w:rPr>
          <w:noProof/>
        </w:rPr>
        <w:sectPr w:rsidR="009F5731">
          <w:pgSz w:w="11907" w:h="16840"/>
          <w:pgMar w:top="1134" w:right="1418" w:bottom="1134" w:left="1418" w:header="709" w:footer="709" w:gutter="0"/>
          <w:cols w:space="708"/>
          <w:docGrid w:linePitch="360"/>
        </w:sectPr>
      </w:pPr>
    </w:p>
    <w:p w:rsidR="009F5731" w:rsidRDefault="005C2A57">
      <w:pPr>
        <w:pStyle w:val="ManualHeading3"/>
        <w:rPr>
          <w:noProof/>
        </w:rPr>
      </w:pPr>
      <w:bookmarkStart w:id="49" w:name="_Toc514938056"/>
      <w:bookmarkStart w:id="50" w:name="_Toc520485055"/>
      <w:r>
        <w:t>3.2.4.</w:t>
      </w:r>
      <w:r>
        <w:tab/>
      </w:r>
      <w:r>
        <w:rPr>
          <w:noProof/>
        </w:rPr>
        <w:t>Συμβατότητα με το ισχύον πολυετές δημοσιονομικό πλαίσιο</w:t>
      </w:r>
      <w:bookmarkEnd w:id="49"/>
      <w:bookmarkEnd w:id="50"/>
      <w:r>
        <w:rPr>
          <w:noProof/>
        </w:rPr>
        <w:t xml:space="preserve"> </w:t>
      </w:r>
    </w:p>
    <w:p w:rsidR="009F5731" w:rsidRDefault="005C2A57">
      <w:pPr>
        <w:pStyle w:val="Text1"/>
        <w:rPr>
          <w:noProof/>
        </w:rPr>
      </w:pPr>
      <w:r>
        <w:rPr>
          <w:noProof/>
        </w:rPr>
        <w:t>Η πρόταση/πρωτοβουλία:</w:t>
      </w:r>
    </w:p>
    <w:p w:rsidR="009F5731" w:rsidRDefault="005C2A57">
      <w:pPr>
        <w:pStyle w:val="ListDash1"/>
        <w:rPr>
          <w:noProof/>
        </w:rPr>
      </w:pPr>
      <w:r>
        <w:rPr>
          <w:b/>
          <w:noProof/>
        </w:rPr>
        <w:t>Χ</w:t>
      </w:r>
      <w:r>
        <w:rPr>
          <w:noProof/>
        </w:rPr>
        <w:tab/>
        <w:t>μπορεί να χρηματοδοτηθεί εξ ολοκλήρου εντός του οικείου τομέα του πολυετούς δημοσιονομικού πλαισίου (ΠΔΠ).</w:t>
      </w:r>
    </w:p>
    <w:p w:rsidR="009F5731" w:rsidRDefault="005C2A57">
      <w:pPr>
        <w:pStyle w:val="ListDash1"/>
        <w:rPr>
          <w:noProof/>
        </w:rPr>
      </w:pPr>
      <w:r>
        <w:rPr>
          <w:noProof/>
        </w:rPr>
        <w:sym w:font="Wingdings" w:char="F0A8"/>
      </w:r>
      <w:r>
        <w:rPr>
          <w:noProof/>
        </w:rPr>
        <w:tab/>
      </w:r>
      <w:r>
        <w:rPr>
          <w:noProof/>
        </w:rPr>
        <w:t>συνεπάγεται τη χρησιμοποίηση του αδιάθετου περιθωρίου στο πλαίσιο του αντίστοιχου τομέα του ΠΔΠ και/ή τη χρήση ειδικών μηχανισμών, όπως ορίζεται στον κανονισμό για το ΠΔΠ.</w:t>
      </w:r>
    </w:p>
    <w:p w:rsidR="009F5731" w:rsidRDefault="005C2A57">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Να εξηγηθούν οι απαιτούμενες ενέργειες και να προσδιοριστούν οι σχετικοί τομείς και </w:t>
      </w:r>
      <w:r>
        <w:rPr>
          <w:noProof/>
          <w:sz w:val="20"/>
        </w:rPr>
        <w:t>οι σχετικές γραμμές του προϋπολογισμού, τα αντίστοιχα ποσά και οι μηχανισμοί που προτείνεται να χρησιμοποιηθούν.</w:t>
      </w:r>
    </w:p>
    <w:p w:rsidR="009F5731" w:rsidRDefault="005C2A57">
      <w:pPr>
        <w:pStyle w:val="ListDash1"/>
        <w:rPr>
          <w:noProof/>
        </w:rPr>
      </w:pPr>
      <w:r>
        <w:rPr>
          <w:noProof/>
        </w:rPr>
        <w:sym w:font="Wingdings" w:char="F0A8"/>
      </w:r>
      <w:r>
        <w:rPr>
          <w:noProof/>
        </w:rPr>
        <w:tab/>
        <w:t>συνεπάγεται την αναθεώρηση του ΠΔΠ.</w:t>
      </w:r>
    </w:p>
    <w:p w:rsidR="009F5731" w:rsidRDefault="005C2A57">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w:t>
      </w:r>
      <w:r>
        <w:rPr>
          <w:noProof/>
          <w:sz w:val="20"/>
        </w:rPr>
        <w:t>ου προϋπολογισμού, καθώς και τα αντίστοιχα ποσά.</w:t>
      </w:r>
    </w:p>
    <w:p w:rsidR="009F5731" w:rsidRDefault="005C2A57">
      <w:pPr>
        <w:pStyle w:val="ManualHeading3"/>
        <w:rPr>
          <w:bCs/>
          <w:noProof/>
          <w:szCs w:val="24"/>
        </w:rPr>
      </w:pPr>
      <w:bookmarkStart w:id="51" w:name="_Toc514938058"/>
      <w:bookmarkStart w:id="52" w:name="_Toc520485056"/>
      <w:r>
        <w:t>3.2.5.</w:t>
      </w:r>
      <w:r>
        <w:tab/>
      </w:r>
      <w:r>
        <w:rPr>
          <w:noProof/>
        </w:rPr>
        <w:t>Συμμετοχή τρίτων στη χρηματοδότηση</w:t>
      </w:r>
      <w:bookmarkEnd w:id="51"/>
      <w:bookmarkEnd w:id="52"/>
      <w:r>
        <w:rPr>
          <w:noProof/>
        </w:rPr>
        <w:t xml:space="preserve"> </w:t>
      </w:r>
    </w:p>
    <w:p w:rsidR="009F5731" w:rsidRDefault="005C2A57">
      <w:pPr>
        <w:pStyle w:val="Text1"/>
        <w:rPr>
          <w:noProof/>
        </w:rPr>
      </w:pPr>
      <w:r>
        <w:rPr>
          <w:noProof/>
        </w:rPr>
        <w:t>Η πρόταση/πρωτοβουλία:</w:t>
      </w:r>
    </w:p>
    <w:p w:rsidR="009F5731" w:rsidRDefault="005C2A57">
      <w:pPr>
        <w:pStyle w:val="ListDash1"/>
        <w:rPr>
          <w:noProof/>
        </w:rPr>
      </w:pPr>
      <w:r>
        <w:rPr>
          <w:b/>
          <w:noProof/>
        </w:rPr>
        <w:t>X</w:t>
      </w:r>
      <w:r>
        <w:rPr>
          <w:noProof/>
        </w:rPr>
        <w:t xml:space="preserve"> δεν προβλέπει συγχρηματοδότηση από τρίτους</w:t>
      </w:r>
    </w:p>
    <w:p w:rsidR="009F5731" w:rsidRDefault="005C2A57">
      <w:pPr>
        <w:pStyle w:val="ListDash1"/>
        <w:rPr>
          <w:noProof/>
        </w:rPr>
      </w:pPr>
      <w:r>
        <w:rPr>
          <w:noProof/>
        </w:rPr>
        <w:tab/>
        <w:t>προβλέπει τη συγχρηματοδότηση από τρίτους που εκτιμάται παρακάτω:</w:t>
      </w:r>
    </w:p>
    <w:p w:rsidR="009F5731" w:rsidRDefault="005C2A57">
      <w:pPr>
        <w:jc w:val="right"/>
        <w:rPr>
          <w:noProof/>
          <w:sz w:val="20"/>
        </w:rPr>
      </w:pPr>
      <w:r>
        <w:rPr>
          <w:noProof/>
          <w:sz w:val="20"/>
        </w:rPr>
        <w:t xml:space="preserve">Πιστώσεις σε EUR </w:t>
      </w:r>
    </w:p>
    <w:p w:rsidR="009F5731" w:rsidRDefault="009F5731">
      <w:pPr>
        <w:jc w:val="right"/>
        <w:rPr>
          <w:noProof/>
          <w:sz w:val="20"/>
        </w:rPr>
      </w:pPr>
    </w:p>
    <w:p w:rsidR="009F5731" w:rsidRDefault="005C2A57">
      <w:pPr>
        <w:rPr>
          <w:noProof/>
        </w:rPr>
      </w:pPr>
      <w:r>
        <w:rPr>
          <w:noProof/>
        </w:rPr>
        <w:br/>
      </w:r>
    </w:p>
    <w:p w:rsidR="009F5731" w:rsidRDefault="005C2A57">
      <w:pPr>
        <w:pStyle w:val="ManualHeading2"/>
        <w:rPr>
          <w:bCs/>
          <w:noProof/>
          <w:szCs w:val="24"/>
        </w:rPr>
      </w:pPr>
      <w:r>
        <w:rPr>
          <w:noProof/>
        </w:rPr>
        <w:br w:type="page"/>
      </w:r>
      <w:bookmarkStart w:id="53" w:name="_Toc514938059"/>
      <w:bookmarkStart w:id="54" w:name="_Toc520485057"/>
      <w:r>
        <w:t>3.3.</w:t>
      </w:r>
      <w:r>
        <w:tab/>
      </w:r>
      <w:r>
        <w:rPr>
          <w:noProof/>
        </w:rPr>
        <w:t>Εκτιμώμενες επιπτώσεις στα έσοδα</w:t>
      </w:r>
      <w:bookmarkEnd w:id="53"/>
      <w:bookmarkEnd w:id="54"/>
      <w:r>
        <w:rPr>
          <w:noProof/>
        </w:rPr>
        <w:t xml:space="preserve"> </w:t>
      </w:r>
    </w:p>
    <w:p w:rsidR="009F5731" w:rsidRDefault="005C2A57">
      <w:pPr>
        <w:pStyle w:val="ListDash1"/>
        <w:rPr>
          <w:noProof/>
        </w:rPr>
      </w:pPr>
      <w:r>
        <w:rPr>
          <w:b/>
          <w:noProof/>
        </w:rPr>
        <w:t>Χ</w:t>
      </w:r>
      <w:r>
        <w:rPr>
          <w:noProof/>
        </w:rPr>
        <w:tab/>
        <w:t xml:space="preserve">Η πρόταση/πρωτοβουλία δεν έχει δημοσιονομικές επιπτώσεις στα έσοδα. </w:t>
      </w:r>
    </w:p>
    <w:p w:rsidR="009F5731" w:rsidRDefault="005C2A57">
      <w:pPr>
        <w:pStyle w:val="ListDash1"/>
        <w:rPr>
          <w:noProof/>
        </w:rPr>
      </w:pPr>
      <w:r>
        <w:rPr>
          <w:noProof/>
        </w:rPr>
        <w:tab/>
        <w:t>Η πρόταση/πρωτοβουλία έχει τις δημοσιονομικές επιπτώσεις που περιγράφονται κατωτέρω:</w:t>
      </w:r>
    </w:p>
    <w:p w:rsidR="009F5731" w:rsidRDefault="005C2A57">
      <w:pPr>
        <w:pStyle w:val="Tiret2"/>
        <w:numPr>
          <w:ilvl w:val="0"/>
          <w:numId w:val="16"/>
        </w:numPr>
        <w:rPr>
          <w:noProof/>
        </w:rPr>
      </w:pPr>
      <w:r>
        <w:rPr>
          <w:noProof/>
        </w:rPr>
        <w:sym w:font="Wingdings" w:char="F0A8"/>
      </w:r>
      <w:r>
        <w:rPr>
          <w:noProof/>
        </w:rPr>
        <w:tab/>
        <w:t xml:space="preserve">στους ιδίους πόρους </w:t>
      </w:r>
    </w:p>
    <w:p w:rsidR="009F5731" w:rsidRDefault="005C2A57">
      <w:pPr>
        <w:pStyle w:val="Tiret2"/>
        <w:rPr>
          <w:noProof/>
        </w:rPr>
      </w:pPr>
      <w:r>
        <w:rPr>
          <w:noProof/>
        </w:rPr>
        <w:sym w:font="Wingdings" w:char="F0A8"/>
      </w:r>
      <w:r>
        <w:rPr>
          <w:noProof/>
        </w:rPr>
        <w:tab/>
        <w:t>στα λοιπά έσοδα</w:t>
      </w:r>
    </w:p>
    <w:p w:rsidR="009F5731" w:rsidRDefault="005C2A57">
      <w:pPr>
        <w:pStyle w:val="Tiret2"/>
        <w:rPr>
          <w:noProof/>
        </w:rPr>
      </w:pPr>
      <w:r>
        <w:rPr>
          <w:noProof/>
        </w:rPr>
        <w:t>Να αναφερθεί αν τα έσοδα</w:t>
      </w:r>
      <w:r>
        <w:rPr>
          <w:noProof/>
        </w:rPr>
        <w:t xml:space="preserve"> προορίζονται για γραμμές δαπανών Χ</w:t>
      </w:r>
      <w:r>
        <w:rPr>
          <w:noProof/>
        </w:rPr>
        <w:tab/>
      </w:r>
    </w:p>
    <w:p w:rsidR="009F5731" w:rsidRDefault="009F5731">
      <w:pPr>
        <w:pStyle w:val="ListNumberLevel3"/>
        <w:tabs>
          <w:tab w:val="clear" w:pos="2126"/>
        </w:tabs>
        <w:ind w:firstLine="0"/>
        <w:rPr>
          <w:noProof/>
        </w:rPr>
      </w:pPr>
    </w:p>
    <w:p w:rsidR="009F5731" w:rsidRDefault="005C2A57">
      <w:pPr>
        <w:ind w:left="4320"/>
        <w:rPr>
          <w:i/>
          <w:noProof/>
          <w:sz w:val="20"/>
        </w:rPr>
      </w:pPr>
      <w:r>
        <w:rPr>
          <w:noProof/>
        </w:rPr>
        <w:t xml:space="preserve">     EUR </w:t>
      </w:r>
    </w:p>
    <w:p w:rsidR="009F5731" w:rsidRDefault="005C2A57">
      <w:pPr>
        <w:pStyle w:val="Text1"/>
        <w:rPr>
          <w:noProof/>
          <w:sz w:val="20"/>
        </w:rPr>
      </w:pPr>
      <w:r>
        <w:rPr>
          <w:noProof/>
        </w:rPr>
        <w:br/>
      </w:r>
    </w:p>
    <w:p w:rsidR="009F5731" w:rsidRDefault="005C2A57">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rsidR="009F5731" w:rsidRDefault="005C2A57">
      <w:pPr>
        <w:pStyle w:val="Text1"/>
        <w:pBdr>
          <w:top w:val="single" w:sz="4" w:space="1" w:color="auto"/>
          <w:left w:val="single" w:sz="4" w:space="4" w:color="auto"/>
          <w:bottom w:val="single" w:sz="4" w:space="1" w:color="auto"/>
          <w:right w:val="single" w:sz="4" w:space="4" w:color="auto"/>
        </w:pBdr>
        <w:rPr>
          <w:noProof/>
        </w:rPr>
      </w:pPr>
      <w:r>
        <w:t>Άνευ αντικειμένου</w:t>
      </w:r>
    </w:p>
    <w:p w:rsidR="009F5731" w:rsidRDefault="005C2A57">
      <w:pPr>
        <w:pStyle w:val="Text1"/>
        <w:rPr>
          <w:noProof/>
        </w:rPr>
      </w:pPr>
      <w:r>
        <w:rPr>
          <w:noProof/>
          <w:sz w:val="20"/>
        </w:rPr>
        <w:t xml:space="preserve">Άλλες παρατηρήσεις (π.χ. μέθοδος/τύπος για τον υπολογισμό των επιπτώσεων </w:t>
      </w:r>
      <w:r>
        <w:rPr>
          <w:noProof/>
          <w:sz w:val="20"/>
        </w:rPr>
        <w:t>στα έσοδα ή τυχόν άλλες πληροφορίες).</w:t>
      </w:r>
    </w:p>
    <w:sectPr w:rsidR="009F573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31" w:rsidRDefault="005C2A57">
      <w:pPr>
        <w:spacing w:before="0" w:after="0"/>
      </w:pPr>
      <w:r>
        <w:separator/>
      </w:r>
    </w:p>
  </w:endnote>
  <w:endnote w:type="continuationSeparator" w:id="0">
    <w:p w:rsidR="009F5731" w:rsidRDefault="005C2A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5C2A57">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5C2A57">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9F5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5C2A57">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9F5731">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5C2A57">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9F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31" w:rsidRDefault="005C2A57">
      <w:pPr>
        <w:spacing w:before="0" w:after="0"/>
      </w:pPr>
      <w:r>
        <w:separator/>
      </w:r>
    </w:p>
  </w:footnote>
  <w:footnote w:type="continuationSeparator" w:id="0">
    <w:p w:rsidR="009F5731" w:rsidRDefault="005C2A57">
      <w:pPr>
        <w:spacing w:before="0" w:after="0"/>
      </w:pPr>
      <w:r>
        <w:continuationSeparator/>
      </w:r>
    </w:p>
  </w:footnote>
  <w:footnote w:id="1">
    <w:p w:rsidR="009F5731" w:rsidRDefault="005C2A57">
      <w:pPr>
        <w:pStyle w:val="FootnoteText"/>
        <w:rPr>
          <w:lang w:val="fr-BE"/>
        </w:rPr>
      </w:pPr>
      <w:r>
        <w:rPr>
          <w:rStyle w:val="FootnoteReference"/>
        </w:rPr>
        <w:footnoteRef/>
      </w:r>
      <w:r>
        <w:tab/>
      </w:r>
      <w:hyperlink r:id="rId1">
        <w:r>
          <w:rPr>
            <w:rStyle w:val="Hyperlink"/>
          </w:rPr>
          <w:t>https://ec.europa.eu/commission/sites/beta-political/files/draft_withdrawal_agreement_0.pdf</w:t>
        </w:r>
      </w:hyperlink>
      <w:r>
        <w:t>.</w:t>
      </w:r>
    </w:p>
  </w:footnote>
  <w:footnote w:id="2">
    <w:p w:rsidR="009F5731" w:rsidRDefault="005C2A57">
      <w:pPr>
        <w:pStyle w:val="FootnoteText"/>
      </w:pPr>
      <w:r>
        <w:rPr>
          <w:rStyle w:val="FootnoteReference"/>
        </w:rPr>
        <w:footnoteRef/>
      </w:r>
      <w:r>
        <w:tab/>
      </w:r>
      <w:r>
        <w:t>COM(2018) 880 τελικό της 13.11.2018.</w:t>
      </w:r>
    </w:p>
  </w:footnote>
  <w:footnote w:id="3">
    <w:p w:rsidR="009F5731" w:rsidRDefault="005C2A57">
      <w:pPr>
        <w:pStyle w:val="FootnoteText"/>
      </w:pPr>
      <w:r>
        <w:rPr>
          <w:rStyle w:val="FootnoteReference"/>
        </w:rPr>
        <w:footnoteRef/>
      </w:r>
      <w:r>
        <w:tab/>
        <w:t>Άντληση έμπνευσης από την πρόταση κανονισμού του Ευρωπαϊκού Κοινοβουλίου και του Συμβουλίου για την τροποποίηση του κανονισμού (ΕΕ) αριθ. 1316/2013 όσον αφορά την αποχώρηση του Ηνωμένου Βασιλείου από την Ένωση - COM(2</w:t>
      </w:r>
      <w:r>
        <w:t>018) 568, της 1.8.2018.</w:t>
      </w:r>
    </w:p>
  </w:footnote>
  <w:footnote w:id="4">
    <w:p w:rsidR="009F5731" w:rsidRDefault="005C2A57">
      <w:pPr>
        <w:pStyle w:val="FootnoteText"/>
      </w:pPr>
      <w:r>
        <w:rPr>
          <w:rStyle w:val="FootnoteReference"/>
        </w:rPr>
        <w:footnoteRef/>
      </w:r>
      <w:r>
        <w:tab/>
        <w:t>ΕΕ C , , σ. .</w:t>
      </w:r>
    </w:p>
  </w:footnote>
  <w:footnote w:id="5">
    <w:p w:rsidR="009F5731" w:rsidRDefault="005C2A57">
      <w:pPr>
        <w:pStyle w:val="FootnoteText"/>
      </w:pPr>
      <w:r>
        <w:rPr>
          <w:rStyle w:val="FootnoteReference"/>
        </w:rPr>
        <w:footnoteRef/>
      </w:r>
      <w:r>
        <w:tab/>
        <w:t>ΕΕ C , , σ. .</w:t>
      </w:r>
    </w:p>
  </w:footnote>
  <w:footnote w:id="6">
    <w:p w:rsidR="009F5731" w:rsidRDefault="005C2A57">
      <w:pPr>
        <w:pStyle w:val="FootnoteText"/>
      </w:pPr>
      <w:r>
        <w:rPr>
          <w:rStyle w:val="FootnoteReference"/>
        </w:rPr>
        <w:footnoteRef/>
      </w:r>
      <w:r>
        <w:tab/>
        <w:t>Κανονισμός (ΕΕ) αριθ. 1299/2013 του Ευρωπαϊκού Κοινοβουλίου και του Συμβουλίου, της 17ης Δεκεμβρίου 2013, περί καθορισμού ειδικών διατάξεων για την υποστήριξη του στόχου της Ευρωπαϊκής εδαφικής συνε</w:t>
      </w:r>
      <w:r>
        <w:t>ργασίας από το Ευρωπαϊκό Ταμείο Περιφερειακής Ανάπτυξης (ΕΕ L 347 της 20.12.2013, σ. 259).</w:t>
      </w:r>
    </w:p>
  </w:footnote>
  <w:footnote w:id="7">
    <w:p w:rsidR="009F5731" w:rsidRDefault="005C2A57">
      <w:pPr>
        <w:pStyle w:val="FootnoteText"/>
      </w:pPr>
      <w:r>
        <w:rPr>
          <w:rStyle w:val="FootnoteReference"/>
        </w:rPr>
        <w:footnoteRef/>
      </w:r>
      <w:r>
        <w:tab/>
        <w:t xml:space="preserve">Κανονισμός (ΕΕ) αριθ. 1303/2013 του Ευρωπαϊκού Κοινοβουλίου και του Συμβουλίου, της 17ης Δεκεμβρίου 2013, περί καθορισμού κοινών διατάξεων για το Ευρωπαϊκό Ταμείο </w:t>
      </w:r>
      <w:r>
        <w:t xml:space="preserve">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w:t>
      </w:r>
      <w:r>
        <w:t>το Ευρωπαϊκό Κοινωνικό Ταμείο, το Ταμείο Συνοχής και το Ευρωπαϊκό Ταμείο Θάλασσας και Αλιείας και για την κατάργηση του κανονισμού (ΕΚ) αριθ. 1083/2006 (ΕΕ L 347 της 20.12.2013, σ. 320).</w:t>
      </w:r>
    </w:p>
  </w:footnote>
  <w:footnote w:id="8">
    <w:p w:rsidR="009F5731" w:rsidRDefault="005C2A57">
      <w:pPr>
        <w:pStyle w:val="FootnoteText"/>
      </w:pPr>
      <w:r>
        <w:rPr>
          <w:rStyle w:val="FootnoteReference"/>
        </w:rPr>
        <w:footnoteRef/>
      </w:r>
      <w:r>
        <w:tab/>
        <w:t xml:space="preserve">Κανονισμός (ΕΕ, Ευρατόμ) 2018/1046 του Ευρωπαϊκού Κοινοβουλίου και </w:t>
      </w:r>
      <w:r>
        <w:t>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w:t>
      </w:r>
      <w:r>
        <w:t>) αριθ. 1309/2013, (ΕΕ) αριθ. 1316/2013, (ΕΕ) αριθ. 223/2014, (ΕΕ) αριθ. 283/2014, και της απόφασης αριθ. 541/2014/ΕΕ και για την κατάργηση του κανονισμού (ΕΚ, Ευρατόμ) αριθ. 966/2012 (ΕΕ L 193 της 30.7.2018, σ. 1).</w:t>
      </w:r>
    </w:p>
  </w:footnote>
  <w:footnote w:id="9">
    <w:p w:rsidR="009F5731" w:rsidRDefault="005C2A57">
      <w:pPr>
        <w:pStyle w:val="FootnoteText"/>
        <w:jc w:val="left"/>
        <w:rPr>
          <w:szCs w:val="24"/>
        </w:rPr>
      </w:pPr>
      <w:r>
        <w:rPr>
          <w:rStyle w:val="FootnoteReference"/>
        </w:rPr>
        <w:footnoteRef/>
      </w:r>
      <w:r>
        <w:tab/>
        <w:t>Οι λεπτομέρειες σχετικά με τους τρόπου</w:t>
      </w:r>
      <w:r>
        <w:t xml:space="preserve">ς διαχείρισης, καθώς και οι παραπομπές στον δημοσιονομικό κανονισμό είναι διαθέσιμες στον ιστότοπο BudgWeb: </w:t>
      </w:r>
      <w:hyperlink r:id="rId2">
        <w:r>
          <w:rPr>
            <w:rStyle w:val="Hyperlink"/>
          </w:rPr>
          <w:t>https://myintracomm.ec.europa.eu/budgweb/EL/man/bu</w:t>
        </w:r>
        <w:r>
          <w:rPr>
            <w:rStyle w:val="Hyperlink"/>
          </w:rPr>
          <w:t>dgmanag/Pages/budgmanag.aspx</w:t>
        </w:r>
      </w:hyperlink>
      <w:r>
        <w:t xml:space="preserve"> </w:t>
      </w:r>
    </w:p>
  </w:footnote>
  <w:footnote w:id="10">
    <w:p w:rsidR="009F5731" w:rsidRDefault="005C2A57">
      <w:pPr>
        <w:pStyle w:val="FootnoteText"/>
        <w:rPr>
          <w:szCs w:val="24"/>
        </w:rPr>
      </w:pPr>
      <w:r>
        <w:rPr>
          <w:rStyle w:val="FootnoteReference"/>
        </w:rPr>
        <w:footnoteRef/>
      </w:r>
      <w:r>
        <w:tab/>
        <w:t>ΔΠ = Διαχωριζόμενες πιστώσεις / ΜΔΠ = Μη διαχωριζόμενες πιστώσεις.</w:t>
      </w:r>
    </w:p>
  </w:footnote>
  <w:footnote w:id="11">
    <w:p w:rsidR="009F5731" w:rsidRDefault="005C2A57">
      <w:pPr>
        <w:pStyle w:val="FootnoteText"/>
        <w:rPr>
          <w:szCs w:val="24"/>
        </w:rPr>
      </w:pPr>
      <w:r>
        <w:rPr>
          <w:rStyle w:val="FootnoteReference"/>
        </w:rPr>
        <w:footnoteRef/>
      </w:r>
      <w:r>
        <w:tab/>
        <w:t xml:space="preserve">ΕΖΕΣ: Ευρωπαϊκή Ζώνη Ελεύθερων Συναλλαγών. </w:t>
      </w:r>
    </w:p>
  </w:footnote>
  <w:footnote w:id="12">
    <w:p w:rsidR="009F5731" w:rsidRDefault="005C2A57">
      <w:pPr>
        <w:pStyle w:val="FootnoteText"/>
        <w:rPr>
          <w:szCs w:val="24"/>
        </w:rPr>
      </w:pPr>
      <w:r>
        <w:rPr>
          <w:rStyle w:val="FootnoteReference"/>
        </w:rPr>
        <w:footnoteRef/>
      </w:r>
      <w:r>
        <w:tab/>
        <w:t>Υποψήφιες χώρες και, κατά περίπτωση, δυνάμει υποψήφια μέλη της ΕΕ από τα Δυτικά Βαλκάνια.</w:t>
      </w:r>
    </w:p>
  </w:footnote>
  <w:footnote w:id="13">
    <w:p w:rsidR="009F5731" w:rsidRDefault="005C2A57">
      <w:pPr>
        <w:pStyle w:val="FootnoteText"/>
        <w:rPr>
          <w:szCs w:val="24"/>
        </w:rPr>
      </w:pPr>
      <w:r>
        <w:rPr>
          <w:rStyle w:val="FootnoteReference"/>
        </w:rPr>
        <w:footnoteRef/>
      </w:r>
      <w:r>
        <w:tab/>
      </w:r>
      <w:r>
        <w:rPr>
          <w:sz w:val="18"/>
        </w:rPr>
        <w:t>Το έτος N είναι τ</w:t>
      </w:r>
      <w:r>
        <w:rPr>
          <w:sz w:val="18"/>
        </w:rPr>
        <w:t>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14">
    <w:p w:rsidR="009F5731" w:rsidRDefault="005C2A57">
      <w:pPr>
        <w:pStyle w:val="FootnoteText"/>
        <w:rPr>
          <w:szCs w:val="24"/>
        </w:rPr>
      </w:pPr>
      <w:r>
        <w:rPr>
          <w:rStyle w:val="FootnoteReference"/>
        </w:rPr>
        <w:footnoteRef/>
      </w:r>
      <w:r>
        <w:tab/>
        <w:t>Αποτελέσματα θα είναι τα προϊόντα και οι υπηρεσίες που θα παρασχεθούν (παράδειγμα:</w:t>
      </w:r>
      <w:r>
        <w:t xml:space="preserve"> αριθμός ανταλλαγών σπουδαστών που θα χρηματοδοτηθούν, αριθμός χλμ. οδών που θα κατασκευαστούν, κ.λπ.)</w:t>
      </w:r>
    </w:p>
  </w:footnote>
  <w:footnote w:id="15">
    <w:p w:rsidR="009F5731" w:rsidRDefault="005C2A57">
      <w:pPr>
        <w:pStyle w:val="FootnoteText"/>
        <w:rPr>
          <w:szCs w:val="24"/>
        </w:rPr>
      </w:pPr>
      <w:r>
        <w:rPr>
          <w:rStyle w:val="FootnoteReference"/>
        </w:rPr>
        <w:footnoteRef/>
      </w:r>
      <w:r>
        <w:tab/>
        <w:t xml:space="preserve">Όπως περιγράφεται στο σημείο 1.4.2. «Ειδικοί στόχοι…». </w:t>
      </w:r>
    </w:p>
  </w:footnote>
  <w:footnote w:id="16">
    <w:p w:rsidR="009F5731" w:rsidRDefault="005C2A57">
      <w:pPr>
        <w:pStyle w:val="FootnoteText"/>
        <w:rPr>
          <w:sz w:val="18"/>
          <w:szCs w:val="18"/>
        </w:rPr>
      </w:pPr>
      <w:r>
        <w:rPr>
          <w:rStyle w:val="FootnoteReference"/>
        </w:rPr>
        <w:footnoteRef/>
      </w:r>
      <w:r>
        <w:tab/>
      </w:r>
      <w:r>
        <w:rPr>
          <w:sz w:val="18"/>
        </w:rPr>
        <w:t>Το έτος N είναι το έτος έναρξης εφαρμογής της πρότασης/πρωτοβουλίας. Να αντικατασταθεί το «N»</w:t>
      </w:r>
      <w:r>
        <w:rPr>
          <w:sz w:val="18"/>
        </w:rPr>
        <w:t xml:space="preserve"> με το αναμενόμενο πρώτο έτος εφαρμογής (για παράδειγμα: 2021). Το ίδιο και για τα επόμενα έτη.</w:t>
      </w:r>
    </w:p>
  </w:footnote>
  <w:footnote w:id="17">
    <w:p w:rsidR="009F5731" w:rsidRDefault="005C2A57">
      <w:pPr>
        <w:pStyle w:val="FootnoteText"/>
        <w:rPr>
          <w:szCs w:val="24"/>
        </w:rPr>
      </w:pPr>
      <w:r>
        <w:rPr>
          <w:rStyle w:val="FootnoteReference"/>
        </w:rPr>
        <w:footnoteRef/>
      </w:r>
      <w:r>
        <w:tab/>
      </w:r>
      <w:r>
        <w:rPr>
          <w:sz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8">
    <w:p w:rsidR="009F5731" w:rsidRDefault="005C2A57">
      <w:pPr>
        <w:pStyle w:val="FootnoteText"/>
      </w:pPr>
      <w:r>
        <w:rPr>
          <w:rStyle w:val="FootnoteReference"/>
        </w:rPr>
        <w:footnoteRef/>
      </w:r>
      <w:r>
        <w:tab/>
        <w:t xml:space="preserve">AC </w:t>
      </w:r>
      <w:r>
        <w:t xml:space="preserve">=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19">
    <w:p w:rsidR="009F5731" w:rsidRDefault="005C2A57">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w:t>
      </w:r>
      <w:r>
        <w:t>τώσεις (πρώην γραμμές «BA»).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9F5731">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9F5731">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9F57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31" w:rsidRDefault="009F5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22"/>
  </w:num>
  <w:num w:numId="18">
    <w:abstractNumId w:val="14"/>
  </w:num>
  <w:num w:numId="19">
    <w:abstractNumId w:val="24"/>
  </w:num>
  <w:num w:numId="20">
    <w:abstractNumId w:val="12"/>
  </w:num>
  <w:num w:numId="21">
    <w:abstractNumId w:val="15"/>
  </w:num>
  <w:num w:numId="22">
    <w:abstractNumId w:val="10"/>
  </w:num>
  <w:num w:numId="23">
    <w:abstractNumId w:val="23"/>
  </w:num>
  <w:num w:numId="24">
    <w:abstractNumId w:val="9"/>
  </w:num>
  <w:num w:numId="25">
    <w:abstractNumId w:val="16"/>
  </w:num>
  <w:num w:numId="26">
    <w:abstractNumId w:val="20"/>
  </w:num>
  <w:num w:numId="27">
    <w:abstractNumId w:val="21"/>
  </w:num>
  <w:num w:numId="28">
    <w:abstractNumId w:val="11"/>
  </w:num>
  <w:num w:numId="29">
    <w:abstractNumId w:val="19"/>
  </w:num>
  <w:num w:numId="30">
    <w:abstractNumId w:val="25"/>
  </w:num>
  <w:num w:numId="31">
    <w:abstractNumId w:val="22"/>
  </w:num>
  <w:num w:numId="32">
    <w:abstractNumId w:val="14"/>
  </w:num>
  <w:num w:numId="33">
    <w:abstractNumId w:val="24"/>
  </w:num>
  <w:num w:numId="34">
    <w:abstractNumId w:val="12"/>
  </w:num>
  <w:num w:numId="35">
    <w:abstractNumId w:val="15"/>
  </w:num>
  <w:num w:numId="36">
    <w:abstractNumId w:val="10"/>
  </w:num>
  <w:num w:numId="37">
    <w:abstractNumId w:val="23"/>
  </w:num>
  <w:num w:numId="38">
    <w:abstractNumId w:val="9"/>
  </w:num>
  <w:num w:numId="39">
    <w:abstractNumId w:val="16"/>
  </w:num>
  <w:num w:numId="40">
    <w:abstractNumId w:val="20"/>
  </w:num>
  <w:num w:numId="41">
    <w:abstractNumId w:val="21"/>
  </w:num>
  <w:num w:numId="42">
    <w:abstractNumId w:val="11"/>
  </w:num>
  <w:num w:numId="43">
    <w:abstractNumId w:val="19"/>
  </w:num>
  <w:num w:numId="4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hideSpellingErrors/>
  <w:hideGrammaticalErrors/>
  <w:attachedTemplate r:id="rId1"/>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4:39: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Yellow"/>
    <w:docVar w:name="DQCVersion" w:val="3"/>
    <w:docVar w:name="DQCWithWarnings" w:val="0"/>
    <w:docVar w:name="FigNum" w:val="1"/>
    <w:docVar w:name="LW_CORRIGENDUM" w:val="&lt;UNUSED&gt;"/>
    <w:docVar w:name="LW_COVERPAGE_EXISTS" w:val="True"/>
    <w:docVar w:name="LW_COVERPAGE_GUID" w:val="C4C4D0AB-8F00-46A1-A121-349B3B828AFB"/>
    <w:docVar w:name="LW_COVERPAGE_TYPE" w:val="1"/>
    <w:docVar w:name="LW_CROSSREFERENCE" w:val="&lt;UNUSED&gt;"/>
    <w:docVar w:name="LW_DocType" w:val="COM"/>
    <w:docVar w:name="LW_EMISSION" w:val="19.12.2018"/>
    <w:docVar w:name="LW_EMISSION_ISODATE" w:val="2018-12-19"/>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49?\u958?\u945?\u963?\u966?\u940?\u955?\u953?\u963?\u951? \u964?\u951?\u962? \u963?\u965?\u957?\u941?\u967?\u953?\u963?\u951?\u962? \u964?\u969?\u957? \u960?\u961?\u959?\u947?\u961?\u945?\u956?\u956?\u940?\u964?\u969?\u957? \u949?\u948?\u945?\u966?\u953?\u954?\u942?\u962? \u963?\u965?\u957?\u949?\u961?\u947?\u945?\u963?\u943?\u945?\u962? PEACE IV (\u921?\u961?\u955?\u945?\u957?\u948?\u943?\u945?-\u919?\u957?\u969?\u956?\u941?\u957?\u959? \u914?\u945?\u963?\u943?\u955?\u949?\u953?\u959?) \u954?\u945?\u953? «\u919?\u957?\u969?\u956?\u941?\u957?\u959? \u914?\u945?\u963?\u943?\u955?\u949?\u953?\u959?-\u921?\u961?\u955?\u945?\u957?\u948?\u943?\u945?» (\u921?\u961?\u955?\u945?\u957?\u948?\u943?\u945?-\u914?\u972?\u961?\u949?\u953?\u945? \u921?\u961?\u955?\u945?\u957?\u948?\u943?\u945?-\u931?\u954?\u969?\u964?\u943?\u945?) \u963?\u964?\u959? \u960?\u955?\u945?\u943?\u963?\u953?\u959? \u964?\u951?\u962? \u945?\u960?\u959?\u967?\u974?\u961?\u951?\u963?\u951?\u962? \u964?\u959?\u965? \u919?\u957?\u969?\u956?\u941?\u957?\u959?\u965? \u914?\u945?\u963?\u953?\u955?\u949?\u943?\u959?\u965? \u945?\u960?\u972? \u964?\u951?\u957? \u917?\u965?\u961?\u969?\u960?\u945?\u970?\u954?\u942? \u904?\u957?\u969?\u963?\u951?"/>
    <w:docVar w:name="LW_TYPE.DOC.CP" w:val="\u922?\u913?\u925?\u927?\u925?\u921?\u931?\u924?\u927?\u931? \u932?\u927?\u933? \u917?\u933?\u929?\u937?\u928?\u913?\u938?\u922?\u927?\u933? \u922?\u927?\u921?\u925?\u927?\u914?\u927?\u933?\u923?\u921?\u927?\u933? \u922?\u913?\u921? \u932?\u927?\u933? \u931?\u933?\u924?\u914?\u927?\u933?\u923?\u921?\u927?\u933?"/>
  </w:docVars>
  <w:rsids>
    <w:rsidRoot w:val="009F5731"/>
    <w:rsid w:val="005C2A57"/>
    <w:rsid w:val="009F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l-G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l-GR"/>
    </w:rPr>
  </w:style>
  <w:style w:type="character" w:customStyle="1" w:styleId="FooterCoverPageChar">
    <w:name w:val="Footer Cover Page Char"/>
    <w:basedOn w:val="TOCHeadingChar"/>
    <w:link w:val="FooterCoverPage"/>
    <w:rPr>
      <w:rFonts w:ascii="Times New Roman" w:hAnsi="Times New Roman" w:cs="Times New Roman"/>
      <w:b w:val="0"/>
      <w:sz w:val="24"/>
      <w:lang w:val="el-G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el-GR" w:eastAsia="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intracomm.ec.europa.eu/budgweb/EN/leg/internal/Documents/2016-5-legislative-financial-statement-ann-en.doc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L/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865B-36F0-4138-B199-ECE1D0A637C6}">
  <ds:schemaRefs>
    <ds:schemaRef ds:uri="http://purl.org/dc/elements/1.1/"/>
    <ds:schemaRef ds:uri="http://purl.org/dc/dcmitype/"/>
    <ds:schemaRef ds:uri="http://schemas.microsoft.com/sharepoint/v3/fields"/>
    <ds:schemaRef ds:uri="25173920-bf43-43cc-9123-1897e847dfc2"/>
    <ds:schemaRef ds:uri="http://schemas.microsoft.com/sharepoint/v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3.xml><?xml version="1.0" encoding="utf-8"?>
<ds:datastoreItem xmlns:ds="http://schemas.openxmlformats.org/officeDocument/2006/customXml" ds:itemID="{C9EAE0B0-F058-49FE-8663-1102E71390BC}">
  <ds:schemaRefs>
    <ds:schemaRef ds:uri="office.server.policy"/>
  </ds:schemaRefs>
</ds:datastoreItem>
</file>

<file path=customXml/itemProps4.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095E7C-3387-4BA9-B7FE-E0928CC8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21</Pages>
  <Words>4014</Words>
  <Characters>24327</Characters>
  <Application>Microsoft Office Word</Application>
  <DocSecurity>0</DocSecurity>
  <Lines>1280</Lines>
  <Paragraphs>399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2018-12-20T13:38:00Z</dcterms:created>
  <dcterms:modified xsi:type="dcterms:W3CDTF">2018-12-21T09:33:00Z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Yellow (DQC version 03)</vt:lpwstr>
  </property>
</Properties>
</file>