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6B575847-C84E-4FD9-859D-1A85B2FB3847" style="width:451.5pt;height:461.25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pPr>
        <w:jc w:val="center"/>
        <w:rPr>
          <w:rFonts w:ascii="Times New Roman" w:hAnsi="Times New Roman" w:cs="Times New Roman"/>
          <w:b/>
          <w:noProof/>
          <w:u w:val="single"/>
        </w:rPr>
      </w:pPr>
      <w:bookmarkStart w:id="1" w:name="_GoBack"/>
      <w:bookmarkEnd w:id="1"/>
      <w:r>
        <w:rPr>
          <w:rFonts w:ascii="Times New Roman" w:hAnsi="Times New Roman"/>
          <w:b/>
          <w:noProof/>
          <w:u w:val="single"/>
        </w:rPr>
        <w:lastRenderedPageBreak/>
        <w:t>ANNESS</w:t>
      </w:r>
    </w:p>
    <w:p>
      <w:pPr>
        <w:pStyle w:val="Pa35"/>
        <w:rPr>
          <w:rFonts w:ascii="Times New Roman" w:hAnsi="Times New Roman" w:cs="Times New Roman"/>
          <w:noProof/>
          <w:color w:val="000000"/>
          <w:sz w:val="23"/>
          <w:szCs w:val="23"/>
        </w:rPr>
      </w:pPr>
      <w:r>
        <w:rPr>
          <w:rStyle w:val="A13"/>
          <w:rFonts w:ascii="Times New Roman" w:hAnsi="Times New Roman"/>
          <w:noProof/>
          <w:sz w:val="23"/>
        </w:rPr>
        <w:t>TWETTIQ TAL-PRIJORITAJIET LEĠIŻLATTIVI</w:t>
      </w:r>
      <w:r>
        <w:rPr>
          <w:rStyle w:val="A13"/>
          <w:rFonts w:ascii="Times New Roman" w:hAnsi="Times New Roman" w:cs="Times New Roman"/>
          <w:noProof/>
          <w:sz w:val="23"/>
          <w:szCs w:val="23"/>
        </w:rPr>
        <w:br/>
      </w:r>
    </w:p>
    <w:tbl>
      <w:tblPr>
        <w:tblStyle w:val="TableGrid"/>
        <w:tblW w:w="11326" w:type="dxa"/>
        <w:tblInd w:w="250" w:type="dxa"/>
        <w:tblLook w:val="04A0" w:firstRow="1" w:lastRow="0" w:firstColumn="1" w:lastColumn="0" w:noHBand="0" w:noVBand="1"/>
      </w:tblPr>
      <w:tblGrid>
        <w:gridCol w:w="392"/>
        <w:gridCol w:w="10934"/>
      </w:tblGrid>
      <w:tr>
        <w:tc>
          <w:tcPr>
            <w:tcW w:w="392" w:type="dxa"/>
            <w:tcBorders>
              <w:right w:val="single" w:sz="4" w:space="0" w:color="auto"/>
            </w:tcBorders>
            <w:shd w:val="clear" w:color="auto" w:fill="00B050"/>
          </w:tcPr>
          <w:p>
            <w:pPr>
              <w:rPr>
                <w:rFonts w:ascii="Times New Roman" w:hAnsi="Times New Roman" w:cs="Times New Roman"/>
                <w:noProof/>
                <w:color w:val="000000"/>
                <w:szCs w:val="20"/>
              </w:rPr>
            </w:pPr>
          </w:p>
        </w:tc>
        <w:tc>
          <w:tcPr>
            <w:tcW w:w="10934" w:type="dxa"/>
            <w:tcBorders>
              <w:top w:val="nil"/>
              <w:left w:val="single" w:sz="4" w:space="0" w:color="auto"/>
              <w:bottom w:val="nil"/>
              <w:right w:val="nil"/>
            </w:tcBorders>
          </w:tcPr>
          <w:p>
            <w:pPr>
              <w:rPr>
                <w:rFonts w:ascii="Times New Roman" w:hAnsi="Times New Roman" w:cs="Times New Roman"/>
                <w:noProof/>
                <w:color w:val="000000"/>
                <w:szCs w:val="20"/>
              </w:rPr>
            </w:pPr>
            <w:r>
              <w:rPr>
                <w:rFonts w:ascii="Times New Roman" w:hAnsi="Times New Roman"/>
                <w:noProof/>
                <w:color w:val="000000"/>
              </w:rPr>
              <w:t>Ippreżentati u miftehma</w:t>
            </w:r>
          </w:p>
        </w:tc>
      </w:tr>
      <w:tr>
        <w:tc>
          <w:tcPr>
            <w:tcW w:w="392" w:type="dxa"/>
            <w:tcBorders>
              <w:right w:val="single" w:sz="4" w:space="0" w:color="auto"/>
            </w:tcBorders>
            <w:shd w:val="clear" w:color="auto" w:fill="FFFF00"/>
          </w:tcPr>
          <w:p>
            <w:pPr>
              <w:rPr>
                <w:rFonts w:ascii="Times New Roman" w:hAnsi="Times New Roman" w:cs="Times New Roman"/>
                <w:noProof/>
                <w:color w:val="000000"/>
                <w:szCs w:val="20"/>
              </w:rPr>
            </w:pPr>
          </w:p>
        </w:tc>
        <w:tc>
          <w:tcPr>
            <w:tcW w:w="10934" w:type="dxa"/>
            <w:tcBorders>
              <w:top w:val="nil"/>
              <w:left w:val="single" w:sz="4" w:space="0" w:color="auto"/>
              <w:bottom w:val="nil"/>
              <w:right w:val="nil"/>
            </w:tcBorders>
          </w:tcPr>
          <w:p>
            <w:pPr>
              <w:rPr>
                <w:rFonts w:ascii="Times New Roman" w:hAnsi="Times New Roman" w:cs="Times New Roman"/>
                <w:noProof/>
                <w:color w:val="000000"/>
                <w:szCs w:val="20"/>
              </w:rPr>
            </w:pPr>
            <w:r>
              <w:rPr>
                <w:rFonts w:ascii="Times New Roman" w:hAnsi="Times New Roman"/>
                <w:noProof/>
                <w:color w:val="000000"/>
              </w:rPr>
              <w:t>Qbil rapidu possibbli permezz tal-proċeduri normali</w:t>
            </w:r>
          </w:p>
        </w:tc>
      </w:tr>
      <w:tr>
        <w:tc>
          <w:tcPr>
            <w:tcW w:w="392" w:type="dxa"/>
            <w:tcBorders>
              <w:right w:val="single" w:sz="4" w:space="0" w:color="auto"/>
            </w:tcBorders>
            <w:shd w:val="clear" w:color="auto" w:fill="F79646" w:themeFill="accent6"/>
          </w:tcPr>
          <w:p>
            <w:pPr>
              <w:rPr>
                <w:rFonts w:ascii="Times New Roman" w:hAnsi="Times New Roman" w:cs="Times New Roman"/>
                <w:noProof/>
                <w:color w:val="000000"/>
                <w:szCs w:val="20"/>
              </w:rPr>
            </w:pPr>
          </w:p>
        </w:tc>
        <w:tc>
          <w:tcPr>
            <w:tcW w:w="10934" w:type="dxa"/>
            <w:tcBorders>
              <w:top w:val="nil"/>
              <w:left w:val="single" w:sz="4" w:space="0" w:color="auto"/>
              <w:bottom w:val="nil"/>
              <w:right w:val="nil"/>
            </w:tcBorders>
          </w:tcPr>
          <w:p>
            <w:pPr>
              <w:rPr>
                <w:rFonts w:ascii="Times New Roman" w:hAnsi="Times New Roman" w:cs="Times New Roman"/>
                <w:noProof/>
                <w:color w:val="000000"/>
                <w:szCs w:val="20"/>
              </w:rPr>
            </w:pPr>
            <w:r>
              <w:rPr>
                <w:rFonts w:ascii="Times New Roman" w:hAnsi="Times New Roman"/>
                <w:noProof/>
                <w:color w:val="000000"/>
              </w:rPr>
              <w:t>Qbil possibbli jekk ikun hemm impenn politiku qawwi mill-istituzzjoniijet kollha tal-UE</w:t>
            </w:r>
          </w:p>
        </w:tc>
      </w:tr>
    </w:tbl>
    <w:p>
      <w:pPr>
        <w:pStyle w:val="Pa35"/>
        <w:rPr>
          <w:rStyle w:val="A13"/>
          <w:rFonts w:ascii="Times New Roman" w:hAnsi="Times New Roman" w:cs="Times New Roman"/>
          <w:noProof/>
          <w:sz w:val="23"/>
          <w:szCs w:val="23"/>
        </w:rPr>
      </w:pPr>
    </w:p>
    <w:p>
      <w:pPr>
        <w:pStyle w:val="Pa35"/>
        <w:rPr>
          <w:rStyle w:val="A13"/>
          <w:rFonts w:ascii="Times New Roman" w:hAnsi="Times New Roman" w:cs="Times New Roman"/>
          <w:noProof/>
          <w:sz w:val="23"/>
          <w:szCs w:val="23"/>
        </w:rPr>
      </w:pPr>
      <w:r>
        <w:rPr>
          <w:rStyle w:val="A13"/>
          <w:rFonts w:ascii="Times New Roman" w:hAnsi="Times New Roman"/>
          <w:noProof/>
          <w:sz w:val="23"/>
        </w:rPr>
        <w:t>I) Inizjattivi tal-Istat tal-Unjoni 2018</w:t>
      </w:r>
      <w:r>
        <w:rPr>
          <w:rStyle w:val="FootnoteReference"/>
          <w:rFonts w:ascii="Times New Roman" w:hAnsi="Times New Roman"/>
          <w:b/>
          <w:noProof/>
          <w:color w:val="000000"/>
          <w:sz w:val="23"/>
        </w:rPr>
        <w:footnoteReference w:id="1"/>
      </w:r>
    </w:p>
    <w:p>
      <w:pPr>
        <w:rPr>
          <w:rFonts w:ascii="Times New Roman" w:hAnsi="Times New Roman" w:cs="Times New Roman"/>
          <w:noProof/>
        </w:rPr>
      </w:pPr>
    </w:p>
    <w:tbl>
      <w:tblPr>
        <w:tblStyle w:val="TableGrid"/>
        <w:tblW w:w="0" w:type="auto"/>
        <w:jc w:val="center"/>
        <w:tblLook w:val="04A0" w:firstRow="1" w:lastRow="0" w:firstColumn="1" w:lastColumn="0" w:noHBand="0" w:noVBand="1"/>
      </w:tblPr>
      <w:tblGrid>
        <w:gridCol w:w="3085"/>
        <w:gridCol w:w="2521"/>
        <w:gridCol w:w="1476"/>
        <w:gridCol w:w="1276"/>
        <w:gridCol w:w="1146"/>
      </w:tblGrid>
      <w:tr>
        <w:trPr>
          <w:jc w:val="center"/>
        </w:trPr>
        <w:tc>
          <w:tcPr>
            <w:tcW w:w="3085" w:type="dxa"/>
            <w:vAlign w:val="center"/>
          </w:tcPr>
          <w:p>
            <w:pPr>
              <w:jc w:val="center"/>
              <w:rPr>
                <w:rFonts w:ascii="Times New Roman" w:hAnsi="Times New Roman" w:cs="Times New Roman"/>
                <w:b/>
                <w:noProof/>
              </w:rPr>
            </w:pPr>
            <w:r>
              <w:rPr>
                <w:rFonts w:ascii="Times New Roman" w:hAnsi="Times New Roman"/>
                <w:b/>
                <w:noProof/>
              </w:rPr>
              <w:t>Politika</w:t>
            </w:r>
          </w:p>
        </w:tc>
        <w:tc>
          <w:tcPr>
            <w:tcW w:w="2521" w:type="dxa"/>
            <w:vAlign w:val="center"/>
          </w:tcPr>
          <w:p>
            <w:pPr>
              <w:jc w:val="center"/>
              <w:rPr>
                <w:rFonts w:ascii="Times New Roman" w:hAnsi="Times New Roman" w:cs="Times New Roman"/>
                <w:b/>
                <w:noProof/>
              </w:rPr>
            </w:pPr>
            <w:r>
              <w:rPr>
                <w:rFonts w:ascii="Times New Roman" w:hAnsi="Times New Roman"/>
                <w:b/>
                <w:noProof/>
              </w:rPr>
              <w:t>Deskrizzjoni</w:t>
            </w:r>
          </w:p>
        </w:tc>
        <w:tc>
          <w:tcPr>
            <w:tcW w:w="1378" w:type="dxa"/>
            <w:vAlign w:val="center"/>
          </w:tcPr>
          <w:p>
            <w:pPr>
              <w:jc w:val="center"/>
              <w:rPr>
                <w:rFonts w:ascii="Times New Roman" w:hAnsi="Times New Roman" w:cs="Times New Roman"/>
                <w:b/>
                <w:noProof/>
              </w:rPr>
            </w:pPr>
            <w:r>
              <w:rPr>
                <w:rFonts w:ascii="Times New Roman" w:hAnsi="Times New Roman"/>
                <w:b/>
                <w:noProof/>
              </w:rPr>
              <w:t>Il-Kummissjoni Ewropea</w:t>
            </w:r>
          </w:p>
        </w:tc>
        <w:tc>
          <w:tcPr>
            <w:tcW w:w="1276" w:type="dxa"/>
            <w:vAlign w:val="center"/>
          </w:tcPr>
          <w:p>
            <w:pPr>
              <w:jc w:val="center"/>
              <w:rPr>
                <w:rFonts w:ascii="Times New Roman" w:hAnsi="Times New Roman" w:cs="Times New Roman"/>
                <w:b/>
                <w:noProof/>
              </w:rPr>
            </w:pPr>
            <w:r>
              <w:rPr>
                <w:rFonts w:ascii="Times New Roman" w:hAnsi="Times New Roman"/>
                <w:b/>
                <w:noProof/>
              </w:rPr>
              <w:t>Il-Parlament Ewropew</w:t>
            </w:r>
          </w:p>
        </w:tc>
        <w:tc>
          <w:tcPr>
            <w:tcW w:w="1146" w:type="dxa"/>
            <w:vAlign w:val="center"/>
          </w:tcPr>
          <w:p>
            <w:pPr>
              <w:jc w:val="center"/>
              <w:rPr>
                <w:rFonts w:ascii="Times New Roman" w:hAnsi="Times New Roman" w:cs="Times New Roman"/>
                <w:b/>
                <w:noProof/>
              </w:rPr>
            </w:pPr>
            <w:r>
              <w:rPr>
                <w:rFonts w:ascii="Times New Roman" w:hAnsi="Times New Roman"/>
                <w:b/>
                <w:noProof/>
              </w:rPr>
              <w:t>Il-Kunsill tal-Unjoni Ewropea</w:t>
            </w: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noProof/>
                <w:sz w:val="20"/>
              </w:rPr>
              <w:t>Il-prevenzjoni tat-tixrid ta’ kontenut terroristiku online</w:t>
            </w:r>
            <w:r>
              <w:rPr>
                <w:rStyle w:val="FootnoteReference"/>
                <w:rFonts w:ascii="Times New Roman" w:hAnsi="Times New Roman"/>
                <w:noProof/>
                <w:sz w:val="20"/>
              </w:rPr>
              <w:footnoteReference w:id="2"/>
            </w:r>
          </w:p>
        </w:tc>
        <w:tc>
          <w:tcPr>
            <w:tcW w:w="2521" w:type="dxa"/>
            <w:vAlign w:val="center"/>
          </w:tcPr>
          <w:p>
            <w:pPr>
              <w:spacing w:before="180" w:after="180"/>
              <w:rPr>
                <w:rFonts w:ascii="Times New Roman" w:hAnsi="Times New Roman" w:cs="Times New Roman"/>
                <w:noProof/>
                <w:sz w:val="20"/>
                <w:szCs w:val="20"/>
              </w:rPr>
            </w:pPr>
            <w:r>
              <w:rPr>
                <w:rFonts w:ascii="Times New Roman" w:hAnsi="Times New Roman"/>
                <w:noProof/>
                <w:sz w:val="20"/>
              </w:rPr>
              <w:t>Proposta f’ Settembru 2018; il-Kunsill adotta l-mandat tiegħu fis-6 ta’ Diċembru 2018.</w:t>
            </w:r>
          </w:p>
        </w:tc>
        <w:tc>
          <w:tcPr>
            <w:tcW w:w="1378" w:type="dxa"/>
            <w:shd w:val="clear" w:color="auto" w:fill="00B050"/>
            <w:vAlign w:val="center"/>
          </w:tcPr>
          <w:p>
            <w:pPr>
              <w:spacing w:before="180" w:after="180"/>
              <w:rPr>
                <w:rFonts w:ascii="Times New Roman" w:hAnsi="Times New Roman" w:cs="Times New Roman"/>
                <w:noProof/>
                <w:sz w:val="20"/>
                <w:szCs w:val="20"/>
              </w:rPr>
            </w:pPr>
          </w:p>
        </w:tc>
        <w:tc>
          <w:tcPr>
            <w:tcW w:w="1276" w:type="dxa"/>
            <w:shd w:val="clear" w:color="auto" w:fill="F79646" w:themeFill="accent6"/>
            <w:vAlign w:val="center"/>
          </w:tcPr>
          <w:p>
            <w:pPr>
              <w:spacing w:before="180" w:after="180"/>
              <w:rPr>
                <w:rFonts w:ascii="Times New Roman" w:hAnsi="Times New Roman" w:cs="Times New Roman"/>
                <w:noProof/>
                <w:sz w:val="20"/>
                <w:szCs w:val="20"/>
              </w:rPr>
            </w:pPr>
          </w:p>
        </w:tc>
        <w:tc>
          <w:tcPr>
            <w:tcW w:w="1146" w:type="dxa"/>
            <w:shd w:val="clear" w:color="auto" w:fill="FFFF00"/>
            <w:vAlign w:val="center"/>
          </w:tcPr>
          <w:p>
            <w:pPr>
              <w:spacing w:before="180" w:after="180"/>
              <w:jc w:val="center"/>
              <w:rPr>
                <w:rFonts w:ascii="Times New Roman" w:hAnsi="Times New Roman" w:cs="Times New Roman"/>
                <w:noProof/>
                <w:sz w:val="20"/>
                <w:szCs w:val="20"/>
              </w:rPr>
            </w:pP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noProof/>
                <w:sz w:val="20"/>
              </w:rPr>
              <w:t>L-estensjoni tal-mandat tal-Uffiċċju tal-Prosekutur Pubbliku Ewropew għal terroriżmu transfruntiera</w:t>
            </w:r>
            <w:r>
              <w:rPr>
                <w:rStyle w:val="FootnoteReference"/>
                <w:rFonts w:ascii="Times New Roman" w:hAnsi="Times New Roman"/>
                <w:noProof/>
                <w:sz w:val="20"/>
              </w:rPr>
              <w:footnoteReference w:id="3"/>
            </w:r>
          </w:p>
        </w:tc>
        <w:tc>
          <w:tcPr>
            <w:tcW w:w="2521" w:type="dxa"/>
            <w:vAlign w:val="center"/>
          </w:tcPr>
          <w:p>
            <w:pPr>
              <w:spacing w:before="180" w:after="180"/>
              <w:rPr>
                <w:rFonts w:ascii="Times New Roman" w:hAnsi="Times New Roman" w:cs="Times New Roman"/>
                <w:noProof/>
                <w:sz w:val="20"/>
                <w:szCs w:val="20"/>
              </w:rPr>
            </w:pPr>
            <w:r>
              <w:rPr>
                <w:rFonts w:ascii="Times New Roman" w:hAnsi="Times New Roman"/>
                <w:noProof/>
                <w:sz w:val="20"/>
              </w:rPr>
              <w:t>Proposta f’Settembru 2018.</w:t>
            </w:r>
          </w:p>
        </w:tc>
        <w:tc>
          <w:tcPr>
            <w:tcW w:w="1378" w:type="dxa"/>
            <w:shd w:val="clear" w:color="auto" w:fill="00B050"/>
            <w:vAlign w:val="center"/>
          </w:tcPr>
          <w:p>
            <w:pPr>
              <w:spacing w:before="180" w:after="180"/>
              <w:rPr>
                <w:rFonts w:ascii="Times New Roman" w:hAnsi="Times New Roman" w:cs="Times New Roman"/>
                <w:noProof/>
                <w:sz w:val="20"/>
                <w:szCs w:val="20"/>
              </w:rPr>
            </w:pPr>
          </w:p>
        </w:tc>
        <w:tc>
          <w:tcPr>
            <w:tcW w:w="1276" w:type="dxa"/>
            <w:shd w:val="clear" w:color="auto" w:fill="F79646" w:themeFill="accent6"/>
            <w:vAlign w:val="center"/>
          </w:tcPr>
          <w:p>
            <w:pPr>
              <w:spacing w:before="180" w:after="180"/>
              <w:rPr>
                <w:rFonts w:ascii="Times New Roman" w:hAnsi="Times New Roman" w:cs="Times New Roman"/>
                <w:noProof/>
                <w:sz w:val="20"/>
                <w:szCs w:val="20"/>
              </w:rPr>
            </w:pPr>
          </w:p>
        </w:tc>
        <w:tc>
          <w:tcPr>
            <w:tcW w:w="1146" w:type="dxa"/>
            <w:shd w:val="clear" w:color="auto" w:fill="F79646" w:themeFill="accent6"/>
            <w:vAlign w:val="center"/>
          </w:tcPr>
          <w:p>
            <w:pPr>
              <w:spacing w:before="180" w:after="180"/>
              <w:rPr>
                <w:rFonts w:ascii="Times New Roman" w:hAnsi="Times New Roman" w:cs="Times New Roman"/>
                <w:noProof/>
                <w:sz w:val="20"/>
                <w:szCs w:val="20"/>
              </w:rPr>
            </w:pP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noProof/>
                <w:sz w:val="20"/>
              </w:rPr>
              <w:t>It-tibdil iffukat tar-Regolament dwar il-finanzjament tal-partiti fir-rigward tal-proċedura ta’ verifika marbuta ma’ kontravenzjoni ta’</w:t>
            </w:r>
            <w:r>
              <w:rPr>
                <w:rFonts w:ascii="Times New Roman" w:hAnsi="Times New Roman"/>
                <w:i/>
                <w:noProof/>
                <w:sz w:val="20"/>
              </w:rPr>
              <w:t>data</w:t>
            </w:r>
            <w:r>
              <w:rPr>
                <w:rFonts w:ascii="Times New Roman" w:hAnsi="Times New Roman"/>
                <w:noProof/>
                <w:sz w:val="20"/>
              </w:rPr>
              <w:t xml:space="preserve"> personali fil-kuntest tal-elezzjonijiet tal-Parlament Ewropew</w:t>
            </w:r>
            <w:r>
              <w:rPr>
                <w:rStyle w:val="FootnoteReference"/>
                <w:rFonts w:ascii="Times New Roman" w:hAnsi="Times New Roman"/>
                <w:noProof/>
                <w:sz w:val="20"/>
              </w:rPr>
              <w:footnoteReference w:id="4"/>
            </w:r>
          </w:p>
        </w:tc>
        <w:tc>
          <w:tcPr>
            <w:tcW w:w="2521" w:type="dxa"/>
            <w:vAlign w:val="center"/>
          </w:tcPr>
          <w:p>
            <w:pPr>
              <w:spacing w:before="180" w:after="180"/>
              <w:rPr>
                <w:rFonts w:ascii="Times New Roman" w:hAnsi="Times New Roman" w:cs="Times New Roman"/>
                <w:noProof/>
                <w:sz w:val="20"/>
                <w:szCs w:val="20"/>
              </w:rPr>
            </w:pPr>
            <w:r>
              <w:rPr>
                <w:rFonts w:ascii="Times New Roman" w:hAnsi="Times New Roman"/>
                <w:noProof/>
                <w:sz w:val="20"/>
              </w:rPr>
              <w:t>Proposta f’Settembru 2018.</w:t>
            </w:r>
          </w:p>
        </w:tc>
        <w:tc>
          <w:tcPr>
            <w:tcW w:w="1378" w:type="dxa"/>
            <w:shd w:val="clear" w:color="auto" w:fill="00B050"/>
            <w:vAlign w:val="center"/>
          </w:tcPr>
          <w:p>
            <w:pPr>
              <w:spacing w:before="180" w:after="180"/>
              <w:rPr>
                <w:rFonts w:ascii="Times New Roman" w:hAnsi="Times New Roman" w:cs="Times New Roman"/>
                <w:noProof/>
                <w:sz w:val="20"/>
                <w:szCs w:val="20"/>
              </w:rPr>
            </w:pPr>
          </w:p>
        </w:tc>
        <w:tc>
          <w:tcPr>
            <w:tcW w:w="1276" w:type="dxa"/>
            <w:shd w:val="clear" w:color="auto" w:fill="F79646" w:themeFill="accent6"/>
            <w:vAlign w:val="center"/>
          </w:tcPr>
          <w:p>
            <w:pPr>
              <w:spacing w:before="180" w:after="180"/>
              <w:rPr>
                <w:rFonts w:ascii="Times New Roman" w:hAnsi="Times New Roman" w:cs="Times New Roman"/>
                <w:noProof/>
                <w:sz w:val="20"/>
                <w:szCs w:val="20"/>
              </w:rPr>
            </w:pPr>
          </w:p>
        </w:tc>
        <w:tc>
          <w:tcPr>
            <w:tcW w:w="1146" w:type="dxa"/>
            <w:shd w:val="clear" w:color="auto" w:fill="F79646" w:themeFill="accent6"/>
            <w:vAlign w:val="center"/>
          </w:tcPr>
          <w:p>
            <w:pPr>
              <w:spacing w:before="180" w:after="180"/>
              <w:rPr>
                <w:rFonts w:ascii="Times New Roman" w:hAnsi="Times New Roman" w:cs="Times New Roman"/>
                <w:noProof/>
                <w:sz w:val="20"/>
                <w:szCs w:val="20"/>
              </w:rPr>
            </w:pP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noProof/>
                <w:sz w:val="20"/>
              </w:rPr>
              <w:t>It-tisħiħ tal-kapaċitajiet tal-Aġenzija Ewropea għall-Gwardja tal-Fruntiera u tal-Kosta</w:t>
            </w:r>
            <w:r>
              <w:rPr>
                <w:rStyle w:val="FootnoteReference"/>
                <w:rFonts w:ascii="Times New Roman" w:hAnsi="Times New Roman"/>
                <w:noProof/>
                <w:sz w:val="20"/>
              </w:rPr>
              <w:footnoteReference w:id="5"/>
            </w:r>
          </w:p>
        </w:tc>
        <w:tc>
          <w:tcPr>
            <w:tcW w:w="2521" w:type="dxa"/>
            <w:vAlign w:val="center"/>
          </w:tcPr>
          <w:p>
            <w:pPr>
              <w:spacing w:before="180" w:after="180"/>
              <w:rPr>
                <w:rFonts w:ascii="Times New Roman" w:hAnsi="Times New Roman" w:cs="Times New Roman"/>
                <w:noProof/>
                <w:sz w:val="20"/>
                <w:szCs w:val="20"/>
              </w:rPr>
            </w:pPr>
            <w:r>
              <w:rPr>
                <w:rFonts w:ascii="Times New Roman" w:hAnsi="Times New Roman"/>
                <w:noProof/>
                <w:sz w:val="20"/>
              </w:rPr>
              <w:t>Proposta f’Settembru 2018.</w:t>
            </w:r>
          </w:p>
        </w:tc>
        <w:tc>
          <w:tcPr>
            <w:tcW w:w="1378" w:type="dxa"/>
            <w:shd w:val="clear" w:color="auto" w:fill="00B050"/>
            <w:vAlign w:val="center"/>
          </w:tcPr>
          <w:p>
            <w:pPr>
              <w:spacing w:before="180" w:after="180"/>
              <w:rPr>
                <w:rFonts w:ascii="Times New Roman" w:hAnsi="Times New Roman" w:cs="Times New Roman"/>
                <w:noProof/>
                <w:sz w:val="20"/>
                <w:szCs w:val="20"/>
              </w:rPr>
            </w:pPr>
          </w:p>
        </w:tc>
        <w:tc>
          <w:tcPr>
            <w:tcW w:w="1276" w:type="dxa"/>
            <w:shd w:val="clear" w:color="auto" w:fill="F79646" w:themeFill="accent6"/>
            <w:vAlign w:val="center"/>
          </w:tcPr>
          <w:p>
            <w:pPr>
              <w:spacing w:before="180" w:after="180"/>
              <w:rPr>
                <w:rFonts w:ascii="Times New Roman" w:hAnsi="Times New Roman" w:cs="Times New Roman"/>
                <w:noProof/>
                <w:sz w:val="20"/>
                <w:szCs w:val="20"/>
              </w:rPr>
            </w:pPr>
          </w:p>
        </w:tc>
        <w:tc>
          <w:tcPr>
            <w:tcW w:w="1146" w:type="dxa"/>
            <w:shd w:val="clear" w:color="auto" w:fill="F79646" w:themeFill="accent6"/>
            <w:vAlign w:val="center"/>
          </w:tcPr>
          <w:p>
            <w:pPr>
              <w:spacing w:before="180" w:after="180"/>
              <w:rPr>
                <w:rFonts w:ascii="Times New Roman" w:hAnsi="Times New Roman" w:cs="Times New Roman"/>
                <w:noProof/>
                <w:sz w:val="20"/>
                <w:szCs w:val="20"/>
              </w:rPr>
            </w:pP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noProof/>
                <w:sz w:val="20"/>
              </w:rPr>
              <w:t>Iċ-Ċentru Ewropew ta’ Kompetenza Industrijali, Teknoloġika u tar-Riċerka fil-qasam taċ-Ċibersigurtà</w:t>
            </w:r>
            <w:r>
              <w:rPr>
                <w:rStyle w:val="FootnoteReference"/>
                <w:rFonts w:ascii="Times New Roman" w:hAnsi="Times New Roman"/>
                <w:noProof/>
                <w:sz w:val="20"/>
              </w:rPr>
              <w:footnoteReference w:id="6"/>
            </w:r>
          </w:p>
        </w:tc>
        <w:tc>
          <w:tcPr>
            <w:tcW w:w="2521" w:type="dxa"/>
            <w:vAlign w:val="center"/>
          </w:tcPr>
          <w:p>
            <w:pPr>
              <w:spacing w:before="180" w:after="180"/>
              <w:rPr>
                <w:rFonts w:ascii="Times New Roman" w:hAnsi="Times New Roman" w:cs="Times New Roman"/>
                <w:noProof/>
                <w:sz w:val="20"/>
                <w:szCs w:val="20"/>
              </w:rPr>
            </w:pPr>
            <w:r>
              <w:rPr>
                <w:rFonts w:ascii="Times New Roman" w:hAnsi="Times New Roman"/>
                <w:noProof/>
                <w:sz w:val="20"/>
              </w:rPr>
              <w:t>Proposta f’Settembru 2018.</w:t>
            </w:r>
          </w:p>
        </w:tc>
        <w:tc>
          <w:tcPr>
            <w:tcW w:w="1378" w:type="dxa"/>
            <w:shd w:val="clear" w:color="auto" w:fill="00B050"/>
            <w:vAlign w:val="center"/>
          </w:tcPr>
          <w:p>
            <w:pPr>
              <w:spacing w:before="180" w:after="180"/>
              <w:rPr>
                <w:rFonts w:ascii="Times New Roman" w:hAnsi="Times New Roman" w:cs="Times New Roman"/>
                <w:noProof/>
                <w:sz w:val="20"/>
                <w:szCs w:val="20"/>
              </w:rPr>
            </w:pPr>
          </w:p>
        </w:tc>
        <w:tc>
          <w:tcPr>
            <w:tcW w:w="1276" w:type="dxa"/>
            <w:shd w:val="clear" w:color="auto" w:fill="F79646" w:themeFill="accent6"/>
            <w:vAlign w:val="center"/>
          </w:tcPr>
          <w:p>
            <w:pPr>
              <w:spacing w:before="180" w:after="180"/>
              <w:rPr>
                <w:rFonts w:ascii="Times New Roman" w:hAnsi="Times New Roman" w:cs="Times New Roman"/>
                <w:noProof/>
                <w:sz w:val="20"/>
                <w:szCs w:val="20"/>
              </w:rPr>
            </w:pPr>
          </w:p>
        </w:tc>
        <w:tc>
          <w:tcPr>
            <w:tcW w:w="1146" w:type="dxa"/>
            <w:shd w:val="clear" w:color="auto" w:fill="F79646" w:themeFill="accent6"/>
            <w:vAlign w:val="center"/>
          </w:tcPr>
          <w:p>
            <w:pPr>
              <w:spacing w:before="180" w:after="180"/>
              <w:rPr>
                <w:rFonts w:ascii="Times New Roman" w:hAnsi="Times New Roman" w:cs="Times New Roman"/>
                <w:noProof/>
                <w:sz w:val="20"/>
                <w:szCs w:val="20"/>
              </w:rPr>
            </w:pPr>
          </w:p>
        </w:tc>
      </w:tr>
    </w:tbl>
    <w:p>
      <w:pPr>
        <w:rPr>
          <w:rStyle w:val="A13"/>
          <w:rFonts w:ascii="Times New Roman" w:hAnsi="Times New Roman" w:cs="Times New Roman"/>
          <w:noProof/>
          <w:color w:val="auto"/>
          <w:sz w:val="23"/>
          <w:szCs w:val="23"/>
        </w:rPr>
      </w:pPr>
      <w:r>
        <w:rPr>
          <w:noProof/>
        </w:rPr>
        <w:br w:type="page"/>
      </w:r>
    </w:p>
    <w:p>
      <w:pPr>
        <w:pStyle w:val="Pa35"/>
        <w:rPr>
          <w:rStyle w:val="A13"/>
          <w:rFonts w:ascii="Times New Roman" w:hAnsi="Times New Roman" w:cs="Times New Roman"/>
          <w:noProof/>
          <w:color w:val="auto"/>
          <w:sz w:val="23"/>
          <w:szCs w:val="23"/>
        </w:rPr>
      </w:pPr>
    </w:p>
    <w:p>
      <w:pPr>
        <w:pStyle w:val="Pa35"/>
        <w:rPr>
          <w:rFonts w:ascii="Times New Roman" w:hAnsi="Times New Roman" w:cs="Times New Roman"/>
          <w:noProof/>
        </w:rPr>
      </w:pPr>
      <w:r>
        <w:rPr>
          <w:rStyle w:val="A13"/>
          <w:rFonts w:ascii="Times New Roman" w:hAnsi="Times New Roman"/>
          <w:noProof/>
          <w:color w:val="auto"/>
          <w:sz w:val="23"/>
        </w:rPr>
        <w:t>II) Prijoritajiet miftehma fid-Dikjarazzjoni Konġunta</w:t>
      </w:r>
      <w:r>
        <w:rPr>
          <w:rStyle w:val="FootnoteReference"/>
          <w:rFonts w:ascii="Times New Roman" w:hAnsi="Times New Roman"/>
          <w:b/>
          <w:noProof/>
          <w:sz w:val="23"/>
        </w:rPr>
        <w:footnoteReference w:id="7"/>
      </w:r>
      <w:r>
        <w:rPr>
          <w:rStyle w:val="A13"/>
          <w:rFonts w:ascii="Times New Roman" w:hAnsi="Times New Roman" w:cs="Times New Roman"/>
          <w:noProof/>
          <w:color w:val="auto"/>
          <w:sz w:val="23"/>
          <w:szCs w:val="23"/>
        </w:rPr>
        <w:br/>
      </w:r>
    </w:p>
    <w:tbl>
      <w:tblPr>
        <w:tblStyle w:val="TableGrid"/>
        <w:tblW w:w="0" w:type="auto"/>
        <w:jc w:val="center"/>
        <w:tblLook w:val="04A0" w:firstRow="1" w:lastRow="0" w:firstColumn="1" w:lastColumn="0" w:noHBand="0" w:noVBand="1"/>
      </w:tblPr>
      <w:tblGrid>
        <w:gridCol w:w="3085"/>
        <w:gridCol w:w="2521"/>
        <w:gridCol w:w="1476"/>
        <w:gridCol w:w="1276"/>
        <w:gridCol w:w="1146"/>
      </w:tblGrid>
      <w:tr>
        <w:trPr>
          <w:tblHeader/>
          <w:jc w:val="center"/>
        </w:trPr>
        <w:tc>
          <w:tcPr>
            <w:tcW w:w="3085" w:type="dxa"/>
            <w:vAlign w:val="center"/>
          </w:tcPr>
          <w:p>
            <w:pPr>
              <w:jc w:val="center"/>
              <w:rPr>
                <w:rFonts w:ascii="Times New Roman" w:hAnsi="Times New Roman" w:cs="Times New Roman"/>
                <w:b/>
                <w:noProof/>
              </w:rPr>
            </w:pPr>
            <w:r>
              <w:rPr>
                <w:rFonts w:ascii="Times New Roman" w:hAnsi="Times New Roman"/>
                <w:b/>
                <w:noProof/>
              </w:rPr>
              <w:t>Politika</w:t>
            </w:r>
          </w:p>
        </w:tc>
        <w:tc>
          <w:tcPr>
            <w:tcW w:w="2521" w:type="dxa"/>
            <w:vAlign w:val="center"/>
          </w:tcPr>
          <w:p>
            <w:pPr>
              <w:jc w:val="center"/>
              <w:rPr>
                <w:rFonts w:ascii="Times New Roman" w:hAnsi="Times New Roman" w:cs="Times New Roman"/>
                <w:b/>
                <w:noProof/>
              </w:rPr>
            </w:pPr>
            <w:r>
              <w:rPr>
                <w:rFonts w:ascii="Times New Roman" w:hAnsi="Times New Roman"/>
                <w:b/>
                <w:noProof/>
              </w:rPr>
              <w:t>Deskrizzjoni</w:t>
            </w:r>
          </w:p>
        </w:tc>
        <w:tc>
          <w:tcPr>
            <w:tcW w:w="1378" w:type="dxa"/>
            <w:vAlign w:val="center"/>
          </w:tcPr>
          <w:p>
            <w:pPr>
              <w:jc w:val="center"/>
              <w:rPr>
                <w:rFonts w:ascii="Times New Roman" w:hAnsi="Times New Roman" w:cs="Times New Roman"/>
                <w:b/>
                <w:noProof/>
              </w:rPr>
            </w:pPr>
            <w:r>
              <w:rPr>
                <w:rFonts w:ascii="Times New Roman" w:hAnsi="Times New Roman"/>
                <w:b/>
                <w:noProof/>
              </w:rPr>
              <w:t>Il-Kummissjoni Ewropea</w:t>
            </w:r>
          </w:p>
        </w:tc>
        <w:tc>
          <w:tcPr>
            <w:tcW w:w="1276" w:type="dxa"/>
            <w:vAlign w:val="center"/>
          </w:tcPr>
          <w:p>
            <w:pPr>
              <w:jc w:val="center"/>
              <w:rPr>
                <w:rFonts w:ascii="Times New Roman" w:hAnsi="Times New Roman" w:cs="Times New Roman"/>
                <w:b/>
                <w:noProof/>
              </w:rPr>
            </w:pPr>
            <w:r>
              <w:rPr>
                <w:rFonts w:ascii="Times New Roman" w:hAnsi="Times New Roman"/>
                <w:b/>
                <w:noProof/>
              </w:rPr>
              <w:t>Il-Parlament Ewropew</w:t>
            </w:r>
          </w:p>
        </w:tc>
        <w:tc>
          <w:tcPr>
            <w:tcW w:w="1146" w:type="dxa"/>
            <w:vAlign w:val="center"/>
          </w:tcPr>
          <w:p>
            <w:pPr>
              <w:jc w:val="center"/>
              <w:rPr>
                <w:rFonts w:ascii="Times New Roman" w:hAnsi="Times New Roman" w:cs="Times New Roman"/>
                <w:b/>
                <w:noProof/>
              </w:rPr>
            </w:pPr>
            <w:r>
              <w:rPr>
                <w:rFonts w:ascii="Times New Roman" w:hAnsi="Times New Roman"/>
                <w:b/>
                <w:noProof/>
              </w:rPr>
              <w:t>Il-Kunsill tal-Unjoni Ewropea</w:t>
            </w: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noProof/>
                <w:sz w:val="20"/>
              </w:rPr>
              <w:t>Is-Sistema Ewropea ta’ Informazzjoni u ta’ Awtorizzazzjoni għall-Ivvjaġġar</w:t>
            </w:r>
            <w:r>
              <w:rPr>
                <w:rStyle w:val="FootnoteReference"/>
                <w:rFonts w:ascii="Times New Roman" w:hAnsi="Times New Roman"/>
                <w:noProof/>
                <w:sz w:val="20"/>
              </w:rPr>
              <w:footnoteReference w:id="8"/>
            </w:r>
          </w:p>
        </w:tc>
        <w:tc>
          <w:tcPr>
            <w:tcW w:w="2521" w:type="dxa"/>
            <w:vAlign w:val="center"/>
          </w:tcPr>
          <w:p>
            <w:pPr>
              <w:spacing w:before="180" w:after="180"/>
              <w:rPr>
                <w:rFonts w:ascii="Times New Roman" w:hAnsi="Times New Roman" w:cs="Times New Roman"/>
                <w:noProof/>
                <w:sz w:val="20"/>
                <w:szCs w:val="20"/>
              </w:rPr>
            </w:pPr>
            <w:r>
              <w:rPr>
                <w:rFonts w:ascii="Times New Roman" w:hAnsi="Times New Roman"/>
                <w:noProof/>
                <w:sz w:val="20"/>
              </w:rPr>
              <w:t>Proposta f’Novembru 2016; bi qbil bejn il-koleġiżlaturi; adozzjoni formali fil-ħarifa tal-2018.</w:t>
            </w:r>
          </w:p>
        </w:tc>
        <w:tc>
          <w:tcPr>
            <w:tcW w:w="1378" w:type="dxa"/>
            <w:shd w:val="clear" w:color="auto" w:fill="00B050"/>
            <w:vAlign w:val="center"/>
          </w:tcPr>
          <w:p>
            <w:pPr>
              <w:spacing w:before="180" w:after="180"/>
              <w:jc w:val="center"/>
              <w:rPr>
                <w:rFonts w:ascii="Times New Roman" w:hAnsi="Times New Roman" w:cs="Times New Roman"/>
                <w:noProof/>
                <w:sz w:val="20"/>
                <w:szCs w:val="20"/>
              </w:rPr>
            </w:pPr>
          </w:p>
        </w:tc>
        <w:tc>
          <w:tcPr>
            <w:tcW w:w="1276" w:type="dxa"/>
            <w:shd w:val="clear" w:color="auto" w:fill="00B050"/>
            <w:vAlign w:val="center"/>
          </w:tcPr>
          <w:p>
            <w:pPr>
              <w:spacing w:before="180" w:after="180"/>
              <w:jc w:val="center"/>
              <w:rPr>
                <w:rFonts w:ascii="Times New Roman" w:hAnsi="Times New Roman" w:cs="Times New Roman"/>
                <w:noProof/>
                <w:sz w:val="20"/>
                <w:szCs w:val="20"/>
              </w:rPr>
            </w:pPr>
          </w:p>
        </w:tc>
        <w:tc>
          <w:tcPr>
            <w:tcW w:w="1146" w:type="dxa"/>
            <w:shd w:val="clear" w:color="auto" w:fill="00B050"/>
            <w:vAlign w:val="center"/>
          </w:tcPr>
          <w:p>
            <w:pPr>
              <w:spacing w:before="180" w:after="180"/>
              <w:jc w:val="center"/>
              <w:rPr>
                <w:rFonts w:ascii="Times New Roman" w:hAnsi="Times New Roman" w:cs="Times New Roman"/>
                <w:noProof/>
                <w:sz w:val="20"/>
                <w:szCs w:val="20"/>
              </w:rPr>
            </w:pP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noProof/>
                <w:sz w:val="20"/>
              </w:rPr>
              <w:t>L-Aġenzija Ewropea għat-tmexxija operattiva tas-sistemi tal-IT fuq skala kbira fl-Ispazju ta’ libertà, sigurtà u ġustizzja</w:t>
            </w:r>
            <w:r>
              <w:rPr>
                <w:rStyle w:val="FootnoteReference"/>
                <w:rFonts w:ascii="Times New Roman" w:hAnsi="Times New Roman"/>
                <w:noProof/>
                <w:sz w:val="20"/>
              </w:rPr>
              <w:footnoteReference w:id="9"/>
            </w:r>
          </w:p>
        </w:tc>
        <w:tc>
          <w:tcPr>
            <w:tcW w:w="2521" w:type="dxa"/>
            <w:vAlign w:val="center"/>
          </w:tcPr>
          <w:p>
            <w:pPr>
              <w:spacing w:before="180" w:after="180"/>
              <w:rPr>
                <w:rFonts w:ascii="Times New Roman" w:hAnsi="Times New Roman" w:cs="Times New Roman"/>
                <w:noProof/>
                <w:sz w:val="20"/>
                <w:szCs w:val="20"/>
              </w:rPr>
            </w:pPr>
            <w:r>
              <w:rPr>
                <w:rFonts w:ascii="Times New Roman" w:hAnsi="Times New Roman"/>
                <w:noProof/>
                <w:sz w:val="20"/>
              </w:rPr>
              <w:t>Proposta f’Ġunju 2017; bi qbil bejn il-koleġiżlaturi; adozzjoni formali fil-ħarifa tal-2018.</w:t>
            </w:r>
          </w:p>
        </w:tc>
        <w:tc>
          <w:tcPr>
            <w:tcW w:w="1378" w:type="dxa"/>
            <w:shd w:val="clear" w:color="auto" w:fill="00B050"/>
            <w:vAlign w:val="center"/>
          </w:tcPr>
          <w:p>
            <w:pPr>
              <w:spacing w:before="180" w:after="180"/>
              <w:jc w:val="center"/>
              <w:rPr>
                <w:rFonts w:ascii="Times New Roman" w:hAnsi="Times New Roman" w:cs="Times New Roman"/>
                <w:noProof/>
                <w:sz w:val="20"/>
                <w:szCs w:val="20"/>
              </w:rPr>
            </w:pPr>
          </w:p>
        </w:tc>
        <w:tc>
          <w:tcPr>
            <w:tcW w:w="1276" w:type="dxa"/>
            <w:shd w:val="clear" w:color="auto" w:fill="00B050"/>
            <w:vAlign w:val="center"/>
          </w:tcPr>
          <w:p>
            <w:pPr>
              <w:spacing w:before="180" w:after="180"/>
              <w:jc w:val="center"/>
              <w:rPr>
                <w:rFonts w:ascii="Times New Roman" w:hAnsi="Times New Roman" w:cs="Times New Roman"/>
                <w:noProof/>
                <w:sz w:val="20"/>
                <w:szCs w:val="20"/>
              </w:rPr>
            </w:pPr>
          </w:p>
        </w:tc>
        <w:tc>
          <w:tcPr>
            <w:tcW w:w="1146" w:type="dxa"/>
            <w:shd w:val="clear" w:color="auto" w:fill="00B050"/>
            <w:vAlign w:val="center"/>
          </w:tcPr>
          <w:p>
            <w:pPr>
              <w:spacing w:before="180" w:after="180"/>
              <w:jc w:val="center"/>
              <w:rPr>
                <w:rFonts w:ascii="Times New Roman" w:hAnsi="Times New Roman" w:cs="Times New Roman"/>
                <w:noProof/>
                <w:sz w:val="20"/>
                <w:szCs w:val="20"/>
              </w:rPr>
            </w:pP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noProof/>
                <w:sz w:val="20"/>
              </w:rPr>
              <w:t>It-tisħiħ tas-Sistema ta’ Informazzjoni ta’ Schengen</w:t>
            </w:r>
            <w:r>
              <w:rPr>
                <w:rStyle w:val="FootnoteReference"/>
                <w:rFonts w:ascii="Times New Roman" w:hAnsi="Times New Roman"/>
                <w:noProof/>
                <w:sz w:val="20"/>
              </w:rPr>
              <w:footnoteReference w:id="10"/>
            </w:r>
          </w:p>
        </w:tc>
        <w:tc>
          <w:tcPr>
            <w:tcW w:w="2521" w:type="dxa"/>
            <w:vAlign w:val="center"/>
          </w:tcPr>
          <w:p>
            <w:pPr>
              <w:spacing w:before="180" w:after="180"/>
              <w:rPr>
                <w:rFonts w:ascii="Times New Roman" w:hAnsi="Times New Roman" w:cs="Times New Roman"/>
                <w:noProof/>
                <w:sz w:val="20"/>
                <w:szCs w:val="20"/>
              </w:rPr>
            </w:pPr>
            <w:r>
              <w:rPr>
                <w:rFonts w:ascii="Times New Roman" w:hAnsi="Times New Roman"/>
                <w:noProof/>
                <w:sz w:val="20"/>
              </w:rPr>
              <w:t>Proposta f’Diċembru 2016; bi qbil bejn il-koleġiżlaturi; adozzjoni formali fil-ħarifa tal-2018.</w:t>
            </w:r>
          </w:p>
        </w:tc>
        <w:tc>
          <w:tcPr>
            <w:tcW w:w="1378" w:type="dxa"/>
            <w:shd w:val="clear" w:color="auto" w:fill="00B050"/>
            <w:vAlign w:val="center"/>
          </w:tcPr>
          <w:p>
            <w:pPr>
              <w:spacing w:before="180" w:after="180"/>
              <w:jc w:val="center"/>
              <w:rPr>
                <w:rFonts w:ascii="Times New Roman" w:hAnsi="Times New Roman" w:cs="Times New Roman"/>
                <w:noProof/>
                <w:sz w:val="20"/>
                <w:szCs w:val="20"/>
              </w:rPr>
            </w:pPr>
          </w:p>
        </w:tc>
        <w:tc>
          <w:tcPr>
            <w:tcW w:w="1276" w:type="dxa"/>
            <w:shd w:val="clear" w:color="auto" w:fill="00B050"/>
            <w:vAlign w:val="center"/>
          </w:tcPr>
          <w:p>
            <w:pPr>
              <w:spacing w:before="180" w:after="180"/>
              <w:jc w:val="center"/>
              <w:rPr>
                <w:rFonts w:ascii="Times New Roman" w:hAnsi="Times New Roman" w:cs="Times New Roman"/>
                <w:noProof/>
                <w:sz w:val="20"/>
                <w:szCs w:val="20"/>
              </w:rPr>
            </w:pPr>
          </w:p>
        </w:tc>
        <w:tc>
          <w:tcPr>
            <w:tcW w:w="1146" w:type="dxa"/>
            <w:shd w:val="clear" w:color="auto" w:fill="00B050"/>
            <w:vAlign w:val="center"/>
          </w:tcPr>
          <w:p>
            <w:pPr>
              <w:spacing w:before="180" w:after="180"/>
              <w:jc w:val="center"/>
              <w:rPr>
                <w:rFonts w:ascii="Times New Roman" w:hAnsi="Times New Roman" w:cs="Times New Roman"/>
                <w:noProof/>
                <w:sz w:val="20"/>
                <w:szCs w:val="20"/>
              </w:rPr>
            </w:pP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noProof/>
                <w:sz w:val="20"/>
              </w:rPr>
              <w:t>Il-ħasil tal-flus u l-finanzjament tat-terroriżmu</w:t>
            </w:r>
            <w:r>
              <w:rPr>
                <w:rStyle w:val="FootnoteReference"/>
                <w:rFonts w:ascii="Times New Roman" w:hAnsi="Times New Roman"/>
                <w:noProof/>
                <w:sz w:val="20"/>
              </w:rPr>
              <w:footnoteReference w:id="11"/>
            </w:r>
          </w:p>
        </w:tc>
        <w:tc>
          <w:tcPr>
            <w:tcW w:w="2521" w:type="dxa"/>
            <w:vAlign w:val="center"/>
          </w:tcPr>
          <w:p>
            <w:pPr>
              <w:spacing w:before="180" w:after="180"/>
              <w:rPr>
                <w:rFonts w:ascii="Times New Roman" w:hAnsi="Times New Roman" w:cs="Times New Roman"/>
                <w:noProof/>
                <w:sz w:val="20"/>
                <w:szCs w:val="20"/>
              </w:rPr>
            </w:pPr>
            <w:r>
              <w:rPr>
                <w:rFonts w:ascii="Times New Roman" w:hAnsi="Times New Roman"/>
                <w:noProof/>
                <w:sz w:val="20"/>
              </w:rPr>
              <w:t>Proposta f’Lulju 2016; adozzjoni formali f’Mejju 2018.</w:t>
            </w:r>
          </w:p>
        </w:tc>
        <w:tc>
          <w:tcPr>
            <w:tcW w:w="1378" w:type="dxa"/>
            <w:shd w:val="clear" w:color="auto" w:fill="00B050"/>
            <w:vAlign w:val="center"/>
          </w:tcPr>
          <w:p>
            <w:pPr>
              <w:spacing w:before="180" w:after="180"/>
              <w:jc w:val="center"/>
              <w:rPr>
                <w:rFonts w:ascii="Times New Roman" w:hAnsi="Times New Roman" w:cs="Times New Roman"/>
                <w:noProof/>
                <w:sz w:val="20"/>
                <w:szCs w:val="20"/>
              </w:rPr>
            </w:pPr>
          </w:p>
        </w:tc>
        <w:tc>
          <w:tcPr>
            <w:tcW w:w="1276" w:type="dxa"/>
            <w:shd w:val="clear" w:color="auto" w:fill="00B050"/>
            <w:vAlign w:val="center"/>
          </w:tcPr>
          <w:p>
            <w:pPr>
              <w:spacing w:before="180" w:after="180"/>
              <w:jc w:val="center"/>
              <w:rPr>
                <w:rFonts w:ascii="Times New Roman" w:hAnsi="Times New Roman" w:cs="Times New Roman"/>
                <w:noProof/>
                <w:sz w:val="20"/>
                <w:szCs w:val="20"/>
              </w:rPr>
            </w:pPr>
          </w:p>
        </w:tc>
        <w:tc>
          <w:tcPr>
            <w:tcW w:w="1146" w:type="dxa"/>
            <w:shd w:val="clear" w:color="auto" w:fill="00B050"/>
            <w:vAlign w:val="center"/>
          </w:tcPr>
          <w:p>
            <w:pPr>
              <w:spacing w:before="180" w:after="180"/>
              <w:jc w:val="center"/>
              <w:rPr>
                <w:rFonts w:ascii="Times New Roman" w:hAnsi="Times New Roman" w:cs="Times New Roman"/>
                <w:noProof/>
                <w:sz w:val="20"/>
                <w:szCs w:val="20"/>
              </w:rPr>
            </w:pP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noProof/>
                <w:sz w:val="20"/>
              </w:rPr>
              <w:t>Is-Sistema ta’ Dħul / Ħruġ</w:t>
            </w:r>
            <w:r>
              <w:rPr>
                <w:rStyle w:val="FootnoteReference"/>
                <w:rFonts w:ascii="Times New Roman" w:hAnsi="Times New Roman"/>
                <w:noProof/>
                <w:sz w:val="20"/>
              </w:rPr>
              <w:footnoteReference w:id="12"/>
            </w:r>
          </w:p>
        </w:tc>
        <w:tc>
          <w:tcPr>
            <w:tcW w:w="2521" w:type="dxa"/>
            <w:vAlign w:val="center"/>
          </w:tcPr>
          <w:p>
            <w:pPr>
              <w:spacing w:before="180" w:after="180"/>
              <w:rPr>
                <w:rFonts w:ascii="Times New Roman" w:hAnsi="Times New Roman" w:cs="Times New Roman"/>
                <w:noProof/>
                <w:sz w:val="20"/>
                <w:szCs w:val="20"/>
              </w:rPr>
            </w:pPr>
            <w:r>
              <w:rPr>
                <w:rFonts w:ascii="Times New Roman" w:hAnsi="Times New Roman"/>
                <w:noProof/>
                <w:sz w:val="20"/>
              </w:rPr>
              <w:t>Proposta f’April 2016; adozzjoni formali f’Novembru 2017.</w:t>
            </w:r>
          </w:p>
        </w:tc>
        <w:tc>
          <w:tcPr>
            <w:tcW w:w="1378" w:type="dxa"/>
            <w:shd w:val="clear" w:color="auto" w:fill="00B050"/>
            <w:vAlign w:val="center"/>
          </w:tcPr>
          <w:p>
            <w:pPr>
              <w:spacing w:before="180" w:after="180"/>
              <w:jc w:val="center"/>
              <w:rPr>
                <w:rFonts w:ascii="Times New Roman" w:hAnsi="Times New Roman" w:cs="Times New Roman"/>
                <w:noProof/>
                <w:sz w:val="20"/>
                <w:szCs w:val="20"/>
              </w:rPr>
            </w:pPr>
          </w:p>
        </w:tc>
        <w:tc>
          <w:tcPr>
            <w:tcW w:w="1276" w:type="dxa"/>
            <w:shd w:val="clear" w:color="auto" w:fill="00B050"/>
            <w:vAlign w:val="center"/>
          </w:tcPr>
          <w:p>
            <w:pPr>
              <w:spacing w:before="180" w:after="180"/>
              <w:jc w:val="center"/>
              <w:rPr>
                <w:rFonts w:ascii="Times New Roman" w:hAnsi="Times New Roman" w:cs="Times New Roman"/>
                <w:noProof/>
                <w:sz w:val="20"/>
                <w:szCs w:val="20"/>
              </w:rPr>
            </w:pPr>
          </w:p>
        </w:tc>
        <w:tc>
          <w:tcPr>
            <w:tcW w:w="1146" w:type="dxa"/>
            <w:shd w:val="clear" w:color="auto" w:fill="00B050"/>
            <w:vAlign w:val="center"/>
          </w:tcPr>
          <w:p>
            <w:pPr>
              <w:spacing w:before="180" w:after="180"/>
              <w:jc w:val="center"/>
              <w:rPr>
                <w:rFonts w:ascii="Times New Roman" w:hAnsi="Times New Roman" w:cs="Times New Roman"/>
                <w:noProof/>
                <w:sz w:val="20"/>
                <w:szCs w:val="20"/>
              </w:rPr>
            </w:pP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noProof/>
                <w:sz w:val="20"/>
              </w:rPr>
              <w:t>Il-kontroll tal-akkwist u tal-pussess tal-armi</w:t>
            </w:r>
            <w:r>
              <w:rPr>
                <w:rStyle w:val="FootnoteReference"/>
                <w:rFonts w:ascii="Times New Roman" w:hAnsi="Times New Roman"/>
                <w:noProof/>
                <w:sz w:val="20"/>
              </w:rPr>
              <w:footnoteReference w:id="13"/>
            </w:r>
          </w:p>
        </w:tc>
        <w:tc>
          <w:tcPr>
            <w:tcW w:w="2521" w:type="dxa"/>
            <w:vAlign w:val="center"/>
          </w:tcPr>
          <w:p>
            <w:pPr>
              <w:spacing w:before="180" w:after="180"/>
              <w:rPr>
                <w:rFonts w:ascii="Times New Roman" w:hAnsi="Times New Roman" w:cs="Times New Roman"/>
                <w:noProof/>
                <w:sz w:val="20"/>
                <w:szCs w:val="20"/>
              </w:rPr>
            </w:pPr>
            <w:r>
              <w:rPr>
                <w:rFonts w:ascii="Times New Roman" w:hAnsi="Times New Roman"/>
                <w:noProof/>
                <w:sz w:val="20"/>
              </w:rPr>
              <w:t>Proposta f’Novembru 2015; adozzjoni formali f’Mejju 2017.</w:t>
            </w:r>
          </w:p>
        </w:tc>
        <w:tc>
          <w:tcPr>
            <w:tcW w:w="1378" w:type="dxa"/>
            <w:shd w:val="clear" w:color="auto" w:fill="00B050"/>
            <w:vAlign w:val="center"/>
          </w:tcPr>
          <w:p>
            <w:pPr>
              <w:spacing w:before="180" w:after="180"/>
              <w:jc w:val="center"/>
              <w:rPr>
                <w:rFonts w:ascii="Times New Roman" w:hAnsi="Times New Roman" w:cs="Times New Roman"/>
                <w:noProof/>
                <w:sz w:val="20"/>
                <w:szCs w:val="20"/>
              </w:rPr>
            </w:pPr>
          </w:p>
        </w:tc>
        <w:tc>
          <w:tcPr>
            <w:tcW w:w="1276" w:type="dxa"/>
            <w:shd w:val="clear" w:color="auto" w:fill="00B050"/>
            <w:vAlign w:val="center"/>
          </w:tcPr>
          <w:p>
            <w:pPr>
              <w:spacing w:before="180" w:after="180"/>
              <w:jc w:val="center"/>
              <w:rPr>
                <w:rFonts w:ascii="Times New Roman" w:hAnsi="Times New Roman" w:cs="Times New Roman"/>
                <w:noProof/>
                <w:sz w:val="20"/>
                <w:szCs w:val="20"/>
              </w:rPr>
            </w:pPr>
          </w:p>
        </w:tc>
        <w:tc>
          <w:tcPr>
            <w:tcW w:w="1146" w:type="dxa"/>
            <w:shd w:val="clear" w:color="auto" w:fill="00B050"/>
            <w:vAlign w:val="center"/>
          </w:tcPr>
          <w:p>
            <w:pPr>
              <w:spacing w:before="180" w:after="180"/>
              <w:jc w:val="center"/>
              <w:rPr>
                <w:rFonts w:ascii="Times New Roman" w:hAnsi="Times New Roman" w:cs="Times New Roman"/>
                <w:noProof/>
                <w:sz w:val="20"/>
                <w:szCs w:val="20"/>
              </w:rPr>
            </w:pP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noProof/>
                <w:sz w:val="20"/>
              </w:rPr>
              <w:t>Id-Direttiva dwar it-terroriżmu</w:t>
            </w:r>
            <w:r>
              <w:rPr>
                <w:rStyle w:val="FootnoteReference"/>
                <w:rFonts w:ascii="Times New Roman" w:hAnsi="Times New Roman"/>
                <w:noProof/>
                <w:sz w:val="20"/>
              </w:rPr>
              <w:footnoteReference w:id="14"/>
            </w:r>
          </w:p>
        </w:tc>
        <w:tc>
          <w:tcPr>
            <w:tcW w:w="2521" w:type="dxa"/>
            <w:vAlign w:val="center"/>
          </w:tcPr>
          <w:p>
            <w:pPr>
              <w:spacing w:before="180" w:after="180"/>
              <w:rPr>
                <w:rFonts w:ascii="Times New Roman" w:hAnsi="Times New Roman" w:cs="Times New Roman"/>
                <w:noProof/>
                <w:sz w:val="20"/>
                <w:szCs w:val="20"/>
              </w:rPr>
            </w:pPr>
            <w:r>
              <w:rPr>
                <w:rFonts w:ascii="Times New Roman" w:hAnsi="Times New Roman"/>
                <w:noProof/>
                <w:sz w:val="20"/>
              </w:rPr>
              <w:t>Proposta f’Diċembru 2015; adozzjoni formali f’Marzu 2017.</w:t>
            </w:r>
          </w:p>
        </w:tc>
        <w:tc>
          <w:tcPr>
            <w:tcW w:w="1378" w:type="dxa"/>
            <w:shd w:val="clear" w:color="auto" w:fill="00B050"/>
            <w:vAlign w:val="center"/>
          </w:tcPr>
          <w:p>
            <w:pPr>
              <w:spacing w:before="180" w:after="180"/>
              <w:jc w:val="center"/>
              <w:rPr>
                <w:rFonts w:ascii="Times New Roman" w:hAnsi="Times New Roman" w:cs="Times New Roman"/>
                <w:noProof/>
                <w:sz w:val="20"/>
                <w:szCs w:val="20"/>
              </w:rPr>
            </w:pPr>
          </w:p>
        </w:tc>
        <w:tc>
          <w:tcPr>
            <w:tcW w:w="1276" w:type="dxa"/>
            <w:shd w:val="clear" w:color="auto" w:fill="00B050"/>
            <w:vAlign w:val="center"/>
          </w:tcPr>
          <w:p>
            <w:pPr>
              <w:spacing w:before="180" w:after="180"/>
              <w:jc w:val="center"/>
              <w:rPr>
                <w:rFonts w:ascii="Times New Roman" w:hAnsi="Times New Roman" w:cs="Times New Roman"/>
                <w:noProof/>
                <w:sz w:val="20"/>
                <w:szCs w:val="20"/>
              </w:rPr>
            </w:pPr>
          </w:p>
        </w:tc>
        <w:tc>
          <w:tcPr>
            <w:tcW w:w="1146" w:type="dxa"/>
            <w:shd w:val="clear" w:color="auto" w:fill="00B050"/>
            <w:vAlign w:val="center"/>
          </w:tcPr>
          <w:p>
            <w:pPr>
              <w:spacing w:before="180" w:after="180"/>
              <w:jc w:val="center"/>
              <w:rPr>
                <w:rFonts w:ascii="Times New Roman" w:hAnsi="Times New Roman" w:cs="Times New Roman"/>
                <w:noProof/>
                <w:sz w:val="20"/>
                <w:szCs w:val="20"/>
              </w:rPr>
            </w:pP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noProof/>
                <w:sz w:val="20"/>
              </w:rPr>
              <w:t>L-Att dwar iċ-Ċibersigurtà</w:t>
            </w:r>
            <w:r>
              <w:rPr>
                <w:rStyle w:val="FootnoteReference"/>
                <w:rFonts w:ascii="Times New Roman" w:hAnsi="Times New Roman"/>
                <w:noProof/>
                <w:sz w:val="20"/>
              </w:rPr>
              <w:footnoteReference w:id="15"/>
            </w:r>
          </w:p>
        </w:tc>
        <w:tc>
          <w:tcPr>
            <w:tcW w:w="2521" w:type="dxa"/>
            <w:vAlign w:val="center"/>
          </w:tcPr>
          <w:p>
            <w:pPr>
              <w:spacing w:before="180" w:after="180"/>
              <w:rPr>
                <w:rFonts w:ascii="Times New Roman" w:hAnsi="Times New Roman" w:cs="Times New Roman"/>
                <w:noProof/>
                <w:sz w:val="20"/>
                <w:szCs w:val="20"/>
              </w:rPr>
            </w:pPr>
            <w:r>
              <w:rPr>
                <w:rFonts w:ascii="Times New Roman" w:hAnsi="Times New Roman"/>
                <w:noProof/>
                <w:sz w:val="20"/>
              </w:rPr>
              <w:t>Proposta f’Settembru 2017; bi qbil bejn il-koleġiżlaturi; adozzjoni formali f’Mejju 2019.</w:t>
            </w:r>
          </w:p>
          <w:p>
            <w:pPr>
              <w:spacing w:before="180" w:after="180"/>
              <w:rPr>
                <w:rFonts w:ascii="Times New Roman" w:hAnsi="Times New Roman" w:cs="Times New Roman"/>
                <w:noProof/>
                <w:sz w:val="20"/>
                <w:szCs w:val="20"/>
              </w:rPr>
            </w:pPr>
          </w:p>
        </w:tc>
        <w:tc>
          <w:tcPr>
            <w:tcW w:w="1378" w:type="dxa"/>
            <w:shd w:val="clear" w:color="auto" w:fill="00B050"/>
            <w:vAlign w:val="center"/>
          </w:tcPr>
          <w:p>
            <w:pPr>
              <w:spacing w:before="180" w:after="180"/>
              <w:jc w:val="center"/>
              <w:rPr>
                <w:rFonts w:ascii="Times New Roman" w:hAnsi="Times New Roman" w:cs="Times New Roman"/>
                <w:noProof/>
                <w:sz w:val="20"/>
                <w:szCs w:val="20"/>
              </w:rPr>
            </w:pPr>
          </w:p>
        </w:tc>
        <w:tc>
          <w:tcPr>
            <w:tcW w:w="1276" w:type="dxa"/>
            <w:shd w:val="clear" w:color="auto" w:fill="00B050"/>
            <w:vAlign w:val="center"/>
          </w:tcPr>
          <w:p>
            <w:pPr>
              <w:spacing w:before="180" w:after="180"/>
              <w:jc w:val="center"/>
              <w:rPr>
                <w:rFonts w:ascii="Times New Roman" w:hAnsi="Times New Roman" w:cs="Times New Roman"/>
                <w:noProof/>
                <w:sz w:val="20"/>
                <w:szCs w:val="20"/>
              </w:rPr>
            </w:pPr>
          </w:p>
        </w:tc>
        <w:tc>
          <w:tcPr>
            <w:tcW w:w="1146" w:type="dxa"/>
            <w:shd w:val="clear" w:color="auto" w:fill="00B050"/>
            <w:vAlign w:val="center"/>
          </w:tcPr>
          <w:p>
            <w:pPr>
              <w:spacing w:before="180" w:after="180"/>
              <w:jc w:val="center"/>
              <w:rPr>
                <w:rFonts w:ascii="Times New Roman" w:hAnsi="Times New Roman" w:cs="Times New Roman"/>
                <w:noProof/>
                <w:sz w:val="20"/>
                <w:szCs w:val="20"/>
              </w:rPr>
            </w:pPr>
          </w:p>
        </w:tc>
      </w:tr>
      <w:tr>
        <w:trPr>
          <w:jc w:val="center"/>
        </w:trPr>
        <w:tc>
          <w:tcPr>
            <w:tcW w:w="3085" w:type="dxa"/>
            <w:tcBorders>
              <w:bottom w:val="single" w:sz="4" w:space="0" w:color="auto"/>
            </w:tcBorders>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noProof/>
                <w:sz w:val="20"/>
              </w:rPr>
              <w:t>Is-Sistema Ewropea ta’ Informazzjoni ta’ Rekords Kriminali</w:t>
            </w:r>
            <w:r>
              <w:rPr>
                <w:rStyle w:val="FootnoteReference"/>
                <w:rFonts w:ascii="Times New Roman" w:hAnsi="Times New Roman"/>
                <w:noProof/>
                <w:sz w:val="20"/>
              </w:rPr>
              <w:footnoteReference w:id="16"/>
            </w:r>
          </w:p>
        </w:tc>
        <w:tc>
          <w:tcPr>
            <w:tcW w:w="2521" w:type="dxa"/>
            <w:tcBorders>
              <w:bottom w:val="single" w:sz="4" w:space="0" w:color="auto"/>
            </w:tcBorders>
            <w:vAlign w:val="center"/>
          </w:tcPr>
          <w:p>
            <w:pPr>
              <w:spacing w:before="180" w:after="180"/>
              <w:rPr>
                <w:rFonts w:ascii="Times New Roman" w:hAnsi="Times New Roman" w:cs="Times New Roman"/>
                <w:noProof/>
                <w:sz w:val="20"/>
                <w:szCs w:val="20"/>
              </w:rPr>
            </w:pPr>
            <w:r>
              <w:rPr>
                <w:rFonts w:ascii="Times New Roman" w:hAnsi="Times New Roman"/>
                <w:noProof/>
                <w:sz w:val="20"/>
              </w:rPr>
              <w:t>Proposta f’Jannar 2016 u ssupplimentata f’Ġunju 2017; fażi finali tad-diskussjonijiet tat-trilogu.</w:t>
            </w:r>
          </w:p>
        </w:tc>
        <w:tc>
          <w:tcPr>
            <w:tcW w:w="1378" w:type="dxa"/>
            <w:tcBorders>
              <w:bottom w:val="single" w:sz="4" w:space="0" w:color="auto"/>
            </w:tcBorders>
            <w:shd w:val="clear" w:color="auto" w:fill="00B050"/>
            <w:vAlign w:val="center"/>
          </w:tcPr>
          <w:p>
            <w:pPr>
              <w:spacing w:before="180" w:after="180"/>
              <w:jc w:val="center"/>
              <w:rPr>
                <w:rFonts w:ascii="Times New Roman" w:hAnsi="Times New Roman" w:cs="Times New Roman"/>
                <w:noProof/>
                <w:sz w:val="20"/>
                <w:szCs w:val="20"/>
              </w:rPr>
            </w:pPr>
          </w:p>
        </w:tc>
        <w:tc>
          <w:tcPr>
            <w:tcW w:w="1276" w:type="dxa"/>
            <w:tcBorders>
              <w:bottom w:val="single" w:sz="4" w:space="0" w:color="auto"/>
            </w:tcBorders>
            <w:shd w:val="clear" w:color="auto" w:fill="FFFF00"/>
            <w:vAlign w:val="center"/>
          </w:tcPr>
          <w:p>
            <w:pPr>
              <w:spacing w:before="180" w:after="180"/>
              <w:jc w:val="center"/>
              <w:rPr>
                <w:rFonts w:ascii="Times New Roman" w:hAnsi="Times New Roman" w:cs="Times New Roman"/>
                <w:noProof/>
                <w:sz w:val="20"/>
                <w:szCs w:val="20"/>
              </w:rPr>
            </w:pPr>
          </w:p>
        </w:tc>
        <w:tc>
          <w:tcPr>
            <w:tcW w:w="1146" w:type="dxa"/>
            <w:tcBorders>
              <w:bottom w:val="single" w:sz="4" w:space="0" w:color="auto"/>
            </w:tcBorders>
            <w:shd w:val="clear" w:color="auto" w:fill="FFFF00"/>
            <w:vAlign w:val="center"/>
          </w:tcPr>
          <w:p>
            <w:pPr>
              <w:spacing w:before="180" w:after="180"/>
              <w:jc w:val="center"/>
              <w:rPr>
                <w:rFonts w:ascii="Times New Roman" w:hAnsi="Times New Roman" w:cs="Times New Roman"/>
                <w:noProof/>
                <w:sz w:val="20"/>
                <w:szCs w:val="20"/>
              </w:rPr>
            </w:pPr>
          </w:p>
        </w:tc>
      </w:tr>
      <w:tr>
        <w:trPr>
          <w:jc w:val="center"/>
        </w:trPr>
        <w:tc>
          <w:tcPr>
            <w:tcW w:w="3085" w:type="dxa"/>
            <w:tcBorders>
              <w:top w:val="single" w:sz="4" w:space="0" w:color="auto"/>
            </w:tcBorders>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noProof/>
                <w:sz w:val="20"/>
              </w:rPr>
              <w:t>L-interoperabbiltà bejn is-sistemi ta’ informazzjoni tal-UE għall-ġestjoni tas-sigurtà, tal-fruntieri u tal-migrazzjoni</w:t>
            </w:r>
            <w:r>
              <w:rPr>
                <w:rStyle w:val="FootnoteReference"/>
                <w:rFonts w:ascii="Times New Roman" w:hAnsi="Times New Roman"/>
                <w:noProof/>
                <w:sz w:val="20"/>
              </w:rPr>
              <w:footnoteReference w:id="17"/>
            </w:r>
          </w:p>
        </w:tc>
        <w:tc>
          <w:tcPr>
            <w:tcW w:w="2521" w:type="dxa"/>
            <w:tcBorders>
              <w:top w:val="single" w:sz="4" w:space="0" w:color="auto"/>
            </w:tcBorders>
            <w:vAlign w:val="center"/>
          </w:tcPr>
          <w:p>
            <w:pPr>
              <w:spacing w:before="180" w:after="180"/>
              <w:rPr>
                <w:rFonts w:ascii="Times New Roman" w:hAnsi="Times New Roman" w:cs="Times New Roman"/>
                <w:noProof/>
                <w:sz w:val="20"/>
                <w:szCs w:val="20"/>
              </w:rPr>
            </w:pPr>
            <w:r>
              <w:rPr>
                <w:rFonts w:ascii="Times New Roman" w:hAnsi="Times New Roman"/>
                <w:noProof/>
                <w:sz w:val="20"/>
              </w:rPr>
              <w:t>Proposta f’Diċembru 2017 u emendata f’Ġunju 2018; fażi finali tad-diskussjonijiet tat-trilogu.</w:t>
            </w:r>
          </w:p>
        </w:tc>
        <w:tc>
          <w:tcPr>
            <w:tcW w:w="1378" w:type="dxa"/>
            <w:tcBorders>
              <w:top w:val="single" w:sz="4" w:space="0" w:color="auto"/>
            </w:tcBorders>
            <w:shd w:val="clear" w:color="auto" w:fill="00B050"/>
            <w:vAlign w:val="center"/>
          </w:tcPr>
          <w:p>
            <w:pPr>
              <w:spacing w:before="180" w:after="180"/>
              <w:jc w:val="center"/>
              <w:rPr>
                <w:rFonts w:ascii="Times New Roman" w:hAnsi="Times New Roman" w:cs="Times New Roman"/>
                <w:noProof/>
                <w:sz w:val="20"/>
                <w:szCs w:val="20"/>
              </w:rPr>
            </w:pPr>
          </w:p>
        </w:tc>
        <w:tc>
          <w:tcPr>
            <w:tcW w:w="1276" w:type="dxa"/>
            <w:tcBorders>
              <w:top w:val="single" w:sz="4" w:space="0" w:color="auto"/>
            </w:tcBorders>
            <w:shd w:val="clear" w:color="auto" w:fill="FFFF00"/>
            <w:vAlign w:val="center"/>
          </w:tcPr>
          <w:p>
            <w:pPr>
              <w:spacing w:before="180" w:after="180"/>
              <w:jc w:val="center"/>
              <w:rPr>
                <w:rFonts w:ascii="Times New Roman" w:hAnsi="Times New Roman" w:cs="Times New Roman"/>
                <w:noProof/>
                <w:sz w:val="20"/>
                <w:szCs w:val="20"/>
              </w:rPr>
            </w:pPr>
          </w:p>
        </w:tc>
        <w:tc>
          <w:tcPr>
            <w:tcW w:w="1146" w:type="dxa"/>
            <w:tcBorders>
              <w:top w:val="single" w:sz="4" w:space="0" w:color="auto"/>
            </w:tcBorders>
            <w:shd w:val="clear" w:color="auto" w:fill="FFFF00"/>
            <w:vAlign w:val="center"/>
          </w:tcPr>
          <w:p>
            <w:pPr>
              <w:spacing w:before="180" w:after="180"/>
              <w:jc w:val="center"/>
              <w:rPr>
                <w:rFonts w:ascii="Times New Roman" w:hAnsi="Times New Roman" w:cs="Times New Roman"/>
                <w:noProof/>
                <w:sz w:val="20"/>
                <w:szCs w:val="20"/>
              </w:rPr>
            </w:pP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noProof/>
                <w:sz w:val="20"/>
              </w:rPr>
              <w:t>L-aċċess transfruntiera għall-awtoritajiet tal-infurzar tal-liġi għall-evidenza elettronika</w:t>
            </w:r>
            <w:r>
              <w:rPr>
                <w:rStyle w:val="FootnoteReference"/>
                <w:rFonts w:ascii="Times New Roman" w:hAnsi="Times New Roman"/>
                <w:noProof/>
                <w:sz w:val="20"/>
              </w:rPr>
              <w:footnoteReference w:id="18"/>
            </w:r>
          </w:p>
        </w:tc>
        <w:tc>
          <w:tcPr>
            <w:tcW w:w="2521" w:type="dxa"/>
            <w:vAlign w:val="center"/>
          </w:tcPr>
          <w:p>
            <w:pPr>
              <w:spacing w:before="180" w:after="180"/>
              <w:rPr>
                <w:rFonts w:ascii="Times New Roman" w:hAnsi="Times New Roman" w:cs="Times New Roman"/>
                <w:noProof/>
                <w:sz w:val="20"/>
                <w:szCs w:val="20"/>
              </w:rPr>
            </w:pPr>
            <w:r>
              <w:rPr>
                <w:rFonts w:ascii="Times New Roman" w:hAnsi="Times New Roman"/>
                <w:noProof/>
                <w:sz w:val="20"/>
              </w:rPr>
              <w:t>Proposta f’April 2018; Il-Kunsill adotta l-mandat tiegħu ta’ negozjar; il-Parlament Ewropew irid jadotta l-mandat ta’ negozjar tiegħu u jibda d-diskussjonijiet tat-trilogu.</w:t>
            </w:r>
          </w:p>
        </w:tc>
        <w:tc>
          <w:tcPr>
            <w:tcW w:w="1378" w:type="dxa"/>
            <w:shd w:val="clear" w:color="auto" w:fill="00B050"/>
            <w:vAlign w:val="center"/>
          </w:tcPr>
          <w:p>
            <w:pPr>
              <w:spacing w:before="180" w:after="180"/>
              <w:jc w:val="center"/>
              <w:rPr>
                <w:rFonts w:ascii="Times New Roman" w:hAnsi="Times New Roman" w:cs="Times New Roman"/>
                <w:noProof/>
                <w:sz w:val="20"/>
                <w:szCs w:val="20"/>
              </w:rPr>
            </w:pPr>
          </w:p>
        </w:tc>
        <w:tc>
          <w:tcPr>
            <w:tcW w:w="1276" w:type="dxa"/>
            <w:shd w:val="clear" w:color="auto" w:fill="F79646" w:themeFill="accent6"/>
            <w:vAlign w:val="center"/>
          </w:tcPr>
          <w:p>
            <w:pPr>
              <w:spacing w:before="180" w:after="180"/>
              <w:jc w:val="center"/>
              <w:rPr>
                <w:rFonts w:ascii="Times New Roman" w:hAnsi="Times New Roman" w:cs="Times New Roman"/>
                <w:noProof/>
                <w:sz w:val="20"/>
                <w:szCs w:val="20"/>
              </w:rPr>
            </w:pPr>
          </w:p>
        </w:tc>
        <w:tc>
          <w:tcPr>
            <w:tcW w:w="1146" w:type="dxa"/>
            <w:shd w:val="clear" w:color="auto" w:fill="FFFF00"/>
            <w:vAlign w:val="center"/>
          </w:tcPr>
          <w:p>
            <w:pPr>
              <w:spacing w:before="180" w:after="180"/>
              <w:jc w:val="center"/>
              <w:rPr>
                <w:rFonts w:ascii="Times New Roman" w:hAnsi="Times New Roman" w:cs="Times New Roman"/>
                <w:noProof/>
                <w:sz w:val="20"/>
                <w:szCs w:val="20"/>
              </w:rPr>
            </w:pP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noProof/>
                <w:sz w:val="20"/>
              </w:rPr>
              <w:t>L-aċċess transfruntiera għall-awtoritajiet tal-infurzar tal-liġi biex jagħmlu użu mid-</w:t>
            </w:r>
            <w:r>
              <w:rPr>
                <w:rFonts w:ascii="Times New Roman" w:hAnsi="Times New Roman"/>
                <w:i/>
                <w:noProof/>
                <w:sz w:val="20"/>
              </w:rPr>
              <w:t>data</w:t>
            </w:r>
            <w:r>
              <w:rPr>
                <w:rFonts w:ascii="Times New Roman" w:hAnsi="Times New Roman"/>
                <w:noProof/>
                <w:sz w:val="20"/>
              </w:rPr>
              <w:t xml:space="preserve"> finanzjarja</w:t>
            </w:r>
            <w:r>
              <w:rPr>
                <w:rStyle w:val="FootnoteReference"/>
                <w:rFonts w:ascii="Times New Roman" w:hAnsi="Times New Roman"/>
                <w:noProof/>
                <w:sz w:val="20"/>
              </w:rPr>
              <w:footnoteReference w:id="19"/>
            </w:r>
          </w:p>
        </w:tc>
        <w:tc>
          <w:tcPr>
            <w:tcW w:w="2521" w:type="dxa"/>
            <w:vAlign w:val="center"/>
          </w:tcPr>
          <w:p>
            <w:pPr>
              <w:spacing w:before="180" w:after="180"/>
              <w:rPr>
                <w:rFonts w:ascii="Times New Roman" w:hAnsi="Times New Roman" w:cs="Times New Roman"/>
                <w:noProof/>
                <w:sz w:val="20"/>
                <w:szCs w:val="20"/>
              </w:rPr>
            </w:pPr>
            <w:r>
              <w:rPr>
                <w:rFonts w:ascii="Times New Roman" w:hAnsi="Times New Roman"/>
                <w:noProof/>
                <w:sz w:val="20"/>
              </w:rPr>
              <w:t>Proposta f’April 2018; il-Kunsill adotta l-mandat tiegħu ta’ negozjar; il-koleġiżlaturi jeħtieġ li jidħlu f’diskussjonijiet tat-trilogu.</w:t>
            </w:r>
          </w:p>
        </w:tc>
        <w:tc>
          <w:tcPr>
            <w:tcW w:w="1378" w:type="dxa"/>
            <w:shd w:val="clear" w:color="auto" w:fill="00B050"/>
            <w:vAlign w:val="center"/>
          </w:tcPr>
          <w:p>
            <w:pPr>
              <w:spacing w:before="180" w:after="180"/>
              <w:jc w:val="center"/>
              <w:rPr>
                <w:rFonts w:ascii="Times New Roman" w:hAnsi="Times New Roman" w:cs="Times New Roman"/>
                <w:noProof/>
                <w:sz w:val="20"/>
                <w:szCs w:val="20"/>
              </w:rPr>
            </w:pPr>
          </w:p>
        </w:tc>
        <w:tc>
          <w:tcPr>
            <w:tcW w:w="1276" w:type="dxa"/>
            <w:shd w:val="clear" w:color="auto" w:fill="FFFF00"/>
            <w:vAlign w:val="center"/>
          </w:tcPr>
          <w:p>
            <w:pPr>
              <w:spacing w:before="180" w:after="180"/>
              <w:jc w:val="center"/>
              <w:rPr>
                <w:rFonts w:ascii="Times New Roman" w:hAnsi="Times New Roman" w:cs="Times New Roman"/>
                <w:noProof/>
                <w:sz w:val="20"/>
                <w:szCs w:val="20"/>
              </w:rPr>
            </w:pPr>
          </w:p>
        </w:tc>
        <w:tc>
          <w:tcPr>
            <w:tcW w:w="1146" w:type="dxa"/>
            <w:shd w:val="clear" w:color="auto" w:fill="FFFF00"/>
            <w:vAlign w:val="center"/>
          </w:tcPr>
          <w:p>
            <w:pPr>
              <w:spacing w:before="180" w:after="180"/>
              <w:jc w:val="center"/>
              <w:rPr>
                <w:rFonts w:ascii="Times New Roman" w:hAnsi="Times New Roman" w:cs="Times New Roman"/>
                <w:noProof/>
                <w:sz w:val="20"/>
                <w:szCs w:val="20"/>
              </w:rPr>
            </w:pP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noProof/>
                <w:sz w:val="20"/>
              </w:rPr>
              <w:t>It-tisħiħ tal-Eurodac</w:t>
            </w:r>
            <w:r>
              <w:rPr>
                <w:rStyle w:val="FootnoteReference"/>
                <w:rFonts w:ascii="Times New Roman" w:hAnsi="Times New Roman"/>
                <w:noProof/>
                <w:sz w:val="20"/>
              </w:rPr>
              <w:footnoteReference w:id="20"/>
            </w:r>
          </w:p>
        </w:tc>
        <w:tc>
          <w:tcPr>
            <w:tcW w:w="2521" w:type="dxa"/>
            <w:vAlign w:val="center"/>
          </w:tcPr>
          <w:p>
            <w:pPr>
              <w:spacing w:before="180" w:after="180"/>
              <w:rPr>
                <w:rFonts w:ascii="Times New Roman" w:hAnsi="Times New Roman" w:cs="Times New Roman"/>
                <w:noProof/>
                <w:sz w:val="20"/>
                <w:szCs w:val="20"/>
              </w:rPr>
            </w:pPr>
            <w:r>
              <w:rPr>
                <w:rFonts w:ascii="Times New Roman" w:hAnsi="Times New Roman"/>
                <w:noProof/>
                <w:sz w:val="20"/>
              </w:rPr>
              <w:t>Proposta f’Mejju 2016; il-Parlament Ewropew u l-Kunsill iridu jiffinalizzaw id-diskussjonijiet tat-trilogu.</w:t>
            </w:r>
          </w:p>
        </w:tc>
        <w:tc>
          <w:tcPr>
            <w:tcW w:w="1378" w:type="dxa"/>
            <w:shd w:val="clear" w:color="auto" w:fill="00B050"/>
            <w:vAlign w:val="center"/>
          </w:tcPr>
          <w:p>
            <w:pPr>
              <w:spacing w:before="180" w:after="180"/>
              <w:jc w:val="center"/>
              <w:rPr>
                <w:rFonts w:ascii="Times New Roman" w:hAnsi="Times New Roman" w:cs="Times New Roman"/>
                <w:noProof/>
                <w:sz w:val="20"/>
                <w:szCs w:val="20"/>
              </w:rPr>
            </w:pPr>
          </w:p>
        </w:tc>
        <w:tc>
          <w:tcPr>
            <w:tcW w:w="1276" w:type="dxa"/>
            <w:shd w:val="clear" w:color="auto" w:fill="F79646" w:themeFill="accent6"/>
            <w:vAlign w:val="center"/>
          </w:tcPr>
          <w:p>
            <w:pPr>
              <w:spacing w:before="180" w:after="180"/>
              <w:jc w:val="center"/>
              <w:rPr>
                <w:rFonts w:ascii="Times New Roman" w:hAnsi="Times New Roman" w:cs="Times New Roman"/>
                <w:noProof/>
                <w:sz w:val="20"/>
                <w:szCs w:val="20"/>
              </w:rPr>
            </w:pPr>
          </w:p>
        </w:tc>
        <w:tc>
          <w:tcPr>
            <w:tcW w:w="1146" w:type="dxa"/>
            <w:shd w:val="clear" w:color="auto" w:fill="F79646" w:themeFill="accent6"/>
            <w:vAlign w:val="center"/>
          </w:tcPr>
          <w:p>
            <w:pPr>
              <w:spacing w:before="180" w:after="180"/>
              <w:jc w:val="center"/>
              <w:rPr>
                <w:rFonts w:ascii="Times New Roman" w:hAnsi="Times New Roman" w:cs="Times New Roman"/>
                <w:noProof/>
                <w:sz w:val="20"/>
                <w:szCs w:val="20"/>
              </w:rPr>
            </w:pPr>
          </w:p>
        </w:tc>
      </w:tr>
    </w:tbl>
    <w:p>
      <w:pPr>
        <w:rPr>
          <w:rFonts w:ascii="Times New Roman" w:hAnsi="Times New Roman" w:cs="Times New Roman"/>
          <w:noProof/>
        </w:rPr>
      </w:pPr>
    </w:p>
    <w:p>
      <w:pPr>
        <w:rPr>
          <w:rStyle w:val="A13"/>
          <w:rFonts w:ascii="Times New Roman" w:hAnsi="Times New Roman" w:cs="Times New Roman"/>
          <w:noProof/>
          <w:sz w:val="23"/>
          <w:szCs w:val="23"/>
        </w:rPr>
      </w:pPr>
      <w:r>
        <w:rPr>
          <w:noProof/>
        </w:rPr>
        <w:br w:type="page"/>
      </w:r>
    </w:p>
    <w:p>
      <w:pPr>
        <w:pStyle w:val="Pa35"/>
        <w:rPr>
          <w:rFonts w:ascii="Times New Roman" w:hAnsi="Times New Roman" w:cs="Times New Roman"/>
          <w:noProof/>
        </w:rPr>
      </w:pPr>
      <w:r>
        <w:rPr>
          <w:rStyle w:val="A13"/>
          <w:rFonts w:ascii="Times New Roman" w:hAnsi="Times New Roman"/>
          <w:noProof/>
          <w:sz w:val="23"/>
        </w:rPr>
        <w:t>III) Inizjattivi leġiżlattivi oħrajn qed jiġu diskussi fl-Unjoni tas-Sigurtà</w:t>
      </w:r>
      <w:r>
        <w:rPr>
          <w:rStyle w:val="A13"/>
          <w:rFonts w:ascii="Times New Roman" w:hAnsi="Times New Roman" w:cs="Times New Roman"/>
          <w:noProof/>
          <w:color w:val="auto"/>
          <w:sz w:val="23"/>
          <w:szCs w:val="23"/>
        </w:rPr>
        <w:br/>
      </w:r>
    </w:p>
    <w:tbl>
      <w:tblPr>
        <w:tblStyle w:val="TableGrid"/>
        <w:tblW w:w="0" w:type="auto"/>
        <w:jc w:val="center"/>
        <w:tblLook w:val="04A0" w:firstRow="1" w:lastRow="0" w:firstColumn="1" w:lastColumn="0" w:noHBand="0" w:noVBand="1"/>
      </w:tblPr>
      <w:tblGrid>
        <w:gridCol w:w="3085"/>
        <w:gridCol w:w="2521"/>
        <w:gridCol w:w="1476"/>
        <w:gridCol w:w="1276"/>
        <w:gridCol w:w="1146"/>
      </w:tblGrid>
      <w:tr>
        <w:trPr>
          <w:jc w:val="center"/>
        </w:trPr>
        <w:tc>
          <w:tcPr>
            <w:tcW w:w="3085" w:type="dxa"/>
            <w:vAlign w:val="center"/>
          </w:tcPr>
          <w:p>
            <w:pPr>
              <w:jc w:val="center"/>
              <w:rPr>
                <w:rFonts w:ascii="Times New Roman" w:hAnsi="Times New Roman" w:cs="Times New Roman"/>
                <w:b/>
                <w:noProof/>
              </w:rPr>
            </w:pPr>
            <w:r>
              <w:rPr>
                <w:rFonts w:ascii="Times New Roman" w:hAnsi="Times New Roman"/>
                <w:b/>
                <w:noProof/>
              </w:rPr>
              <w:t>Politika</w:t>
            </w:r>
          </w:p>
        </w:tc>
        <w:tc>
          <w:tcPr>
            <w:tcW w:w="2521" w:type="dxa"/>
            <w:vAlign w:val="center"/>
          </w:tcPr>
          <w:p>
            <w:pPr>
              <w:jc w:val="center"/>
              <w:rPr>
                <w:rFonts w:ascii="Times New Roman" w:hAnsi="Times New Roman" w:cs="Times New Roman"/>
                <w:b/>
                <w:noProof/>
              </w:rPr>
            </w:pPr>
            <w:r>
              <w:rPr>
                <w:rFonts w:ascii="Times New Roman" w:hAnsi="Times New Roman"/>
                <w:b/>
                <w:noProof/>
              </w:rPr>
              <w:t>Deskrizzjoni</w:t>
            </w:r>
          </w:p>
        </w:tc>
        <w:tc>
          <w:tcPr>
            <w:tcW w:w="1378" w:type="dxa"/>
            <w:vAlign w:val="center"/>
          </w:tcPr>
          <w:p>
            <w:pPr>
              <w:jc w:val="center"/>
              <w:rPr>
                <w:rFonts w:ascii="Times New Roman" w:hAnsi="Times New Roman" w:cs="Times New Roman"/>
                <w:b/>
                <w:noProof/>
              </w:rPr>
            </w:pPr>
            <w:r>
              <w:rPr>
                <w:rFonts w:ascii="Times New Roman" w:hAnsi="Times New Roman"/>
                <w:b/>
                <w:noProof/>
              </w:rPr>
              <w:t>Il-Kummissjoni Ewropea</w:t>
            </w:r>
          </w:p>
        </w:tc>
        <w:tc>
          <w:tcPr>
            <w:tcW w:w="1276" w:type="dxa"/>
            <w:vAlign w:val="center"/>
          </w:tcPr>
          <w:p>
            <w:pPr>
              <w:jc w:val="center"/>
              <w:rPr>
                <w:rFonts w:ascii="Times New Roman" w:hAnsi="Times New Roman" w:cs="Times New Roman"/>
                <w:b/>
                <w:noProof/>
              </w:rPr>
            </w:pPr>
            <w:r>
              <w:rPr>
                <w:rFonts w:ascii="Times New Roman" w:hAnsi="Times New Roman"/>
                <w:b/>
                <w:noProof/>
              </w:rPr>
              <w:t>Il-Parlament Ewropew</w:t>
            </w:r>
          </w:p>
        </w:tc>
        <w:tc>
          <w:tcPr>
            <w:tcW w:w="1146" w:type="dxa"/>
            <w:vAlign w:val="center"/>
          </w:tcPr>
          <w:p>
            <w:pPr>
              <w:jc w:val="center"/>
              <w:rPr>
                <w:rFonts w:ascii="Times New Roman" w:hAnsi="Times New Roman" w:cs="Times New Roman"/>
                <w:b/>
                <w:noProof/>
              </w:rPr>
            </w:pPr>
            <w:r>
              <w:rPr>
                <w:rFonts w:ascii="Times New Roman" w:hAnsi="Times New Roman"/>
                <w:b/>
                <w:noProof/>
              </w:rPr>
              <w:t>Il-Kunsill tal-Unjoni Ewropea</w:t>
            </w:r>
          </w:p>
        </w:tc>
      </w:tr>
      <w:tr>
        <w:trPr>
          <w:jc w:val="center"/>
        </w:trPr>
        <w:tc>
          <w:tcPr>
            <w:tcW w:w="3085" w:type="dxa"/>
            <w:shd w:val="clear" w:color="auto" w:fill="DBE5F1" w:themeFill="accent1" w:themeFillTint="33"/>
          </w:tcPr>
          <w:p>
            <w:pPr>
              <w:spacing w:before="180" w:after="180"/>
              <w:rPr>
                <w:rFonts w:ascii="Times New Roman" w:hAnsi="Times New Roman" w:cs="Times New Roman"/>
                <w:noProof/>
                <w:sz w:val="20"/>
                <w:szCs w:val="20"/>
              </w:rPr>
            </w:pPr>
            <w:r>
              <w:rPr>
                <w:rFonts w:ascii="Times New Roman" w:hAnsi="Times New Roman"/>
                <w:noProof/>
                <w:sz w:val="20"/>
              </w:rPr>
              <w:t>Il-ġlieda kontra l-frodi u l-falsifikazzjoni ta’ mezzi ta’ pagament mhux bi flus kontanti</w:t>
            </w:r>
            <w:r>
              <w:rPr>
                <w:rStyle w:val="FootnoteReference"/>
                <w:rFonts w:ascii="Times New Roman" w:hAnsi="Times New Roman"/>
                <w:noProof/>
                <w:sz w:val="20"/>
              </w:rPr>
              <w:footnoteReference w:id="21"/>
            </w:r>
          </w:p>
        </w:tc>
        <w:tc>
          <w:tcPr>
            <w:tcW w:w="2521" w:type="dxa"/>
          </w:tcPr>
          <w:p>
            <w:pPr>
              <w:spacing w:before="180" w:after="180"/>
              <w:rPr>
                <w:rFonts w:ascii="Times New Roman" w:hAnsi="Times New Roman" w:cs="Times New Roman"/>
                <w:noProof/>
                <w:sz w:val="20"/>
                <w:szCs w:val="20"/>
              </w:rPr>
            </w:pPr>
            <w:r>
              <w:rPr>
                <w:rFonts w:ascii="Times New Roman" w:hAnsi="Times New Roman"/>
                <w:noProof/>
                <w:sz w:val="20"/>
              </w:rPr>
              <w:t>Proposta f’Settembru 2017; id-diskussjonijiet tat-trilogu jinsabu għaddejjin.</w:t>
            </w:r>
          </w:p>
        </w:tc>
        <w:tc>
          <w:tcPr>
            <w:tcW w:w="1378" w:type="dxa"/>
            <w:shd w:val="clear" w:color="auto" w:fill="00B050"/>
          </w:tcPr>
          <w:p>
            <w:pPr>
              <w:spacing w:before="180" w:after="180"/>
              <w:jc w:val="center"/>
              <w:rPr>
                <w:rFonts w:ascii="Times New Roman" w:hAnsi="Times New Roman" w:cs="Times New Roman"/>
                <w:noProof/>
                <w:sz w:val="20"/>
                <w:szCs w:val="20"/>
              </w:rPr>
            </w:pPr>
          </w:p>
        </w:tc>
        <w:tc>
          <w:tcPr>
            <w:tcW w:w="1276" w:type="dxa"/>
            <w:shd w:val="clear" w:color="auto" w:fill="FFFF00"/>
          </w:tcPr>
          <w:p>
            <w:pPr>
              <w:spacing w:before="180" w:after="180"/>
              <w:jc w:val="center"/>
              <w:rPr>
                <w:rFonts w:ascii="Times New Roman" w:hAnsi="Times New Roman" w:cs="Times New Roman"/>
                <w:noProof/>
                <w:sz w:val="20"/>
                <w:szCs w:val="20"/>
              </w:rPr>
            </w:pPr>
          </w:p>
        </w:tc>
        <w:tc>
          <w:tcPr>
            <w:tcW w:w="1146" w:type="dxa"/>
            <w:shd w:val="clear" w:color="auto" w:fill="FFFF00"/>
          </w:tcPr>
          <w:p>
            <w:pPr>
              <w:spacing w:before="180" w:after="180"/>
              <w:jc w:val="center"/>
              <w:rPr>
                <w:rFonts w:ascii="Times New Roman" w:hAnsi="Times New Roman" w:cs="Times New Roman"/>
                <w:noProof/>
                <w:sz w:val="20"/>
                <w:szCs w:val="20"/>
              </w:rPr>
            </w:pPr>
          </w:p>
        </w:tc>
      </w:tr>
      <w:tr>
        <w:trPr>
          <w:jc w:val="center"/>
        </w:trPr>
        <w:tc>
          <w:tcPr>
            <w:tcW w:w="3085" w:type="dxa"/>
            <w:shd w:val="clear" w:color="auto" w:fill="DBE5F1" w:themeFill="accent1" w:themeFillTint="33"/>
          </w:tcPr>
          <w:p>
            <w:pPr>
              <w:spacing w:before="180" w:after="180"/>
              <w:rPr>
                <w:rFonts w:ascii="Times New Roman" w:hAnsi="Times New Roman" w:cs="Times New Roman"/>
                <w:noProof/>
                <w:sz w:val="20"/>
                <w:szCs w:val="20"/>
              </w:rPr>
            </w:pPr>
            <w:r>
              <w:rPr>
                <w:rFonts w:ascii="Times New Roman" w:hAnsi="Times New Roman"/>
                <w:noProof/>
                <w:sz w:val="20"/>
              </w:rPr>
              <w:t>Ir-restrizzjonijiet dwar it-tqegħid fis-suq u l-użu ta’ prekursuri tal-isplussivi</w:t>
            </w:r>
            <w:r>
              <w:rPr>
                <w:rStyle w:val="FootnoteReference"/>
                <w:rFonts w:ascii="Times New Roman" w:hAnsi="Times New Roman"/>
                <w:noProof/>
                <w:sz w:val="20"/>
              </w:rPr>
              <w:footnoteReference w:id="22"/>
            </w:r>
          </w:p>
        </w:tc>
        <w:tc>
          <w:tcPr>
            <w:tcW w:w="2521" w:type="dxa"/>
          </w:tcPr>
          <w:p>
            <w:pPr>
              <w:spacing w:before="180" w:after="180"/>
              <w:rPr>
                <w:rFonts w:ascii="Times New Roman" w:hAnsi="Times New Roman" w:cs="Times New Roman"/>
                <w:noProof/>
                <w:sz w:val="20"/>
                <w:szCs w:val="20"/>
              </w:rPr>
            </w:pPr>
            <w:r>
              <w:rPr>
                <w:rFonts w:ascii="Times New Roman" w:hAnsi="Times New Roman"/>
                <w:noProof/>
                <w:sz w:val="20"/>
              </w:rPr>
              <w:t>Proposta f’April 2018; il-Parlament Ewropew u l-Kunsill iridu jadottaw il-mandati ta’ negozjar tagħhom u jibdew id-diskussjonijiet tat-trilogu.</w:t>
            </w:r>
          </w:p>
        </w:tc>
        <w:tc>
          <w:tcPr>
            <w:tcW w:w="1378" w:type="dxa"/>
            <w:shd w:val="clear" w:color="auto" w:fill="00B050"/>
          </w:tcPr>
          <w:p>
            <w:pPr>
              <w:spacing w:before="180" w:after="180"/>
              <w:jc w:val="center"/>
              <w:rPr>
                <w:rFonts w:ascii="Times New Roman" w:hAnsi="Times New Roman" w:cs="Times New Roman"/>
                <w:noProof/>
                <w:sz w:val="20"/>
                <w:szCs w:val="20"/>
              </w:rPr>
            </w:pPr>
          </w:p>
        </w:tc>
        <w:tc>
          <w:tcPr>
            <w:tcW w:w="1276" w:type="dxa"/>
            <w:shd w:val="clear" w:color="auto" w:fill="F79646" w:themeFill="accent6"/>
          </w:tcPr>
          <w:p>
            <w:pPr>
              <w:spacing w:before="180" w:after="180"/>
              <w:jc w:val="center"/>
              <w:rPr>
                <w:rFonts w:ascii="Times New Roman" w:hAnsi="Times New Roman" w:cs="Times New Roman"/>
                <w:noProof/>
                <w:sz w:val="20"/>
                <w:szCs w:val="20"/>
              </w:rPr>
            </w:pPr>
          </w:p>
        </w:tc>
        <w:tc>
          <w:tcPr>
            <w:tcW w:w="1146" w:type="dxa"/>
            <w:shd w:val="clear" w:color="auto" w:fill="F79646" w:themeFill="accent6"/>
          </w:tcPr>
          <w:p>
            <w:pPr>
              <w:spacing w:before="180" w:after="180"/>
              <w:jc w:val="center"/>
              <w:rPr>
                <w:rFonts w:ascii="Times New Roman" w:hAnsi="Times New Roman" w:cs="Times New Roman"/>
                <w:noProof/>
                <w:sz w:val="20"/>
                <w:szCs w:val="20"/>
              </w:rPr>
            </w:pPr>
          </w:p>
        </w:tc>
      </w:tr>
      <w:tr>
        <w:trPr>
          <w:jc w:val="center"/>
        </w:trPr>
        <w:tc>
          <w:tcPr>
            <w:tcW w:w="3085" w:type="dxa"/>
            <w:shd w:val="clear" w:color="auto" w:fill="DBE5F1" w:themeFill="accent1" w:themeFillTint="33"/>
          </w:tcPr>
          <w:p>
            <w:pPr>
              <w:spacing w:before="180" w:after="180"/>
              <w:rPr>
                <w:rFonts w:ascii="Times New Roman" w:hAnsi="Times New Roman" w:cs="Times New Roman"/>
                <w:noProof/>
                <w:sz w:val="20"/>
                <w:szCs w:val="20"/>
              </w:rPr>
            </w:pPr>
            <w:r>
              <w:rPr>
                <w:rFonts w:ascii="Times New Roman" w:hAnsi="Times New Roman"/>
                <w:noProof/>
                <w:sz w:val="20"/>
              </w:rPr>
              <w:t>It-tisħiħ tal-karatteristiċi ta’ sigurtà tal-karti tal-identità nazzjonali u tad-dokumenti ta’ residenza</w:t>
            </w:r>
            <w:r>
              <w:rPr>
                <w:rStyle w:val="FootnoteReference"/>
                <w:rFonts w:ascii="Times New Roman" w:hAnsi="Times New Roman"/>
                <w:noProof/>
                <w:sz w:val="20"/>
              </w:rPr>
              <w:footnoteReference w:id="23"/>
            </w:r>
          </w:p>
        </w:tc>
        <w:tc>
          <w:tcPr>
            <w:tcW w:w="2521" w:type="dxa"/>
          </w:tcPr>
          <w:p>
            <w:pPr>
              <w:spacing w:before="180" w:after="180"/>
              <w:rPr>
                <w:rFonts w:ascii="Times New Roman" w:hAnsi="Times New Roman" w:cs="Times New Roman"/>
                <w:noProof/>
                <w:sz w:val="20"/>
                <w:szCs w:val="20"/>
              </w:rPr>
            </w:pPr>
            <w:r>
              <w:rPr>
                <w:rFonts w:ascii="Times New Roman" w:hAnsi="Times New Roman"/>
                <w:noProof/>
                <w:sz w:val="20"/>
              </w:rPr>
              <w:t>Proposta f’April 2018; il-Parlament Ewropew u l-Kunsill adottaw il-mandati ta’ negozjar tagħhom u bdew id-diskussjonijiet tat-trilogu.</w:t>
            </w:r>
          </w:p>
        </w:tc>
        <w:tc>
          <w:tcPr>
            <w:tcW w:w="1378" w:type="dxa"/>
            <w:shd w:val="clear" w:color="auto" w:fill="00B050"/>
          </w:tcPr>
          <w:p>
            <w:pPr>
              <w:spacing w:before="180" w:after="180"/>
              <w:jc w:val="center"/>
              <w:rPr>
                <w:rFonts w:ascii="Times New Roman" w:hAnsi="Times New Roman" w:cs="Times New Roman"/>
                <w:noProof/>
                <w:sz w:val="20"/>
                <w:szCs w:val="20"/>
              </w:rPr>
            </w:pPr>
          </w:p>
        </w:tc>
        <w:tc>
          <w:tcPr>
            <w:tcW w:w="1276" w:type="dxa"/>
            <w:shd w:val="clear" w:color="auto" w:fill="FFFF00"/>
          </w:tcPr>
          <w:p>
            <w:pPr>
              <w:spacing w:before="180" w:after="180"/>
              <w:jc w:val="center"/>
              <w:rPr>
                <w:rFonts w:ascii="Times New Roman" w:hAnsi="Times New Roman" w:cs="Times New Roman"/>
                <w:noProof/>
                <w:sz w:val="20"/>
                <w:szCs w:val="20"/>
              </w:rPr>
            </w:pPr>
          </w:p>
        </w:tc>
        <w:tc>
          <w:tcPr>
            <w:tcW w:w="1146" w:type="dxa"/>
            <w:shd w:val="clear" w:color="auto" w:fill="FFFF00"/>
          </w:tcPr>
          <w:p>
            <w:pPr>
              <w:spacing w:before="180" w:after="180"/>
              <w:jc w:val="center"/>
              <w:rPr>
                <w:rFonts w:ascii="Times New Roman" w:hAnsi="Times New Roman" w:cs="Times New Roman"/>
                <w:noProof/>
                <w:sz w:val="20"/>
                <w:szCs w:val="20"/>
              </w:rPr>
            </w:pPr>
          </w:p>
        </w:tc>
      </w:tr>
      <w:tr>
        <w:trPr>
          <w:jc w:val="center"/>
        </w:trPr>
        <w:tc>
          <w:tcPr>
            <w:tcW w:w="3085" w:type="dxa"/>
            <w:shd w:val="clear" w:color="auto" w:fill="DBE5F1" w:themeFill="accent1" w:themeFillTint="33"/>
          </w:tcPr>
          <w:p>
            <w:pPr>
              <w:spacing w:before="180" w:after="180"/>
              <w:rPr>
                <w:rFonts w:ascii="Times New Roman" w:hAnsi="Times New Roman" w:cs="Times New Roman"/>
                <w:noProof/>
                <w:sz w:val="20"/>
                <w:szCs w:val="20"/>
              </w:rPr>
            </w:pPr>
            <w:r>
              <w:rPr>
                <w:rFonts w:ascii="Times New Roman" w:hAnsi="Times New Roman"/>
                <w:noProof/>
                <w:sz w:val="20"/>
              </w:rPr>
              <w:t>It-tisħiħ tas-Sistema ta’ Informazzjoni dwar il-Viża</w:t>
            </w:r>
            <w:r>
              <w:rPr>
                <w:rStyle w:val="FootnoteReference"/>
                <w:rFonts w:ascii="Times New Roman" w:hAnsi="Times New Roman"/>
                <w:noProof/>
                <w:sz w:val="20"/>
              </w:rPr>
              <w:footnoteReference w:id="24"/>
            </w:r>
          </w:p>
        </w:tc>
        <w:tc>
          <w:tcPr>
            <w:tcW w:w="2521" w:type="dxa"/>
          </w:tcPr>
          <w:p>
            <w:pPr>
              <w:spacing w:before="180" w:after="180"/>
              <w:rPr>
                <w:rFonts w:ascii="Times New Roman" w:hAnsi="Times New Roman" w:cs="Times New Roman"/>
                <w:noProof/>
                <w:sz w:val="20"/>
                <w:szCs w:val="20"/>
              </w:rPr>
            </w:pPr>
            <w:r>
              <w:rPr>
                <w:rFonts w:ascii="Times New Roman" w:hAnsi="Times New Roman"/>
                <w:noProof/>
                <w:sz w:val="20"/>
              </w:rPr>
              <w:t>Proposta f’Mejju 2018; il-Parlament Ewropew u l-Kunsill iridu jadottaw il-mandati ta’ negozjar tagħhom u jibdew id-diskussjonijiet tat-trilogu.</w:t>
            </w:r>
          </w:p>
        </w:tc>
        <w:tc>
          <w:tcPr>
            <w:tcW w:w="1378" w:type="dxa"/>
            <w:shd w:val="clear" w:color="auto" w:fill="00B050"/>
          </w:tcPr>
          <w:p>
            <w:pPr>
              <w:spacing w:before="180" w:after="180"/>
              <w:jc w:val="center"/>
              <w:rPr>
                <w:rFonts w:ascii="Times New Roman" w:hAnsi="Times New Roman" w:cs="Times New Roman"/>
                <w:noProof/>
                <w:sz w:val="20"/>
                <w:szCs w:val="20"/>
              </w:rPr>
            </w:pPr>
          </w:p>
        </w:tc>
        <w:tc>
          <w:tcPr>
            <w:tcW w:w="1276" w:type="dxa"/>
            <w:shd w:val="clear" w:color="auto" w:fill="F79646" w:themeFill="accent6"/>
          </w:tcPr>
          <w:p>
            <w:pPr>
              <w:spacing w:before="180" w:after="180"/>
              <w:jc w:val="center"/>
              <w:rPr>
                <w:rFonts w:ascii="Times New Roman" w:hAnsi="Times New Roman" w:cs="Times New Roman"/>
                <w:noProof/>
                <w:sz w:val="20"/>
                <w:szCs w:val="20"/>
              </w:rPr>
            </w:pPr>
          </w:p>
        </w:tc>
        <w:tc>
          <w:tcPr>
            <w:tcW w:w="1146" w:type="dxa"/>
            <w:shd w:val="clear" w:color="auto" w:fill="F79646" w:themeFill="accent6"/>
          </w:tcPr>
          <w:p>
            <w:pPr>
              <w:spacing w:before="180" w:after="180"/>
              <w:jc w:val="center"/>
              <w:rPr>
                <w:rFonts w:ascii="Times New Roman" w:hAnsi="Times New Roman" w:cs="Times New Roman"/>
                <w:noProof/>
                <w:sz w:val="20"/>
                <w:szCs w:val="20"/>
              </w:rPr>
            </w:pPr>
          </w:p>
        </w:tc>
      </w:tr>
    </w:tbl>
    <w:p>
      <w:pPr>
        <w:tabs>
          <w:tab w:val="left" w:pos="6345"/>
        </w:tabs>
        <w:rPr>
          <w:rFonts w:ascii="Times New Roman" w:hAnsi="Times New Roman" w:cs="Times New Roman"/>
          <w:noProof/>
          <w:sz w:val="2"/>
          <w:szCs w:val="2"/>
        </w:rPr>
      </w:pPr>
    </w:p>
    <w:sectPr>
      <w:headerReference w:type="even" r:id="rId15"/>
      <w:headerReference w:type="default" r:id="rId16"/>
      <w:footerReference w:type="even" r:id="rId17"/>
      <w:footerReference w:type="default" r:id="rId18"/>
      <w:headerReference w:type="first" r:id="rId19"/>
      <w:footerReference w:type="first" r:id="rId20"/>
      <w:pgSz w:w="11910" w:h="16840"/>
      <w:pgMar w:top="1020" w:right="400" w:bottom="0" w:left="4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EC Square Sans Pro">
    <w:panose1 w:val="020B0506040000020004"/>
    <w:charset w:val="00"/>
    <w:family w:val="swiss"/>
    <w:pitch w:val="variable"/>
    <w:sig w:usb0="A00002BF" w:usb1="5000E0F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MT</w:t>
    </w:r>
    <w:r>
      <w:rPr>
        <w:rFonts w:ascii="Arial" w:hAnsi="Arial" w:cs="Arial"/>
        <w:b/>
        <w:sz w:val="48"/>
      </w:rPr>
      <w:tab/>
    </w:r>
    <w:r>
      <w:rPr>
        <w:rFonts w:ascii="Arial" w:hAnsi="Arial" w:cs="Arial"/>
        <w:b/>
        <w:sz w:val="48"/>
      </w:rPr>
      <w:tab/>
    </w:r>
    <w:r>
      <w:tab/>
    </w:r>
    <w:r>
      <w:rPr>
        <w:rFonts w:ascii="Arial" w:hAnsi="Arial" w:cs="Arial"/>
        <w:b/>
        <w:sz w:val="48"/>
      </w:rPr>
      <w:t>MT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9017396"/>
      <w:docPartObj>
        <w:docPartGallery w:val="Page Numbers (Bottom of Page)"/>
        <w:docPartUnique/>
      </w:docPartObj>
    </w:sdtPr>
    <w:sdtEndPr>
      <w:rPr>
        <w:rFonts w:ascii="Times New Roman" w:hAnsi="Times New Roman" w:cs="Times New Roman"/>
        <w:noProof/>
      </w:rPr>
    </w:sdtEndPr>
    <w:sdtContent>
      <w:p>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ind w:left="567" w:hanging="56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1">
        <w:r>
          <w:rPr>
            <w:rStyle w:val="Hyperlink"/>
            <w:rFonts w:ascii="Times New Roman" w:hAnsi="Times New Roman"/>
          </w:rPr>
          <w:t>https://ec.europa.eu/commission/sites/beta-political/files/soteu2018-speech_mt_0.pdf</w:t>
        </w:r>
      </w:hyperlink>
      <w:r>
        <w:rPr>
          <w:rFonts w:ascii="Times New Roman" w:hAnsi="Times New Roman"/>
        </w:rPr>
        <w:t xml:space="preserve">. Ara wkoll l-Ittra ta’ Intenzjoni tal-President Juncker: </w:t>
      </w:r>
      <w:hyperlink r:id="rId2">
        <w:r>
          <w:rPr>
            <w:rStyle w:val="Hyperlink"/>
            <w:rFonts w:ascii="Times New Roman" w:hAnsi="Times New Roman"/>
          </w:rPr>
          <w:t>https://ec.europa.eu/commission/sites/beta-political/files/soteu2018-letter-of-intent_mt.pdf</w:t>
        </w:r>
      </w:hyperlink>
      <w:r>
        <w:rPr>
          <w:rFonts w:ascii="Times New Roman" w:hAnsi="Times New Roman"/>
        </w:rPr>
        <w:t>.</w:t>
      </w:r>
    </w:p>
  </w:footnote>
  <w:footnote w:id="2">
    <w:p>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COM(2018) 640 final (12.9.2018).</w:t>
      </w:r>
    </w:p>
  </w:footnote>
  <w:footnote w:id="3">
    <w:p>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COM(2018) 641 final (12.9.2018).</w:t>
      </w:r>
    </w:p>
  </w:footnote>
  <w:footnote w:id="4">
    <w:p>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COM(2018) 636 final (12.9.2018).</w:t>
      </w:r>
    </w:p>
  </w:footnote>
  <w:footnote w:id="5">
    <w:p>
      <w:pPr>
        <w:pStyle w:val="FootnoteText"/>
        <w:ind w:left="567" w:hanging="567"/>
        <w:jc w:val="both"/>
        <w:rPr>
          <w:lang w:val="pt-PT"/>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COM(2018) 631 final (12.9.2018).</w:t>
      </w:r>
      <w:r>
        <w:t xml:space="preserve">  </w:t>
      </w:r>
    </w:p>
  </w:footnote>
  <w:footnote w:id="6">
    <w:p>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COM(2018) 630 final (12.9.2018).</w:t>
      </w:r>
    </w:p>
  </w:footnote>
  <w:footnote w:id="7">
    <w:p>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w:t>
      </w:r>
      <w:r>
        <w:tab/>
      </w:r>
      <w:hyperlink r:id="rId3">
        <w:r>
          <w:rPr>
            <w:rStyle w:val="Hyperlink"/>
            <w:rFonts w:ascii="Times New Roman" w:hAnsi="Times New Roman"/>
          </w:rPr>
          <w:t>https://ec.europa.eu/commission/sites/beta-political/files/joint-declaration-eu-legislative-priorities-2018-19_en.pdf</w:t>
        </w:r>
      </w:hyperlink>
      <w:r>
        <w:rPr>
          <w:rFonts w:ascii="Times New Roman" w:hAnsi="Times New Roman"/>
        </w:rPr>
        <w:t>.</w:t>
      </w:r>
    </w:p>
  </w:footnote>
  <w:footnote w:id="8">
    <w:p>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COM(2016) 731 final (16.11.2016).</w:t>
      </w:r>
    </w:p>
  </w:footnote>
  <w:footnote w:id="9">
    <w:p>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COM(2017) 352 final (29.6.2017).</w:t>
      </w:r>
    </w:p>
  </w:footnote>
  <w:footnote w:id="10">
    <w:p>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COM(2016) 881 final (21.12.2016), COM(2016) 882 final (22.4.2016) u COM(2016) 883 final (21.12.2016).</w:t>
      </w:r>
    </w:p>
  </w:footnote>
  <w:footnote w:id="11">
    <w:p>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Id-Direttiva (UE) 2018/841 (30.5.2018).</w:t>
      </w:r>
    </w:p>
  </w:footnote>
  <w:footnote w:id="12">
    <w:p>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Ir-Regolament (UE) 2017/2226 (30.11.2017).</w:t>
      </w:r>
    </w:p>
  </w:footnote>
  <w:footnote w:id="13">
    <w:p>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Id-Direttiva (UE) 2017/853 (17.5.2017).</w:t>
      </w:r>
    </w:p>
  </w:footnote>
  <w:footnote w:id="14">
    <w:p>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Id-Direttiva (UE) 2017/541 (15.3.2017).</w:t>
      </w:r>
    </w:p>
  </w:footnote>
  <w:footnote w:id="15">
    <w:p>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COM(2017) 477 final (13.9.2017).</w:t>
      </w:r>
    </w:p>
  </w:footnote>
  <w:footnote w:id="16">
    <w:p>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COM(2016) 7 final (19.1.2016) u COM(2017) 344 final (29.6.2017).</w:t>
      </w:r>
    </w:p>
  </w:footnote>
  <w:footnote w:id="17">
    <w:p>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COM (2017) 793 final (12.12.2017), COM (2017) 794 final (12.12.2017), COM (2018) 478 final (13.6.2018) u COM (2018) 480 final (13.6.2018).</w:t>
      </w:r>
    </w:p>
  </w:footnote>
  <w:footnote w:id="18">
    <w:p>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COM(2018) 225 final (17.4.2018) u COM(2018) 226 final (17.4.2018).</w:t>
      </w:r>
    </w:p>
  </w:footnote>
  <w:footnote w:id="19">
    <w:p>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COM(2018) 213 final (17.4.2018).</w:t>
      </w:r>
    </w:p>
  </w:footnote>
  <w:footnote w:id="20">
    <w:p>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COM(2016) 272 final (4.5.2016).</w:t>
      </w:r>
    </w:p>
  </w:footnote>
  <w:footnote w:id="21">
    <w:p>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COM(2017) 489 final (13.9.2017).</w:t>
      </w:r>
    </w:p>
  </w:footnote>
  <w:footnote w:id="22">
    <w:p>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COM(2018) 209 final (17.4.2018).</w:t>
      </w:r>
    </w:p>
  </w:footnote>
  <w:footnote w:id="23">
    <w:p>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COM(2018) 212 final (17.4.2018).</w:t>
      </w:r>
    </w:p>
  </w:footnote>
  <w:footnote w:id="24">
    <w:p>
      <w:pPr>
        <w:tabs>
          <w:tab w:val="left" w:pos="567"/>
        </w:tabs>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sz w:val="20"/>
        </w:rPr>
        <w:t>COM(2018) 302 final (16.5.2018).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EGL Julian (CAB-KING)">
    <w15:presenceInfo w15:providerId="None" w15:userId="SIEGL Julian (CAB-KING)"/>
  </w15:person>
  <w15:person w15:author="BESSOT Nicolas (HOME)">
    <w15:presenceInfo w15:providerId="None" w15:userId="BESSOT Nicolas (HOM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tal-"/>
    <w:docVar w:name="LW_ANNEX_NBR_FIRST" w:val="1"/>
    <w:docVar w:name="LW_ANNEX_NBR_LAST" w:val="1"/>
    <w:docVar w:name="LW_ANNEX_UNIQUE" w:val="1"/>
    <w:docVar w:name="LW_CORRIGENDUM" w:val="&lt;UNUSED&gt;"/>
    <w:docVar w:name="LW_COVERPAGE_EXISTS" w:val="True"/>
    <w:docVar w:name="LW_COVERPAGE_GUID" w:val="6B575847-C84E-4FD9-859D-1A85B2FB3847"/>
    <w:docVar w:name="LW_COVERPAGE_TYPE" w:val="1"/>
    <w:docVar w:name="LW_CROSSREFERENCE" w:val="&lt;UNUSED&gt;"/>
    <w:docVar w:name="LW_DocType" w:val="NORMAL"/>
    <w:docVar w:name="LW_EMISSION" w:val="11.12.2018"/>
    <w:docVar w:name="LW_EMISSION_ISODATE" w:val="2018-12-11"/>
    <w:docVar w:name="LW_EMISSION_LOCATION" w:val="STR"/>
    <w:docVar w:name="LW_EMISSION_PREFIX" w:val="Strasburgu, "/>
    <w:docVar w:name="LW_EMISSION_SUFFIX" w:val=" "/>
    <w:docVar w:name="LW_ID_DOCTYPE_NONLW" w:val="CP-039"/>
    <w:docVar w:name="LW_LANGUE" w:val="MT"/>
    <w:docVar w:name="LW_LEVEL_OF_SENSITIVITY" w:val="Standard treatment"/>
    <w:docVar w:name="LW_NOM.INST" w:val="IL-KUMMISSJONI EWROPEA"/>
    <w:docVar w:name="LW_NOM.INST_JOINTDOC" w:val="&lt;EMPTY&gt;"/>
    <w:docVar w:name="LW_OBJETACTEPRINCIPAL.CP" w:val="Is-Sbatax-il Rapport ta' Progress g\u295?al Unjoni ta' Sigurtà effettiva u \u289?enwina_x000b__x000b_Lista ta' inizjattivi legi\u380?lattivi _x000b__x000b_"/>
    <w:docVar w:name="LW_PART_NBR" w:val="1"/>
    <w:docVar w:name="LW_PART_NBR_TOTAL" w:val="1"/>
    <w:docVar w:name="LW_REF.INST.NEW" w:val="COM"/>
    <w:docVar w:name="LW_REF.INST.NEW_ADOPTED" w:val="final"/>
    <w:docVar w:name="LW_REF.INST.NEW_TEXT" w:val="(2018) 84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ANNESS_x000b_"/>
    <w:docVar w:name="LW_TYPEACTEPRINCIPAL.CP" w:val="KOMUNIKAZZJONI TAL-KUMMISSJONI LILL-PARLAMENT EWROPEW, LILL-KUNSILL EWROPEW U LILL-KUNSILL _x000b__x000b_"/>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t-MT" w:eastAsia="mt-MT" w:bidi="mt-M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BodyText">
    <w:name w:val="Body Text"/>
    <w:basedOn w:val="Normal"/>
    <w:link w:val="BodyTextChar"/>
    <w:uiPriority w:val="1"/>
    <w:qFormat/>
    <w:pPr>
      <w:widowControl w:val="0"/>
      <w:autoSpaceDE w:val="0"/>
      <w:autoSpaceDN w:val="0"/>
      <w:spacing w:before="4" w:after="0" w:line="240" w:lineRule="auto"/>
      <w:ind w:left="40"/>
    </w:pPr>
    <w:rPr>
      <w:rFonts w:ascii="EC Square Sans Pro" w:eastAsia="EC Square Sans Pro" w:hAnsi="EC Square Sans Pro" w:cs="EC Square Sans Pro"/>
      <w:sz w:val="18"/>
      <w:szCs w:val="18"/>
    </w:rPr>
  </w:style>
  <w:style w:type="character" w:customStyle="1" w:styleId="BodyTextChar">
    <w:name w:val="Body Text Char"/>
    <w:basedOn w:val="DefaultParagraphFont"/>
    <w:link w:val="BodyText"/>
    <w:uiPriority w:val="1"/>
    <w:rPr>
      <w:rFonts w:ascii="EC Square Sans Pro" w:eastAsia="EC Square Sans Pro" w:hAnsi="EC Square Sans Pro" w:cs="EC Square Sans Pro"/>
      <w:sz w:val="18"/>
      <w:szCs w:val="18"/>
      <w:lang w:eastAsia="mt-MT" w:bidi="mt-MT"/>
    </w:rPr>
  </w:style>
  <w:style w:type="character" w:styleId="Hyperlink">
    <w:name w:val="Hyperlink"/>
    <w:basedOn w:val="DefaultParagraphFont"/>
    <w:uiPriority w:val="99"/>
    <w:unhideWhenUsed/>
    <w:rPr>
      <w:color w:val="0000FF" w:themeColor="hyperlink"/>
      <w:u w:val="single"/>
    </w:rPr>
  </w:style>
  <w:style w:type="paragraph" w:customStyle="1" w:styleId="Pa35">
    <w:name w:val="Pa35"/>
    <w:basedOn w:val="Normal"/>
    <w:next w:val="Normal"/>
    <w:uiPriority w:val="99"/>
    <w:pPr>
      <w:autoSpaceDE w:val="0"/>
      <w:autoSpaceDN w:val="0"/>
      <w:adjustRightInd w:val="0"/>
      <w:spacing w:after="0" w:line="195" w:lineRule="atLeast"/>
    </w:pPr>
    <w:rPr>
      <w:rFonts w:ascii="EC Square Sans Pro" w:hAnsi="EC Square Sans Pro"/>
      <w:sz w:val="24"/>
      <w:szCs w:val="24"/>
    </w:rPr>
  </w:style>
  <w:style w:type="character" w:customStyle="1" w:styleId="A13">
    <w:name w:val="A13"/>
    <w:uiPriority w:val="99"/>
    <w:rPr>
      <w:rFonts w:cs="EC Square Sans Pro"/>
      <w:b/>
      <w:bCs/>
      <w:color w:val="00000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CSR,Fußnotentextf,Note de bas de page Car Car Car Car Car Car Car Car Car Car,Note de bas de page Car Car Car Car,Note de bas de page Car Car Car Car Car Car Car Car Car,ft,Fußnote, Char Char Car,fn,Schriftart: 9 pt,o"/>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TextCSR Char,Fußnotentextf Char,Note de bas de page Car Car Car Car Car Car Car Car Car Car Char,Note de bas de page Car Car Car Car Char,Note de bas de page Car Car Car Car Car Car Car Car Car Char,ft Char,Fußnote Char"/>
    <w:basedOn w:val="DefaultParagraphFont"/>
    <w:link w:val="FootnoteText"/>
    <w:uiPriority w:val="99"/>
    <w:qFormat/>
    <w:rPr>
      <w:sz w:val="20"/>
      <w:szCs w:val="20"/>
    </w:rPr>
  </w:style>
  <w:style w:type="character" w:styleId="FootnoteReference">
    <w:name w:val="footnote reference"/>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t-MT" w:eastAsia="mt-MT" w:bidi="mt-M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BodyText">
    <w:name w:val="Body Text"/>
    <w:basedOn w:val="Normal"/>
    <w:link w:val="BodyTextChar"/>
    <w:uiPriority w:val="1"/>
    <w:qFormat/>
    <w:pPr>
      <w:widowControl w:val="0"/>
      <w:autoSpaceDE w:val="0"/>
      <w:autoSpaceDN w:val="0"/>
      <w:spacing w:before="4" w:after="0" w:line="240" w:lineRule="auto"/>
      <w:ind w:left="40"/>
    </w:pPr>
    <w:rPr>
      <w:rFonts w:ascii="EC Square Sans Pro" w:eastAsia="EC Square Sans Pro" w:hAnsi="EC Square Sans Pro" w:cs="EC Square Sans Pro"/>
      <w:sz w:val="18"/>
      <w:szCs w:val="18"/>
    </w:rPr>
  </w:style>
  <w:style w:type="character" w:customStyle="1" w:styleId="BodyTextChar">
    <w:name w:val="Body Text Char"/>
    <w:basedOn w:val="DefaultParagraphFont"/>
    <w:link w:val="BodyText"/>
    <w:uiPriority w:val="1"/>
    <w:rPr>
      <w:rFonts w:ascii="EC Square Sans Pro" w:eastAsia="EC Square Sans Pro" w:hAnsi="EC Square Sans Pro" w:cs="EC Square Sans Pro"/>
      <w:sz w:val="18"/>
      <w:szCs w:val="18"/>
      <w:lang w:eastAsia="mt-MT" w:bidi="mt-MT"/>
    </w:rPr>
  </w:style>
  <w:style w:type="character" w:styleId="Hyperlink">
    <w:name w:val="Hyperlink"/>
    <w:basedOn w:val="DefaultParagraphFont"/>
    <w:uiPriority w:val="99"/>
    <w:unhideWhenUsed/>
    <w:rPr>
      <w:color w:val="0000FF" w:themeColor="hyperlink"/>
      <w:u w:val="single"/>
    </w:rPr>
  </w:style>
  <w:style w:type="paragraph" w:customStyle="1" w:styleId="Pa35">
    <w:name w:val="Pa35"/>
    <w:basedOn w:val="Normal"/>
    <w:next w:val="Normal"/>
    <w:uiPriority w:val="99"/>
    <w:pPr>
      <w:autoSpaceDE w:val="0"/>
      <w:autoSpaceDN w:val="0"/>
      <w:adjustRightInd w:val="0"/>
      <w:spacing w:after="0" w:line="195" w:lineRule="atLeast"/>
    </w:pPr>
    <w:rPr>
      <w:rFonts w:ascii="EC Square Sans Pro" w:hAnsi="EC Square Sans Pro"/>
      <w:sz w:val="24"/>
      <w:szCs w:val="24"/>
    </w:rPr>
  </w:style>
  <w:style w:type="character" w:customStyle="1" w:styleId="A13">
    <w:name w:val="A13"/>
    <w:uiPriority w:val="99"/>
    <w:rPr>
      <w:rFonts w:cs="EC Square Sans Pro"/>
      <w:b/>
      <w:bCs/>
      <w:color w:val="00000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CSR,Fußnotentextf,Note de bas de page Car Car Car Car Car Car Car Car Car Car,Note de bas de page Car Car Car Car,Note de bas de page Car Car Car Car Car Car Car Car Car,ft,Fußnote, Char Char Car,fn,Schriftart: 9 pt,o"/>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TextCSR Char,Fußnotentextf Char,Note de bas de page Car Car Car Car Car Car Car Car Car Car Char,Note de bas de page Car Car Car Car Char,Note de bas de page Car Car Car Car Car Car Car Car Car Char,ft Char,Fußnote Char"/>
    <w:basedOn w:val="DefaultParagraphFont"/>
    <w:link w:val="FootnoteText"/>
    <w:uiPriority w:val="99"/>
    <w:qFormat/>
    <w:rPr>
      <w:sz w:val="20"/>
      <w:szCs w:val="20"/>
    </w:rPr>
  </w:style>
  <w:style w:type="character" w:styleId="FootnoteReference">
    <w:name w:val="footnote reference"/>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23"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commission/sites/beta-political/files/joint-declaration-eu-legislative-priorities-2018-19_en.pdf" TargetMode="External"/><Relationship Id="rId2" Type="http://schemas.openxmlformats.org/officeDocument/2006/relationships/hyperlink" Target="https://ec.europa.eu/commission/sites/beta-political/files/soteu2018-letter-of-intent_mt.pdf" TargetMode="External"/><Relationship Id="rId1" Type="http://schemas.openxmlformats.org/officeDocument/2006/relationships/hyperlink" Target="https://ec.europa.eu/commission/sites/beta-political/files/soteu2018-speech_mt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B62CC8B-3CBF-4071-B680-C52C61AF5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482</Words>
  <Characters>3946</Characters>
  <Application>Microsoft Office Word</Application>
  <DocSecurity>0</DocSecurity>
  <Lines>281</Lines>
  <Paragraphs>76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European Commission</Company>
  <LinksUpToDate>false</LinksUpToDate>
  <CharactersWithSpaces>4352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BARETTE Anne (HOME)</dc:creator>
  <cp:lastModifiedBy>WES PDFC Administrator</cp:lastModifiedBy>
  <cp:revision>14</cp:revision>
  <cp:lastPrinted>2018-10-03T13:10:00Z</cp:lastPrinted>
  <dcterms:created xsi:type="dcterms:W3CDTF">2018-12-11T07:59:00Z</dcterms:created>
  <dcterms:modified xsi:type="dcterms:W3CDTF">2019-01-11T16:07:00Z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1</vt:lpwstr>
  </property>
  <property fmtid="{D5CDD505-2E9C-101B-9397-08002B2CF9AE}" pid="4" name="Last annex">
    <vt:lpwstr>1</vt:lpwstr>
  </property>
  <property fmtid="{D5CDD505-2E9C-101B-9397-08002B2CF9AE}" pid="5" name="Unique annex">
    <vt:lpwstr>1</vt:lpwstr>
  </property>
  <property fmtid="{D5CDD505-2E9C-101B-9397-08002B2CF9AE}" pid="6" name="Part">
    <vt:lpwstr>1</vt:lpwstr>
  </property>
  <property fmtid="{D5CDD505-2E9C-101B-9397-08002B2CF9AE}" pid="7" name="Total parts">
    <vt:lpwstr>1</vt:lpwstr>
  </property>
  <property fmtid="{D5CDD505-2E9C-101B-9397-08002B2CF9AE}" pid="8" name="DocStatus">
    <vt:lpwstr>Green</vt:lpwstr>
  </property>
  <property fmtid="{D5CDD505-2E9C-101B-9397-08002B2CF9AE}" pid="9" name="Created using">
    <vt:lpwstr>LW 6.0.1, Build 20180503</vt:lpwstr>
  </property>
  <property fmtid="{D5CDD505-2E9C-101B-9397-08002B2CF9AE}" pid="10" name="Last edited using">
    <vt:lpwstr>LW 6.0.1, Build 20180503</vt:lpwstr>
  </property>
</Properties>
</file>