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779F8C24-6601-4BFC-AB76-25E843AC5C61" style="width:450.75pt;height:395.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u w:val="single"/>
        </w:rPr>
      </w:pPr>
      <w:bookmarkStart w:id="1" w:name="_GoBack"/>
      <w:bookmarkEnd w:id="1"/>
      <w:r>
        <w:rPr>
          <w:rFonts w:ascii="Times New Roman" w:hAnsi="Times New Roman"/>
          <w:b/>
          <w:noProof/>
          <w:u w:val="single"/>
        </w:rPr>
        <w:lastRenderedPageBreak/>
        <w:t>PŘÍLOHA</w:t>
      </w:r>
    </w:p>
    <w:p>
      <w:pPr>
        <w:pStyle w:val="Pa35"/>
        <w:rPr>
          <w:rFonts w:ascii="Times New Roman" w:hAnsi="Times New Roman" w:cs="Times New Roman"/>
          <w:noProof/>
          <w:color w:val="000000"/>
          <w:sz w:val="23"/>
          <w:szCs w:val="23"/>
        </w:rPr>
      </w:pPr>
      <w:r>
        <w:rPr>
          <w:rStyle w:val="A13"/>
          <w:rFonts w:ascii="Times New Roman" w:hAnsi="Times New Roman"/>
          <w:noProof/>
          <w:sz w:val="23"/>
        </w:rPr>
        <w:t>PLNĚNÍ LEGISLATIVNÍCH PRIORIT</w:t>
      </w:r>
      <w:r>
        <w:rPr>
          <w:rStyle w:val="A13"/>
          <w:rFonts w:ascii="Times New Roman" w:hAnsi="Times New Roman" w:cs="Times New Roman"/>
          <w:noProof/>
          <w:sz w:val="23"/>
          <w:szCs w:val="23"/>
        </w:rPr>
        <w:br/>
      </w:r>
    </w:p>
    <w:tbl>
      <w:tblPr>
        <w:tblStyle w:val="TableGrid"/>
        <w:tblW w:w="11326" w:type="dxa"/>
        <w:tblInd w:w="250" w:type="dxa"/>
        <w:tblLook w:val="04A0" w:firstRow="1" w:lastRow="0" w:firstColumn="1" w:lastColumn="0" w:noHBand="0" w:noVBand="1"/>
      </w:tblPr>
      <w:tblGrid>
        <w:gridCol w:w="392"/>
        <w:gridCol w:w="10934"/>
      </w:tblGrid>
      <w:tr>
        <w:tc>
          <w:tcPr>
            <w:tcW w:w="392" w:type="dxa"/>
            <w:tcBorders>
              <w:right w:val="single" w:sz="4" w:space="0" w:color="auto"/>
            </w:tcBorders>
            <w:shd w:val="clear" w:color="auto" w:fill="00B05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Předloženo a odsouhlaseno</w:t>
            </w:r>
          </w:p>
        </w:tc>
      </w:tr>
      <w:tr>
        <w:tc>
          <w:tcPr>
            <w:tcW w:w="392" w:type="dxa"/>
            <w:tcBorders>
              <w:right w:val="single" w:sz="4" w:space="0" w:color="auto"/>
            </w:tcBorders>
            <w:shd w:val="clear" w:color="auto" w:fill="FFFF0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Rychlá dohoda při dodržení běžných postupů je možná</w:t>
            </w:r>
          </w:p>
        </w:tc>
      </w:tr>
      <w:tr>
        <w:tc>
          <w:tcPr>
            <w:tcW w:w="392" w:type="dxa"/>
            <w:tcBorders>
              <w:right w:val="single" w:sz="4" w:space="0" w:color="auto"/>
            </w:tcBorders>
            <w:shd w:val="clear" w:color="auto" w:fill="F79646" w:themeFill="accent6"/>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Dohoda je možná, prokážou-li všechny orgány EU silnou politickou vůli</w:t>
            </w:r>
          </w:p>
        </w:tc>
      </w:tr>
    </w:tbl>
    <w:p>
      <w:pPr>
        <w:pStyle w:val="Pa35"/>
        <w:rPr>
          <w:rStyle w:val="A13"/>
          <w:rFonts w:ascii="Times New Roman" w:hAnsi="Times New Roman" w:cs="Times New Roman"/>
          <w:noProof/>
          <w:sz w:val="23"/>
          <w:szCs w:val="23"/>
        </w:rPr>
      </w:pPr>
    </w:p>
    <w:p>
      <w:pPr>
        <w:pStyle w:val="Pa35"/>
        <w:rPr>
          <w:rStyle w:val="A13"/>
          <w:rFonts w:ascii="Times New Roman" w:hAnsi="Times New Roman" w:cs="Times New Roman"/>
          <w:noProof/>
          <w:sz w:val="23"/>
          <w:szCs w:val="23"/>
        </w:rPr>
      </w:pPr>
      <w:r>
        <w:rPr>
          <w:rStyle w:val="A13"/>
          <w:rFonts w:ascii="Times New Roman" w:hAnsi="Times New Roman"/>
          <w:noProof/>
          <w:sz w:val="23"/>
        </w:rPr>
        <w:t>I) Iniciativy v souvislosti s projevem o stavu Unie 2018</w:t>
      </w:r>
      <w:r>
        <w:rPr>
          <w:rStyle w:val="FootnoteReference"/>
          <w:rFonts w:ascii="Times New Roman" w:hAnsi="Times New Roman"/>
          <w:b/>
          <w:noProof/>
          <w:color w:val="000000"/>
          <w:sz w:val="23"/>
        </w:rPr>
        <w:footnoteReference w:id="1"/>
      </w:r>
    </w:p>
    <w:p>
      <w:pPr>
        <w:rPr>
          <w:rFonts w:ascii="Times New Roman" w:hAnsi="Times New Roman" w:cs="Times New Roman"/>
          <w:noProof/>
        </w:rPr>
      </w:pPr>
    </w:p>
    <w:tbl>
      <w:tblPr>
        <w:tblStyle w:val="TableGrid"/>
        <w:tblW w:w="0" w:type="auto"/>
        <w:jc w:val="center"/>
        <w:tblLook w:val="04A0" w:firstRow="1" w:lastRow="0" w:firstColumn="1" w:lastColumn="0" w:noHBand="0" w:noVBand="1"/>
      </w:tblPr>
      <w:tblGrid>
        <w:gridCol w:w="3085"/>
        <w:gridCol w:w="2521"/>
        <w:gridCol w:w="1378"/>
        <w:gridCol w:w="1276"/>
        <w:gridCol w:w="1146"/>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Politika</w:t>
            </w:r>
          </w:p>
        </w:tc>
        <w:tc>
          <w:tcPr>
            <w:tcW w:w="2521" w:type="dxa"/>
            <w:vAlign w:val="center"/>
          </w:tcPr>
          <w:p>
            <w:pPr>
              <w:jc w:val="center"/>
              <w:rPr>
                <w:rFonts w:ascii="Times New Roman" w:hAnsi="Times New Roman" w:cs="Times New Roman"/>
                <w:b/>
                <w:noProof/>
              </w:rPr>
            </w:pPr>
            <w:r>
              <w:rPr>
                <w:rFonts w:ascii="Times New Roman" w:hAnsi="Times New Roman"/>
                <w:b/>
                <w:noProof/>
              </w:rPr>
              <w:t>Popis</w:t>
            </w:r>
          </w:p>
        </w:tc>
        <w:tc>
          <w:tcPr>
            <w:tcW w:w="1378" w:type="dxa"/>
            <w:vAlign w:val="center"/>
          </w:tcPr>
          <w:p>
            <w:pPr>
              <w:jc w:val="center"/>
              <w:rPr>
                <w:rFonts w:ascii="Times New Roman" w:hAnsi="Times New Roman" w:cs="Times New Roman"/>
                <w:b/>
                <w:noProof/>
              </w:rPr>
            </w:pPr>
            <w:r>
              <w:rPr>
                <w:rFonts w:ascii="Times New Roman" w:hAnsi="Times New Roman"/>
                <w:b/>
                <w:noProof/>
              </w:rPr>
              <w:t>Evropská komise</w:t>
            </w:r>
          </w:p>
        </w:tc>
        <w:tc>
          <w:tcPr>
            <w:tcW w:w="1276" w:type="dxa"/>
            <w:vAlign w:val="center"/>
          </w:tcPr>
          <w:p>
            <w:pPr>
              <w:jc w:val="center"/>
              <w:rPr>
                <w:rFonts w:ascii="Times New Roman" w:hAnsi="Times New Roman" w:cs="Times New Roman"/>
                <w:b/>
                <w:noProof/>
              </w:rPr>
            </w:pPr>
            <w:r>
              <w:rPr>
                <w:rFonts w:ascii="Times New Roman" w:hAnsi="Times New Roman"/>
                <w:b/>
                <w:noProof/>
              </w:rPr>
              <w:t>Evropský parlament</w:t>
            </w:r>
          </w:p>
        </w:tc>
        <w:tc>
          <w:tcPr>
            <w:tcW w:w="1146" w:type="dxa"/>
            <w:vAlign w:val="center"/>
          </w:tcPr>
          <w:p>
            <w:pPr>
              <w:jc w:val="center"/>
              <w:rPr>
                <w:rFonts w:ascii="Times New Roman" w:hAnsi="Times New Roman" w:cs="Times New Roman"/>
                <w:b/>
                <w:noProof/>
              </w:rPr>
            </w:pPr>
            <w:r>
              <w:rPr>
                <w:rFonts w:ascii="Times New Roman" w:hAnsi="Times New Roman"/>
                <w:b/>
                <w:noProof/>
              </w:rPr>
              <w:t>Rada Evropské unie</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Prevence šíření teroristického obsahu online</w:t>
            </w:r>
            <w:r>
              <w:rPr>
                <w:rStyle w:val="FootnoteReference"/>
                <w:rFonts w:ascii="Times New Roman" w:hAnsi="Times New Roman"/>
                <w:noProof/>
                <w:sz w:val="20"/>
              </w:rPr>
              <w:footnoteReference w:id="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září 2018; Rada přijala svůj mandát dne 6. prosince 2018.</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Rozšíření mandátu Úřadu evropského veřejného žalobce na přeshraniční terorismus</w:t>
            </w:r>
            <w:r>
              <w:rPr>
                <w:rStyle w:val="FootnoteReference"/>
                <w:rFonts w:ascii="Times New Roman" w:hAnsi="Times New Roman"/>
                <w:noProof/>
                <w:sz w:val="20"/>
              </w:rPr>
              <w:footnoteReference w:id="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září 2018.</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79646" w:themeFill="accent6"/>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Cílená změna nařízení o financování politických stran, pokud jde o postup ověřování v případě porušení pravidel ochrany osobních údajů v souvislosti s volbami do Evropského parlamentu</w:t>
            </w:r>
            <w:r>
              <w:rPr>
                <w:rStyle w:val="FootnoteReference"/>
                <w:rFonts w:ascii="Times New Roman" w:hAnsi="Times New Roman"/>
                <w:noProof/>
                <w:sz w:val="20"/>
              </w:rPr>
              <w:footnoteReference w:id="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září 2018.</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79646" w:themeFill="accent6"/>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Posílení kapacit Evropské agentury pro pohraniční a pobřežní stráž</w:t>
            </w:r>
            <w:r>
              <w:rPr>
                <w:rStyle w:val="FootnoteReference"/>
                <w:rFonts w:ascii="Times New Roman" w:hAnsi="Times New Roman"/>
                <w:noProof/>
                <w:sz w:val="20"/>
              </w:rPr>
              <w:footnoteReference w:id="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září 2018.</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79646" w:themeFill="accent6"/>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Evropské průmyslové, technologické a výzkumné centrum kompetencí pro kybernetickou bezpečnost</w:t>
            </w:r>
            <w:r>
              <w:rPr>
                <w:rStyle w:val="FootnoteReference"/>
                <w:rFonts w:ascii="Times New Roman" w:hAnsi="Times New Roman"/>
                <w:noProof/>
                <w:sz w:val="20"/>
              </w:rPr>
              <w:footnoteReference w:id="6"/>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září 2018.</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79646" w:themeFill="accent6"/>
            <w:vAlign w:val="center"/>
          </w:tcPr>
          <w:p>
            <w:pPr>
              <w:spacing w:before="180" w:after="180"/>
              <w:rPr>
                <w:rFonts w:ascii="Times New Roman" w:hAnsi="Times New Roman" w:cs="Times New Roman"/>
                <w:noProof/>
                <w:sz w:val="20"/>
                <w:szCs w:val="20"/>
              </w:rPr>
            </w:pPr>
          </w:p>
        </w:tc>
      </w:tr>
    </w:tbl>
    <w:p>
      <w:pPr>
        <w:rPr>
          <w:rStyle w:val="A13"/>
          <w:rFonts w:ascii="Times New Roman" w:hAnsi="Times New Roman" w:cs="Times New Roman"/>
          <w:noProof/>
          <w:color w:val="auto"/>
          <w:sz w:val="23"/>
          <w:szCs w:val="23"/>
        </w:rPr>
      </w:pPr>
      <w:r>
        <w:rPr>
          <w:noProof/>
        </w:rPr>
        <w:br w:type="page"/>
      </w:r>
    </w:p>
    <w:p>
      <w:pPr>
        <w:pStyle w:val="Pa35"/>
        <w:rPr>
          <w:rStyle w:val="A13"/>
          <w:rFonts w:ascii="Times New Roman" w:hAnsi="Times New Roman" w:cs="Times New Roman"/>
          <w:noProof/>
          <w:color w:val="auto"/>
          <w:sz w:val="23"/>
          <w:szCs w:val="23"/>
        </w:rPr>
      </w:pPr>
    </w:p>
    <w:p>
      <w:pPr>
        <w:pStyle w:val="Pa35"/>
        <w:rPr>
          <w:rFonts w:ascii="Times New Roman" w:hAnsi="Times New Roman" w:cs="Times New Roman"/>
          <w:noProof/>
        </w:rPr>
      </w:pPr>
      <w:r>
        <w:rPr>
          <w:rStyle w:val="A13"/>
          <w:rFonts w:ascii="Times New Roman" w:hAnsi="Times New Roman"/>
          <w:noProof/>
          <w:color w:val="auto"/>
          <w:sz w:val="23"/>
        </w:rPr>
        <w:t>II) Priority dohodnuté ve společném prohlášení</w:t>
      </w:r>
      <w:r>
        <w:rPr>
          <w:rStyle w:val="FootnoteReference"/>
          <w:rFonts w:ascii="Times New Roman" w:hAnsi="Times New Roman"/>
          <w:b/>
          <w:noProof/>
          <w:sz w:val="23"/>
        </w:rPr>
        <w:footnoteReference w:id="7"/>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276"/>
        <w:gridCol w:w="1146"/>
      </w:tblGrid>
      <w:tr>
        <w:trPr>
          <w:tblHeade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Politika</w:t>
            </w:r>
          </w:p>
        </w:tc>
        <w:tc>
          <w:tcPr>
            <w:tcW w:w="2521" w:type="dxa"/>
            <w:vAlign w:val="center"/>
          </w:tcPr>
          <w:p>
            <w:pPr>
              <w:jc w:val="center"/>
              <w:rPr>
                <w:rFonts w:ascii="Times New Roman" w:hAnsi="Times New Roman" w:cs="Times New Roman"/>
                <w:b/>
                <w:noProof/>
              </w:rPr>
            </w:pPr>
            <w:r>
              <w:rPr>
                <w:rFonts w:ascii="Times New Roman" w:hAnsi="Times New Roman"/>
                <w:b/>
                <w:noProof/>
              </w:rPr>
              <w:t>Popis</w:t>
            </w:r>
          </w:p>
        </w:tc>
        <w:tc>
          <w:tcPr>
            <w:tcW w:w="1378" w:type="dxa"/>
            <w:vAlign w:val="center"/>
          </w:tcPr>
          <w:p>
            <w:pPr>
              <w:jc w:val="center"/>
              <w:rPr>
                <w:rFonts w:ascii="Times New Roman" w:hAnsi="Times New Roman" w:cs="Times New Roman"/>
                <w:b/>
                <w:noProof/>
              </w:rPr>
            </w:pPr>
            <w:r>
              <w:rPr>
                <w:rFonts w:ascii="Times New Roman" w:hAnsi="Times New Roman"/>
                <w:b/>
                <w:noProof/>
              </w:rPr>
              <w:t>Evropská komise</w:t>
            </w:r>
          </w:p>
        </w:tc>
        <w:tc>
          <w:tcPr>
            <w:tcW w:w="1276" w:type="dxa"/>
            <w:vAlign w:val="center"/>
          </w:tcPr>
          <w:p>
            <w:pPr>
              <w:jc w:val="center"/>
              <w:rPr>
                <w:rFonts w:ascii="Times New Roman" w:hAnsi="Times New Roman" w:cs="Times New Roman"/>
                <w:b/>
                <w:noProof/>
              </w:rPr>
            </w:pPr>
            <w:r>
              <w:rPr>
                <w:rFonts w:ascii="Times New Roman" w:hAnsi="Times New Roman"/>
                <w:b/>
                <w:noProof/>
              </w:rPr>
              <w:t>Evropský parlament</w:t>
            </w:r>
          </w:p>
        </w:tc>
        <w:tc>
          <w:tcPr>
            <w:tcW w:w="1146" w:type="dxa"/>
            <w:vAlign w:val="center"/>
          </w:tcPr>
          <w:p>
            <w:pPr>
              <w:jc w:val="center"/>
              <w:rPr>
                <w:rFonts w:ascii="Times New Roman" w:hAnsi="Times New Roman" w:cs="Times New Roman"/>
                <w:b/>
                <w:noProof/>
              </w:rPr>
            </w:pPr>
            <w:r>
              <w:rPr>
                <w:rFonts w:ascii="Times New Roman" w:hAnsi="Times New Roman"/>
                <w:b/>
                <w:noProof/>
              </w:rPr>
              <w:t>Rada Evropské unie</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Evropský systém pro cestovní informace a povolení</w:t>
            </w:r>
            <w:r>
              <w:rPr>
                <w:rStyle w:val="FootnoteReference"/>
                <w:rFonts w:ascii="Times New Roman" w:hAnsi="Times New Roman"/>
                <w:noProof/>
                <w:sz w:val="20"/>
              </w:rPr>
              <w:footnoteReference w:id="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listopadu 2016; spolunormotvůrci dosáhli dohody; formální přijetí na podzim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Evropská agentura pro provozní řízení rozsáhlých informačních systémů v prostoru svobody, bezpečnosti a práva</w:t>
            </w:r>
            <w:r>
              <w:rPr>
                <w:rStyle w:val="FootnoteReference"/>
                <w:rFonts w:ascii="Times New Roman" w:hAnsi="Times New Roman"/>
                <w:noProof/>
                <w:sz w:val="20"/>
              </w:rPr>
              <w:footnoteReference w:id="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červnu 2017; spolunormotvůrci dosáhli dohody; formální přijetí na podzim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Posílení Schengenského informačního systému</w:t>
            </w:r>
            <w:r>
              <w:rPr>
                <w:rStyle w:val="FootnoteReference"/>
                <w:rFonts w:ascii="Times New Roman" w:hAnsi="Times New Roman"/>
                <w:noProof/>
                <w:sz w:val="20"/>
              </w:rPr>
              <w:footnoteReference w:id="1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prosinci 2016; spolunormotvůrci dosáhli dohody; formální přijetí na podzim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Praní peněz a financování terorismu</w:t>
            </w:r>
            <w:r>
              <w:rPr>
                <w:rStyle w:val="FootnoteReference"/>
                <w:rFonts w:ascii="Times New Roman" w:hAnsi="Times New Roman"/>
                <w:noProof/>
                <w:sz w:val="20"/>
              </w:rPr>
              <w:footnoteReference w:id="11"/>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červenci 2016; formální přijetí v květnu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Systém vstupu/výstupu</w:t>
            </w:r>
            <w:r>
              <w:rPr>
                <w:rStyle w:val="FootnoteReference"/>
                <w:rFonts w:ascii="Times New Roman" w:hAnsi="Times New Roman"/>
                <w:noProof/>
                <w:sz w:val="20"/>
              </w:rPr>
              <w:footnoteReference w:id="1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dubnu 2016; formální přijetí v listopadu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Kontrola nabývání a držení zbraní</w:t>
            </w:r>
            <w:r>
              <w:rPr>
                <w:rStyle w:val="FootnoteReference"/>
                <w:rFonts w:ascii="Times New Roman" w:hAnsi="Times New Roman"/>
                <w:noProof/>
                <w:sz w:val="20"/>
              </w:rPr>
              <w:footnoteReference w:id="1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listopadu 2015; formální přijetí v květnu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Směrnice o boji proti terorismu</w:t>
            </w:r>
            <w:r>
              <w:rPr>
                <w:rStyle w:val="FootnoteReference"/>
                <w:rFonts w:ascii="Times New Roman" w:hAnsi="Times New Roman"/>
                <w:noProof/>
                <w:sz w:val="20"/>
              </w:rPr>
              <w:footnoteReference w:id="1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prosinci 2015; formální přijetí v březnu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Akt o kybernetické bezpečnosti</w:t>
            </w:r>
            <w:r>
              <w:rPr>
                <w:rStyle w:val="FootnoteReference"/>
                <w:rFonts w:ascii="Times New Roman" w:hAnsi="Times New Roman"/>
                <w:noProof/>
                <w:sz w:val="20"/>
              </w:rPr>
              <w:footnoteReference w:id="1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září 2017; spolunormotvůrci dosáhli dohody; formální přijetí v roce 2019.</w:t>
            </w:r>
          </w:p>
          <w:p>
            <w:pPr>
              <w:spacing w:before="180" w:after="180"/>
              <w:rPr>
                <w:rFonts w:ascii="Times New Roman" w:hAnsi="Times New Roman" w:cs="Times New Roman"/>
                <w:noProof/>
                <w:sz w:val="20"/>
                <w:szCs w:val="20"/>
              </w:rPr>
            </w:pP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bottom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Evropský informační systém rejstříků trestů</w:t>
            </w:r>
            <w:r>
              <w:rPr>
                <w:rStyle w:val="FootnoteReference"/>
                <w:rFonts w:ascii="Times New Roman" w:hAnsi="Times New Roman"/>
                <w:noProof/>
                <w:sz w:val="20"/>
              </w:rPr>
              <w:footnoteReference w:id="16"/>
            </w:r>
          </w:p>
        </w:tc>
        <w:tc>
          <w:tcPr>
            <w:tcW w:w="2521" w:type="dxa"/>
            <w:tcBorders>
              <w:bottom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lednu 2016 a doplněno v červnu 2017; závěrečná fáze třístranných jednání.</w:t>
            </w:r>
          </w:p>
        </w:tc>
        <w:tc>
          <w:tcPr>
            <w:tcW w:w="1378"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bottom w:val="single" w:sz="4" w:space="0" w:color="auto"/>
            </w:tcBorders>
            <w:shd w:val="clear" w:color="auto" w:fill="FFFF00"/>
            <w:vAlign w:val="center"/>
          </w:tcPr>
          <w:p>
            <w:pPr>
              <w:spacing w:before="180" w:after="180"/>
              <w:jc w:val="center"/>
              <w:rPr>
                <w:rFonts w:ascii="Times New Roman" w:hAnsi="Times New Roman" w:cs="Times New Roman"/>
                <w:noProof/>
                <w:sz w:val="20"/>
                <w:szCs w:val="20"/>
              </w:rPr>
            </w:pPr>
          </w:p>
        </w:tc>
        <w:tc>
          <w:tcPr>
            <w:tcW w:w="1146" w:type="dxa"/>
            <w:tcBorders>
              <w:bottom w:val="single" w:sz="4" w:space="0" w:color="auto"/>
            </w:tcBorders>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top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Interoperabilita mezi informačními systémy EU pro bezpečnost, správu hranic a řízení migrace</w:t>
            </w:r>
            <w:r>
              <w:rPr>
                <w:rStyle w:val="FootnoteReference"/>
                <w:rFonts w:ascii="Times New Roman" w:hAnsi="Times New Roman"/>
                <w:noProof/>
                <w:sz w:val="20"/>
              </w:rPr>
              <w:footnoteReference w:id="17"/>
            </w:r>
          </w:p>
        </w:tc>
        <w:tc>
          <w:tcPr>
            <w:tcW w:w="2521" w:type="dxa"/>
            <w:tcBorders>
              <w:top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prosinci 2017 a pozměněno v červnu 2018; závěrečná fáze třístranných jednání.</w:t>
            </w:r>
          </w:p>
        </w:tc>
        <w:tc>
          <w:tcPr>
            <w:tcW w:w="1378"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top w:val="single" w:sz="4" w:space="0" w:color="auto"/>
            </w:tcBorders>
            <w:shd w:val="clear" w:color="auto" w:fill="FFFF00"/>
            <w:vAlign w:val="center"/>
          </w:tcPr>
          <w:p>
            <w:pPr>
              <w:spacing w:before="180" w:after="180"/>
              <w:jc w:val="center"/>
              <w:rPr>
                <w:rFonts w:ascii="Times New Roman" w:hAnsi="Times New Roman" w:cs="Times New Roman"/>
                <w:noProof/>
                <w:sz w:val="20"/>
                <w:szCs w:val="20"/>
              </w:rPr>
            </w:pPr>
          </w:p>
        </w:tc>
        <w:tc>
          <w:tcPr>
            <w:tcW w:w="1146" w:type="dxa"/>
            <w:tcBorders>
              <w:top w:val="single" w:sz="4" w:space="0" w:color="auto"/>
            </w:tcBorders>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Přeshraniční přístup donucovacích orgánů k elektronickým důkazům</w:t>
            </w:r>
            <w:r>
              <w:rPr>
                <w:rStyle w:val="FootnoteReference"/>
                <w:rFonts w:ascii="Times New Roman" w:hAnsi="Times New Roman"/>
                <w:noProof/>
                <w:sz w:val="20"/>
              </w:rPr>
              <w:footnoteReference w:id="1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dubnu 2018; Rada přijala mandát k vyjednávání; je třeba, aby Evropský parlament přijal svůj mandát k vyjednávání a zahájil třístranná jednání.</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Přeshraniční přístup donucovacích orgánů k finančním údajům a jejich používání</w:t>
            </w:r>
            <w:r>
              <w:rPr>
                <w:rStyle w:val="FootnoteReference"/>
                <w:rFonts w:ascii="Times New Roman" w:hAnsi="Times New Roman"/>
                <w:noProof/>
                <w:sz w:val="20"/>
              </w:rPr>
              <w:footnoteReference w:id="1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dubnu 2018; Rada přijala mandát k vyjednávání; je třeba, aby spolunormotvůrci zahájili třístranná jednání.</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FFF00"/>
            <w:vAlign w:val="center"/>
          </w:tcPr>
          <w:p>
            <w:pPr>
              <w:spacing w:before="180" w:after="180"/>
              <w:jc w:val="center"/>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Posílení systému Eurodac</w:t>
            </w:r>
            <w:r>
              <w:rPr>
                <w:rStyle w:val="FootnoteReference"/>
                <w:rFonts w:ascii="Times New Roman" w:hAnsi="Times New Roman"/>
                <w:noProof/>
                <w:sz w:val="20"/>
              </w:rPr>
              <w:footnoteReference w:id="2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Navrženo v květnu 2016; je třeba, aby Evropský parlament a Rada dokončily třístranná jednání.</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79646" w:themeFill="accent6"/>
            <w:vAlign w:val="center"/>
          </w:tcPr>
          <w:p>
            <w:pPr>
              <w:spacing w:before="180" w:after="180"/>
              <w:jc w:val="center"/>
              <w:rPr>
                <w:rFonts w:ascii="Times New Roman" w:hAnsi="Times New Roman" w:cs="Times New Roman"/>
                <w:noProof/>
                <w:sz w:val="20"/>
                <w:szCs w:val="20"/>
              </w:rPr>
            </w:pPr>
          </w:p>
        </w:tc>
      </w:tr>
    </w:tbl>
    <w:p>
      <w:pPr>
        <w:rPr>
          <w:rFonts w:ascii="Times New Roman" w:hAnsi="Times New Roman" w:cs="Times New Roman"/>
          <w:noProof/>
        </w:rPr>
      </w:pPr>
    </w:p>
    <w:p>
      <w:pPr>
        <w:rPr>
          <w:rStyle w:val="A13"/>
          <w:rFonts w:ascii="Times New Roman" w:hAnsi="Times New Roman" w:cs="Times New Roman"/>
          <w:noProof/>
          <w:sz w:val="23"/>
          <w:szCs w:val="23"/>
        </w:rPr>
      </w:pPr>
      <w:r>
        <w:rPr>
          <w:noProof/>
        </w:rPr>
        <w:br w:type="page"/>
      </w:r>
    </w:p>
    <w:p>
      <w:pPr>
        <w:pStyle w:val="Pa35"/>
        <w:rPr>
          <w:rFonts w:ascii="Times New Roman" w:hAnsi="Times New Roman" w:cs="Times New Roman"/>
          <w:noProof/>
        </w:rPr>
      </w:pPr>
      <w:r>
        <w:rPr>
          <w:rStyle w:val="A13"/>
          <w:rFonts w:ascii="Times New Roman" w:hAnsi="Times New Roman"/>
          <w:noProof/>
          <w:sz w:val="23"/>
        </w:rPr>
        <w:t xml:space="preserve">III) </w:t>
      </w:r>
      <w:r>
        <w:rPr>
          <w:rStyle w:val="A13"/>
          <w:rFonts w:ascii="Times New Roman" w:hAnsi="Times New Roman"/>
          <w:noProof/>
          <w:color w:val="auto"/>
          <w:sz w:val="23"/>
        </w:rPr>
        <w:t>Další legislativní iniciativy projednávané v rámci bezpečnostní unie</w:t>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276"/>
        <w:gridCol w:w="1146"/>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Politika</w:t>
            </w:r>
          </w:p>
        </w:tc>
        <w:tc>
          <w:tcPr>
            <w:tcW w:w="2521" w:type="dxa"/>
            <w:vAlign w:val="center"/>
          </w:tcPr>
          <w:p>
            <w:pPr>
              <w:jc w:val="center"/>
              <w:rPr>
                <w:rFonts w:ascii="Times New Roman" w:hAnsi="Times New Roman" w:cs="Times New Roman"/>
                <w:b/>
                <w:noProof/>
              </w:rPr>
            </w:pPr>
            <w:r>
              <w:rPr>
                <w:rFonts w:ascii="Times New Roman" w:hAnsi="Times New Roman"/>
                <w:b/>
                <w:noProof/>
              </w:rPr>
              <w:t>Popis</w:t>
            </w:r>
          </w:p>
        </w:tc>
        <w:tc>
          <w:tcPr>
            <w:tcW w:w="1378" w:type="dxa"/>
            <w:vAlign w:val="center"/>
          </w:tcPr>
          <w:p>
            <w:pPr>
              <w:jc w:val="center"/>
              <w:rPr>
                <w:rFonts w:ascii="Times New Roman" w:hAnsi="Times New Roman" w:cs="Times New Roman"/>
                <w:b/>
                <w:noProof/>
              </w:rPr>
            </w:pPr>
            <w:r>
              <w:rPr>
                <w:rFonts w:ascii="Times New Roman" w:hAnsi="Times New Roman"/>
                <w:b/>
                <w:noProof/>
              </w:rPr>
              <w:t>Evropská komise</w:t>
            </w:r>
          </w:p>
        </w:tc>
        <w:tc>
          <w:tcPr>
            <w:tcW w:w="1276" w:type="dxa"/>
            <w:vAlign w:val="center"/>
          </w:tcPr>
          <w:p>
            <w:pPr>
              <w:jc w:val="center"/>
              <w:rPr>
                <w:rFonts w:ascii="Times New Roman" w:hAnsi="Times New Roman" w:cs="Times New Roman"/>
                <w:b/>
                <w:noProof/>
              </w:rPr>
            </w:pPr>
            <w:r>
              <w:rPr>
                <w:rFonts w:ascii="Times New Roman" w:hAnsi="Times New Roman"/>
                <w:b/>
                <w:noProof/>
              </w:rPr>
              <w:t>Evropský parlament</w:t>
            </w:r>
          </w:p>
        </w:tc>
        <w:tc>
          <w:tcPr>
            <w:tcW w:w="1146" w:type="dxa"/>
            <w:vAlign w:val="center"/>
          </w:tcPr>
          <w:p>
            <w:pPr>
              <w:jc w:val="center"/>
              <w:rPr>
                <w:rFonts w:ascii="Times New Roman" w:hAnsi="Times New Roman" w:cs="Times New Roman"/>
                <w:b/>
                <w:noProof/>
              </w:rPr>
            </w:pPr>
            <w:r>
              <w:rPr>
                <w:rFonts w:ascii="Times New Roman" w:hAnsi="Times New Roman"/>
                <w:b/>
                <w:noProof/>
              </w:rPr>
              <w:t>Rada Evropské unie</w:t>
            </w: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Potírání podvodů a padělání bezhotovostních platebních prostředků</w:t>
            </w:r>
            <w:r>
              <w:rPr>
                <w:rStyle w:val="FootnoteReference"/>
                <w:rFonts w:ascii="Times New Roman" w:hAnsi="Times New Roman"/>
                <w:noProof/>
                <w:sz w:val="20"/>
              </w:rPr>
              <w:footnoteReference w:id="21"/>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Navrženo v září 2017; probíhají třístranná jednání.</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FFFF00"/>
          </w:tcPr>
          <w:p>
            <w:pPr>
              <w:spacing w:before="180" w:after="180"/>
              <w:jc w:val="center"/>
              <w:rPr>
                <w:rFonts w:ascii="Times New Roman" w:hAnsi="Times New Roman" w:cs="Times New Roman"/>
                <w:noProof/>
                <w:sz w:val="20"/>
                <w:szCs w:val="20"/>
              </w:rPr>
            </w:pPr>
          </w:p>
        </w:tc>
        <w:tc>
          <w:tcPr>
            <w:tcW w:w="1146" w:type="dxa"/>
            <w:shd w:val="clear" w:color="auto" w:fill="FFFF0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Omezení uvádění prekurzorů výbušnin na trh a jejich používání</w:t>
            </w:r>
            <w:r>
              <w:rPr>
                <w:rStyle w:val="FootnoteReference"/>
                <w:rFonts w:ascii="Times New Roman" w:hAnsi="Times New Roman"/>
                <w:noProof/>
                <w:sz w:val="20"/>
              </w:rPr>
              <w:footnoteReference w:id="22"/>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Navrženo v dubnu 2018; je třeba, aby Evropský parlament a Rada přijaly své mandáty k vyjednávání a zahájily třístranná jednání.</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F79646" w:themeFill="accent6"/>
          </w:tcPr>
          <w:p>
            <w:pPr>
              <w:spacing w:before="180" w:after="180"/>
              <w:jc w:val="center"/>
              <w:rPr>
                <w:rFonts w:ascii="Times New Roman" w:hAnsi="Times New Roman" w:cs="Times New Roman"/>
                <w:noProof/>
                <w:sz w:val="20"/>
                <w:szCs w:val="20"/>
              </w:rPr>
            </w:pPr>
          </w:p>
        </w:tc>
        <w:tc>
          <w:tcPr>
            <w:tcW w:w="1146" w:type="dxa"/>
            <w:shd w:val="clear" w:color="auto" w:fill="F79646" w:themeFill="accent6"/>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Posílení bezpečnostních prvků vnitrostátních průkazů totožnosti a povolení k pobytu</w:t>
            </w:r>
            <w:r>
              <w:rPr>
                <w:rStyle w:val="FootnoteReference"/>
                <w:rFonts w:ascii="Times New Roman" w:hAnsi="Times New Roman"/>
                <w:noProof/>
                <w:sz w:val="20"/>
              </w:rPr>
              <w:footnoteReference w:id="23"/>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Navrženo v dubnu 2018; Evropský parlament a Rada přijaly své mandáty k vyjednávání a je třeba, aby zahájily třístranná jednání.</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FFFF00"/>
          </w:tcPr>
          <w:p>
            <w:pPr>
              <w:spacing w:before="180" w:after="180"/>
              <w:jc w:val="center"/>
              <w:rPr>
                <w:rFonts w:ascii="Times New Roman" w:hAnsi="Times New Roman" w:cs="Times New Roman"/>
                <w:noProof/>
                <w:sz w:val="20"/>
                <w:szCs w:val="20"/>
              </w:rPr>
            </w:pPr>
          </w:p>
        </w:tc>
        <w:tc>
          <w:tcPr>
            <w:tcW w:w="1146" w:type="dxa"/>
            <w:shd w:val="clear" w:color="auto" w:fill="FFFF0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Posílení Vízového informačního systému</w:t>
            </w:r>
            <w:r>
              <w:rPr>
                <w:rStyle w:val="FootnoteReference"/>
                <w:rFonts w:ascii="Times New Roman" w:hAnsi="Times New Roman"/>
                <w:noProof/>
                <w:sz w:val="20"/>
              </w:rPr>
              <w:footnoteReference w:id="24"/>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Navrženo v květnu 2018; je třeba, aby Evropský parlament a Rada přijaly své mandáty k vyjednávání a zahájily třístranná jednání.</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F79646" w:themeFill="accent6"/>
          </w:tcPr>
          <w:p>
            <w:pPr>
              <w:spacing w:before="180" w:after="180"/>
              <w:jc w:val="center"/>
              <w:rPr>
                <w:rFonts w:ascii="Times New Roman" w:hAnsi="Times New Roman" w:cs="Times New Roman"/>
                <w:noProof/>
                <w:sz w:val="20"/>
                <w:szCs w:val="20"/>
              </w:rPr>
            </w:pPr>
          </w:p>
        </w:tc>
        <w:tc>
          <w:tcPr>
            <w:tcW w:w="1146" w:type="dxa"/>
            <w:shd w:val="clear" w:color="auto" w:fill="F79646" w:themeFill="accent6"/>
          </w:tcPr>
          <w:p>
            <w:pPr>
              <w:spacing w:before="180" w:after="180"/>
              <w:jc w:val="center"/>
              <w:rPr>
                <w:rFonts w:ascii="Times New Roman" w:hAnsi="Times New Roman" w:cs="Times New Roman"/>
                <w:noProof/>
                <w:sz w:val="20"/>
                <w:szCs w:val="20"/>
              </w:rPr>
            </w:pPr>
          </w:p>
        </w:tc>
      </w:tr>
    </w:tbl>
    <w:p>
      <w:pPr>
        <w:tabs>
          <w:tab w:val="left" w:pos="6345"/>
        </w:tabs>
        <w:rPr>
          <w:rFonts w:ascii="Times New Roman" w:hAnsi="Times New Roman" w:cs="Times New Roman"/>
          <w:noProof/>
          <w:sz w:val="2"/>
          <w:szCs w:val="2"/>
        </w:rPr>
      </w:pPr>
    </w:p>
    <w:sectPr>
      <w:headerReference w:type="even" r:id="rId15"/>
      <w:headerReference w:type="default" r:id="rId16"/>
      <w:footerReference w:type="even" r:id="rId17"/>
      <w:footerReference w:type="default" r:id="rId18"/>
      <w:headerReference w:type="first" r:id="rId19"/>
      <w:footerReference w:type="first" r:id="rId20"/>
      <w:pgSz w:w="11910" w:h="16840"/>
      <w:pgMar w:top="1020" w:right="400" w:bottom="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17396"/>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https://ec.europa.eu/commission/sites/beta-political/files/soteu2018-speech_en_0.pdf</w:t>
        </w:r>
      </w:hyperlink>
      <w:r>
        <w:rPr>
          <w:rFonts w:ascii="Times New Roman" w:hAnsi="Times New Roman"/>
        </w:rPr>
        <w:t xml:space="preserve">. Viz také prohlášení o záměru předsedy Junckera: </w:t>
      </w:r>
      <w:hyperlink r:id="rId2">
        <w:r>
          <w:rPr>
            <w:rStyle w:val="Hyperlink"/>
            <w:rFonts w:ascii="Times New Roman" w:hAnsi="Times New Roman"/>
          </w:rPr>
          <w:t>https://ec.europa.eu/commission/sites/beta-political/files/soteu2018-letter-of-intent_en.pdf</w:t>
        </w:r>
      </w:hyperlink>
      <w:r>
        <w:rPr>
          <w:rFonts w:ascii="Times New Roman" w:hAnsi="Times New Roman"/>
        </w:rPr>
        <w:t>.</w:t>
      </w:r>
    </w:p>
  </w:footnote>
  <w:footnote w:id="2">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640 final ze dne 12. září 2018.</w:t>
      </w:r>
    </w:p>
  </w:footnote>
  <w:footnote w:id="3">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641 final ze dne 12. září 2018.</w:t>
      </w:r>
    </w:p>
  </w:footnote>
  <w:footnote w:id="4">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636 final ze dne 12. září 2018.</w:t>
      </w:r>
    </w:p>
  </w:footnote>
  <w:footnote w:id="5">
    <w:p>
      <w:pPr>
        <w:pStyle w:val="FootnoteText"/>
        <w:ind w:left="567" w:hanging="56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631 final ze dne 12. září 2018.</w:t>
      </w:r>
      <w:r>
        <w:t xml:space="preserve">  </w:t>
      </w:r>
    </w:p>
  </w:footnote>
  <w:footnote w:id="6">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630 final ze dne 12. září 2018.</w:t>
      </w:r>
    </w:p>
  </w:footnote>
  <w:footnote w:id="7">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rPr>
          <w:t>https://ec.europa.eu/commission/sites/beta-political/files/joint-declaration-eu-legislative-priorities-2018-19_en.pdf</w:t>
        </w:r>
      </w:hyperlink>
      <w:r>
        <w:rPr>
          <w:rFonts w:ascii="Times New Roman" w:hAnsi="Times New Roman"/>
        </w:rPr>
        <w:t>.</w:t>
      </w:r>
    </w:p>
  </w:footnote>
  <w:footnote w:id="8">
    <w:p>
      <w:pPr>
        <w:pStyle w:val="FootnoteText"/>
        <w:ind w:left="567" w:hanging="567"/>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731 final ze dne 16. listopadu 2016.</w:t>
      </w:r>
    </w:p>
  </w:footnote>
  <w:footnote w:id="9">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COM(2017) 352 final ze dne 29. června 2017.</w:t>
      </w:r>
    </w:p>
  </w:footnote>
  <w:footnote w:id="10">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881 final ze dne 21. prosince 2016, COM(2016) 882 final ze dne 21. prosince 2016 a COM(2016) 883 final ze dne 21. prosince 2016.</w:t>
      </w:r>
    </w:p>
  </w:footnote>
  <w:footnote w:id="11">
    <w:p>
      <w:pPr>
        <w:pStyle w:val="FootnoteText"/>
        <w:ind w:left="567" w:hanging="567"/>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Směrnice (EU) 2018/841 ze dne 30. května 2018.</w:t>
      </w:r>
    </w:p>
  </w:footnote>
  <w:footnote w:id="12">
    <w:p>
      <w:pPr>
        <w:pStyle w:val="FootnoteText"/>
        <w:ind w:left="567" w:hanging="567"/>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Nařízení (EU) 2017/2226 ze dne 30. listopadu 2017.</w:t>
      </w:r>
    </w:p>
  </w:footnote>
  <w:footnote w:id="13">
    <w:p>
      <w:pPr>
        <w:pStyle w:val="FootnoteText"/>
        <w:ind w:left="567" w:hanging="567"/>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Směrnice (EU) 2017/853 ze dne 17. května 2017.</w:t>
      </w:r>
    </w:p>
  </w:footnote>
  <w:footnote w:id="14">
    <w:p>
      <w:pPr>
        <w:pStyle w:val="FootnoteText"/>
        <w:ind w:left="567" w:hanging="567"/>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Směrnice (EU) 2017/541 ze dne 15. března 2017.</w:t>
      </w:r>
    </w:p>
  </w:footnote>
  <w:footnote w:id="15">
    <w:p>
      <w:pPr>
        <w:pStyle w:val="FootnoteText"/>
        <w:ind w:left="567" w:hanging="567"/>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COM(2017) 477 final ze dne 13. září 2017.</w:t>
      </w:r>
    </w:p>
  </w:footnote>
  <w:footnote w:id="16">
    <w:p>
      <w:pPr>
        <w:pStyle w:val="FootnoteText"/>
        <w:ind w:left="567" w:hanging="567"/>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7 final ze dne 19. ledna 2016 a COM(2017) 344 final ze dne 29. června 2017.</w:t>
      </w:r>
    </w:p>
  </w:footnote>
  <w:footnote w:id="17">
    <w:p>
      <w:pPr>
        <w:pStyle w:val="FootnoteText"/>
        <w:ind w:left="567" w:hanging="567"/>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COM(2017) 793 final ze dne 12. prosince 2017, COM(2017) 794 final ze dne 12. prosince 2017, COM(2018) 478 final ze dne 13. června 2018 a COM(2018) 480 final ze dne 13. června 2018.</w:t>
      </w:r>
    </w:p>
  </w:footnote>
  <w:footnote w:id="18">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225 final ze dne 17. dubna 2018 a COM(2018) 226 final ze dne 17. dubna 2018.</w:t>
      </w:r>
    </w:p>
  </w:footnote>
  <w:footnote w:id="19">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213 final ze dne 17. dubna 2018.</w:t>
      </w:r>
    </w:p>
  </w:footnote>
  <w:footnote w:id="20">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272 final ze dne 4. května 2016.</w:t>
      </w:r>
    </w:p>
  </w:footnote>
  <w:footnote w:id="21">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COM(2017) 489 final ze dne 13. září 2017.</w:t>
      </w:r>
    </w:p>
  </w:footnote>
  <w:footnote w:id="2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209 final ze dne 17. dubna 2018.</w:t>
      </w:r>
    </w:p>
  </w:footnote>
  <w:footnote w:id="2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212 final ze dne 17. dubna 2018.</w:t>
      </w:r>
    </w:p>
  </w:footnote>
  <w:footnote w:id="24">
    <w:p>
      <w:pPr>
        <w:tabs>
          <w:tab w:val="left" w:pos="567"/>
        </w:tabs>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sz w:val="20"/>
        </w:rPr>
        <w:t>COM(2018) 302 final ze dne 16. května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rson w15:author="BESSOT Nicolas (HOME)">
    <w15:presenceInfo w15:providerId="None" w15:userId="BESSOT Nicolas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ANNEX_NBR_FIRST" w:val="1"/>
    <w:docVar w:name="LW_ANNEX_NBR_LAST" w:val="1"/>
    <w:docVar w:name="LW_ANNEX_UNIQUE" w:val="1"/>
    <w:docVar w:name="LW_CORRIGENDUM" w:val="&lt;UNUSED&gt;"/>
    <w:docVar w:name="LW_COVERPAGE_EXISTS" w:val="True"/>
    <w:docVar w:name="LW_COVERPAGE_GUID" w:val="779F8C24-6601-4BFC-AB76-25E843AC5C61"/>
    <w:docVar w:name="LW_COVERPAGE_TYPE" w:val="1"/>
    <w:docVar w:name="LW_CROSSREFERENCE" w:val="&lt;UNUSED&gt;"/>
    <w:docVar w:name="LW_DocType" w:val="NORMAL"/>
    <w:docVar w:name="LW_EMISSION" w:val="11.12.2018"/>
    <w:docVar w:name="LW_EMISSION_ISODATE" w:val="2018-12-11"/>
    <w:docVar w:name="LW_EMISSION_LOCATION" w:val="STR"/>
    <w:docVar w:name="LW_EMISSION_PREFIX" w:val="Ve Štrasburku dne "/>
    <w:docVar w:name="LW_EMISSION_SUFFIX" w:val=" "/>
    <w:docVar w:name="LW_ID_DOCTYPE_NONLW" w:val="CP-039"/>
    <w:docVar w:name="LW_LANGUE" w:val="CS"/>
    <w:docVar w:name="LW_LEVEL_OF_SENSITIVITY" w:val="Standard treatment"/>
    <w:docVar w:name="LW_NOM.INST" w:val="EVROPSKÁ KOMISE"/>
    <w:docVar w:name="LW_NOM.INST_JOINTDOC" w:val="&lt;EMPTY&gt;"/>
    <w:docVar w:name="LW_OBJETACTEPRINCIPAL.CP" w:val="Sedmnáctá zpráva o pokroku na cest\u283? k ú\u269?inné a skute\u269?né bezpe\u269?nostní unii_x000b__x000b_Seznam legislativních iniciativ _x000b__x000b_"/>
    <w:docVar w:name="LW_PART_NBR" w:val="1"/>
    <w:docVar w:name="LW_PART_NBR_TOTAL" w:val="1"/>
    <w:docVar w:name="LW_REF.INST.NEW" w:val="COM"/>
    <w:docVar w:name="LW_REF.INST.NEW_ADOPTED" w:val="final"/>
    <w:docVar w:name="LW_REF.INST.NEW_TEXT" w:val="(2018) 8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u344?ÍLOHA_x000b_"/>
    <w:docVar w:name="LW_TYPEACTEPRINCIPAL.CP" w:val="SD\u282?LENÍ KOMISE EVROPSKÉMU PARLAMENTU, EVROPSKÉ RAD\u282? A RAD\u282?"/>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cs-CZ" w:bidi="cs-CZ"/>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cs-CZ" w:bidi="cs-CZ"/>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sites/beta-political/files/joint-declaration-eu-legislative-priorities-2018-19_en.pdf" TargetMode="External"/><Relationship Id="rId2" Type="http://schemas.openxmlformats.org/officeDocument/2006/relationships/hyperlink" Target="https://ec.europa.eu/commission/sites/beta-political/files/soteu2018-letter-of-intent_cs.pdf" TargetMode="External"/><Relationship Id="rId1" Type="http://schemas.openxmlformats.org/officeDocument/2006/relationships/hyperlink" Target="https://ec.europa.eu/commission/sites/beta-political/files/soteu2018-speech_c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96F3E1B-04C5-49D0-8B93-08860534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522</Words>
  <Characters>3299</Characters>
  <Application>Microsoft Office Word</Application>
  <DocSecurity>0</DocSecurity>
  <Lines>253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DIGIT/C6</cp:lastModifiedBy>
  <cp:revision>13</cp:revision>
  <cp:lastPrinted>2018-10-03T13:10:00Z</cp:lastPrinted>
  <dcterms:created xsi:type="dcterms:W3CDTF">2018-12-11T07:59:00Z</dcterms:created>
  <dcterms:modified xsi:type="dcterms:W3CDTF">2019-01-11T16:06:00Z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