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DB42D22A-49A1-420B-A4DE-BEBA61E5D3C8" style="width:450.35pt;height:347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  <w:sz w:val="24"/>
        </w:rPr>
      </w:pPr>
      <w:bookmarkStart w:id="1" w:name="_CopyToNewDocument_"/>
      <w:bookmarkStart w:id="2" w:name="_GoBack"/>
      <w:bookmarkEnd w:id="1"/>
      <w:bookmarkEnd w:id="2"/>
      <w:r>
        <w:rPr>
          <w:noProof/>
          <w:sz w:val="24"/>
        </w:rPr>
        <w:lastRenderedPageBreak/>
        <w:t>RAPPORT TAL-KUMMISSJONI</w:t>
      </w:r>
    </w:p>
    <w:p>
      <w:pPr>
        <w:pStyle w:val="Titreobjet"/>
        <w:rPr>
          <w:noProof/>
        </w:rPr>
      </w:pPr>
      <w:r>
        <w:rPr>
          <w:noProof/>
          <w:sz w:val="24"/>
        </w:rPr>
        <w:t>L-Italja</w:t>
      </w:r>
      <w:r>
        <w:rPr>
          <w:noProof/>
        </w:rPr>
        <w:br/>
      </w:r>
      <w:r>
        <w:rPr>
          <w:noProof/>
        </w:rPr>
        <w:br/>
      </w:r>
      <w:r>
        <w:rPr>
          <w:noProof/>
          <w:sz w:val="24"/>
          <w:szCs w:val="24"/>
        </w:rPr>
        <w:t>Rapport imħejji skont l-Artikolu 126(3) tat-Trattat dwar il-Funzjonament tal-Unjoni Ewropea</w:t>
      </w:r>
      <w:r>
        <w:rPr>
          <w:noProof/>
          <w:sz w:val="24"/>
          <w:szCs w:val="24"/>
        </w:rPr>
        <w:br/>
      </w:r>
    </w:p>
    <w:p>
      <w:pPr>
        <w:pStyle w:val="ManualHeading1"/>
        <w:rPr>
          <w:noProof/>
          <w:szCs w:val="24"/>
        </w:rPr>
      </w:pPr>
      <w:r>
        <w:t>1.</w:t>
      </w:r>
      <w:r>
        <w:tab/>
      </w:r>
      <w:r>
        <w:rPr>
          <w:noProof/>
        </w:rPr>
        <w:t>Introduzzjoni</w:t>
      </w:r>
    </w:p>
    <w:p>
      <w:pPr>
        <w:autoSpaceDE w:val="0"/>
        <w:autoSpaceDN w:val="0"/>
        <w:spacing w:before="120"/>
        <w:rPr>
          <w:rFonts w:eastAsia="Calibri" w:hAnsi="Calibri"/>
          <w:noProof/>
        </w:rPr>
      </w:pPr>
      <w:r>
        <w:rPr>
          <w:noProof/>
        </w:rPr>
        <w:t>L-Artikolu 126 tat-Trattat dwar il-Funzjonament tal-Unjoni Ewropea (TFUE) jistabbilixxi l-proċedura ta' defiċit eċċessiv (PDE). Din il-proċedura hija speċifikata aktar fir-Regolament tal-Kunsill (KE) Nru 1467/97 dwar li titħaffef u li tiġi ċċarata l-implimentazzjoni tal-proċedura ta' defiċit eċċessiv</w:t>
      </w:r>
      <w:r>
        <w:rPr>
          <w:rStyle w:val="FootnoteReference"/>
          <w:rFonts w:hAnsi="Calibri"/>
          <w:noProof/>
          <w:sz w:val="24"/>
        </w:rPr>
        <w:footnoteReference w:id="1"/>
      </w:r>
      <w:r>
        <w:rPr>
          <w:noProof/>
        </w:rPr>
        <w:t>, li hija parti mill-Patt ta’ Stabbiltà u Tkabbir (PST). Dispożizzjonijiet speċifiċi għall-Istati Membri taż-żona tal-euro fil-PDE huma stabbiliti fir-Regolament (UE) Nru 473/2013</w:t>
      </w:r>
      <w:r>
        <w:rPr>
          <w:rStyle w:val="FootnoteReference"/>
          <w:rFonts w:hAnsi="Calibri"/>
          <w:noProof/>
          <w:sz w:val="24"/>
        </w:rPr>
        <w:footnoteReference w:id="2"/>
      </w:r>
      <w:r>
        <w:rPr>
          <w:noProof/>
        </w:rPr>
        <w:t>.</w:t>
      </w:r>
    </w:p>
    <w:p>
      <w:pPr>
        <w:autoSpaceDE w:val="0"/>
        <w:autoSpaceDN w:val="0"/>
        <w:spacing w:before="120"/>
        <w:rPr>
          <w:rFonts w:eastAsia="Calibri" w:hAnsi="Calibri"/>
          <w:noProof/>
        </w:rPr>
      </w:pPr>
      <w:r>
        <w:rPr>
          <w:noProof/>
        </w:rPr>
        <w:t>Skont l-Artikolu 126(2) TFUE, il-Kummissjoni għandha tissorvelja l-konformità mad-dixxiplina baġitarja fuq il-bażi ta' żewġ kriterji, li huma: (a) jekk il-proporzjon tad-defiċit tal-gvern ippjanat jew attwali għall-prodott domestiku gross (PDG) ikunx jeċċedi l-punt ta' riferiment ta’ 3 %; u (b) jekk il-proporzjon tad-dejn tal-gvern fir-rigward tal-PDG jaqbiżx il-punt ta' riferiment ta’ 60 %, sakemm il-proporzjon ma jkunx qed jonqos b’mod suffiċjenti u jersaq lejn il-punt ta' riferiment b’pass sodisfaċenti).</w:t>
      </w:r>
    </w:p>
    <w:p>
      <w:pPr>
        <w:autoSpaceDE w:val="0"/>
        <w:autoSpaceDN w:val="0"/>
        <w:spacing w:before="120"/>
        <w:rPr>
          <w:rFonts w:eastAsia="Calibri" w:hAnsi="Calibri"/>
          <w:noProof/>
        </w:rPr>
      </w:pPr>
      <w:r>
        <w:rPr>
          <w:noProof/>
        </w:rPr>
        <w:t>L-Artikolu 126(3) TFUE jistipula li, jekk Stat Membru ma jissodisfax ir-rekwiżiti ta' wieħed mill-kriterji ta' hawn fuq jew tat-tnejn li huma, il-Kummissjoni jkollha tħejji rapport. Dan ir-rapport irid ukoll “</w:t>
      </w:r>
      <w:r>
        <w:rPr>
          <w:rFonts w:hAnsi="Calibri"/>
          <w:i/>
          <w:noProof/>
        </w:rPr>
        <w:t>iqis jekk id-defi</w:t>
      </w:r>
      <w:r>
        <w:rPr>
          <w:rFonts w:hAnsi="Calibri"/>
          <w:i/>
          <w:noProof/>
        </w:rPr>
        <w:t>ċ</w:t>
      </w:r>
      <w:r>
        <w:rPr>
          <w:rFonts w:hAnsi="Calibri"/>
          <w:i/>
          <w:noProof/>
        </w:rPr>
        <w:t>it tal-gvern ikunx je</w:t>
      </w:r>
      <w:r>
        <w:rPr>
          <w:rFonts w:hAnsi="Calibri"/>
          <w:i/>
          <w:noProof/>
        </w:rPr>
        <w:t>ċċ</w:t>
      </w:r>
      <w:r>
        <w:rPr>
          <w:rFonts w:hAnsi="Calibri"/>
          <w:i/>
          <w:noProof/>
        </w:rPr>
        <w:t>edi n-nefqa tal-gvern f'investiment u jqis il-fatturi kollha relevanti, inklu</w:t>
      </w:r>
      <w:r>
        <w:rPr>
          <w:rFonts w:hAnsi="Calibri"/>
          <w:i/>
          <w:noProof/>
        </w:rPr>
        <w:t>ż</w:t>
      </w:r>
      <w:r>
        <w:rPr>
          <w:rFonts w:hAnsi="Calibri"/>
          <w:i/>
          <w:noProof/>
        </w:rPr>
        <w:t>a l-po</w:t>
      </w:r>
      <w:r>
        <w:rPr>
          <w:rFonts w:hAnsi="Calibri"/>
          <w:i/>
          <w:noProof/>
        </w:rPr>
        <w:t>ż</w:t>
      </w:r>
      <w:r>
        <w:rPr>
          <w:rFonts w:hAnsi="Calibri"/>
          <w:i/>
          <w:noProof/>
        </w:rPr>
        <w:t>izzjoni ekonomika u tal-estimi g</w:t>
      </w:r>
      <w:r>
        <w:rPr>
          <w:rFonts w:hAnsi="Calibri"/>
          <w:i/>
          <w:noProof/>
        </w:rPr>
        <w:t>ħ</w:t>
      </w:r>
      <w:r>
        <w:rPr>
          <w:rFonts w:hAnsi="Calibri"/>
          <w:i/>
          <w:noProof/>
        </w:rPr>
        <w:t>all-futur medju tal-Istat Membru</w:t>
      </w:r>
      <w:r>
        <w:rPr>
          <w:noProof/>
        </w:rPr>
        <w:t xml:space="preserve">”. </w:t>
      </w:r>
    </w:p>
    <w:p>
      <w:pPr>
        <w:autoSpaceDE w:val="0"/>
        <w:autoSpaceDN w:val="0"/>
        <w:spacing w:before="120"/>
        <w:rPr>
          <w:rFonts w:eastAsia="Calibri" w:hAnsi="Calibri"/>
          <w:noProof/>
        </w:rPr>
      </w:pPr>
      <w:r>
        <w:rPr>
          <w:noProof/>
        </w:rPr>
        <w:t>Dan ir-rapport, li jirrappreżenta l-ewwel pass fil-PDE, janalizza l-konformità tal-Italja mal-kriterju tad-dejn tat-Trattat fl-2017, fir-rigward tal-kuntest ekonomiku u ta’ fatturi rilevanti oħra. Fid-29 ta’ Ottubru 2018, il-Kummissjoni indirizzat ittra lill-awtoritajiet Taljani u ħabbret l-intenzjoni tagħha li tivvaluta mil-ġdid il-konformità tal-Italja mal-kriterju tad-dejn fil-ħarifa tal-2018, filwaqt li tqis it-tibdil materjali fil-fatturi rilevanti rrappreżentat mill-Abbozz tal-Pjan Baġitarju tal-2019.</w:t>
      </w:r>
    </w:p>
    <w:p>
      <w:pPr>
        <w:autoSpaceDE w:val="0"/>
        <w:autoSpaceDN w:val="0"/>
        <w:spacing w:before="120" w:after="120"/>
        <w:rPr>
          <w:noProof/>
        </w:rPr>
      </w:pPr>
      <w:r>
        <w:rPr>
          <w:noProof/>
        </w:rPr>
        <w:t>Fit-23 ta’ Mejju 2018, il-Kummissjoni ħarġet rapport skont l-Artikolu 126(3) TFUE</w:t>
      </w:r>
      <w:r>
        <w:rPr>
          <w:rStyle w:val="FootnoteReference"/>
          <w:noProof/>
          <w:sz w:val="24"/>
        </w:rPr>
        <w:footnoteReference w:id="3"/>
      </w:r>
      <w:r>
        <w:rPr>
          <w:noProof/>
        </w:rPr>
        <w:t xml:space="preserve">, minħabba li fl-2017 l-Italja ma għamlitx biżżejjed progress biex tikkonforma mal-kriterju tad-dejn. Ir-rapport ikkonkluda li l-kriterju jenħtieġ jiġi kkunsidrat bħala ssodisfat f’dak iż-żmien, wara li kkunsidra b’mod partikulari il-konformità </w:t>
      </w:r>
      <w:r>
        <w:rPr>
          <w:i/>
          <w:noProof/>
        </w:rPr>
        <w:t>ex-post</w:t>
      </w:r>
      <w:r>
        <w:rPr>
          <w:noProof/>
        </w:rPr>
        <w:t xml:space="preserve"> tal-Italja mal-parti preventiva fl-2017. Ir-rapport innota wkoll riskju ta’ devjazzjoni sinifikanti mill-perkors ta’ aġġustament lejn l-objettiv baġitarju ta’ terminu medju rrakkomandat mill-Kunsill għall-2018, kemm abbażi tal-pjani tal-gvern kif ukoll tat-tbassir tar-rebbiegħa 2018 tal-Kummissjoni. </w:t>
      </w:r>
    </w:p>
    <w:p>
      <w:pPr>
        <w:autoSpaceDE w:val="0"/>
        <w:autoSpaceDN w:val="0"/>
        <w:spacing w:before="120" w:after="120"/>
        <w:rPr>
          <w:noProof/>
        </w:rPr>
      </w:pPr>
      <w:r>
        <w:rPr>
          <w:noProof/>
        </w:rPr>
        <w:t>Madankollu, il-pjanijiet fiskali tal-Italja għall-2019 jirrappreżentaw bidla fatturi materjali rilevanti analizzati mill-Kummissjoni f’Mejju li għadda. B’mod partikolari, fis-16 ta’ Ottubru l-Italja ressqet l-abbozz ta’ pjan baġitarju għall-2019</w:t>
      </w:r>
      <w:r>
        <w:rPr>
          <w:rStyle w:val="FootnoteReference"/>
          <w:rFonts w:hAnsi="Calibri"/>
          <w:noProof/>
          <w:sz w:val="24"/>
        </w:rPr>
        <w:footnoteReference w:id="4"/>
      </w:r>
      <w:r>
        <w:rPr>
          <w:noProof/>
        </w:rPr>
        <w:t xml:space="preserve">, li jwassal għal deterjorament tal-bilanċ strutturali (kkalkulat mill-ġdid) </w:t>
      </w:r>
      <w:r>
        <w:rPr>
          <w:rStyle w:val="FootnoteReference"/>
          <w:noProof/>
        </w:rPr>
        <w:footnoteReference w:id="5"/>
      </w:r>
      <w:r>
        <w:rPr>
          <w:noProof/>
        </w:rPr>
        <w:t>ta’ 0.9 % tal-PDG fl-2019. Fit-23 ta’ Ottubru 2018, il-Kummissjoni adottat Opinjoni</w:t>
      </w:r>
      <w:r>
        <w:rPr>
          <w:rStyle w:val="FootnoteReference"/>
          <w:noProof/>
          <w:sz w:val="24"/>
        </w:rPr>
        <w:footnoteReference w:id="6"/>
      </w:r>
      <w:r>
        <w:rPr>
          <w:noProof/>
        </w:rPr>
        <w:t xml:space="preserve"> dwar l-abbozz ta’ pjan baġitarju tal-2019, li fiha identifikat nuqqas partikolarment serju ta’ konformità mar-rakkomandazzjoni fiskali indirizzata lill-Italja mill-Kunsill fit-13 ta’ Lulju 2018 u talbet lill-Italja biex tissottometti abbozz ta’ pjan baġitarju rivedut. Fit-13 ta’ Novembru 2018, l-Italja ppreżentat abbozz tal-pjan baġitarju rivedut tal-2019. It-tibdil fl-abbozz tal-pjan baġitarju rivedut tal-2019 kienu limitati ħafna, u kienu jikkonsistu l-aktar f’mira ogħla ta’ privatizzazzjoni għall-2019 (1 % tal-PDG minflok 0.3 %). Fil-21 ta’ Novembru 2018, il-Kummissjoni adottat l-Opinjoni tagħha dwar l-abbozz tal-pjan baġitarju rivedut tal-Italja għall-2019, li kienet tikkonferma nuqqas partikolarment serju ta’ konformità mar-rakkomandazzjoni fiskali għall-2019. Dan jiġġustifika valutazzjoni ġdida ta’ konformità mal-punt ta' riferiment tat-tnaqqis tad-dejn fl-2017.</w:t>
      </w:r>
    </w:p>
    <w:p>
      <w:pPr>
        <w:autoSpaceDE w:val="0"/>
        <w:autoSpaceDN w:val="0"/>
        <w:spacing w:before="120" w:after="120"/>
        <w:rPr>
          <w:noProof/>
        </w:rPr>
      </w:pPr>
      <w:r>
        <w:rPr>
          <w:noProof/>
        </w:rPr>
        <w:t>Id-</w:t>
      </w:r>
      <w:r>
        <w:rPr>
          <w:i/>
          <w:noProof/>
        </w:rPr>
        <w:t>data</w:t>
      </w:r>
      <w:r>
        <w:rPr>
          <w:noProof/>
        </w:rPr>
        <w:t xml:space="preserve"> nnotifikata mill-awtoritajiet f’Ottubru 2018</w:t>
      </w:r>
      <w:r>
        <w:rPr>
          <w:rStyle w:val="FootnoteReference"/>
          <w:noProof/>
          <w:sz w:val="24"/>
        </w:rPr>
        <w:footnoteReference w:id="7"/>
      </w:r>
      <w:r>
        <w:rPr>
          <w:noProof/>
        </w:rPr>
        <w:t>, u sussegwentement ivvalidata mill-Eurostat</w:t>
      </w:r>
      <w:r>
        <w:rPr>
          <w:rStyle w:val="FootnoteReference"/>
          <w:noProof/>
          <w:sz w:val="24"/>
        </w:rPr>
        <w:footnoteReference w:id="8"/>
      </w:r>
      <w:r>
        <w:rPr>
          <w:noProof/>
        </w:rPr>
        <w:t xml:space="preserve"> turi li id-defiċit tal-gvern ġenerali tal-Italja naqas għal 2.4 % tal-PGD fl-2017 (tnaqqis minn 2.5 % fl-2016), filwaqt li d-dejn stabbilizza ruħu għal 131.2 % tal-PGD (minn 131.4 % fl-2016), jiġifieri ‘l fuq mill-punt ta' riferiment ta’ 60 % tal-PGD. Għall-2018, l-abbozz tal-pjan baġitarju rivedut tal-Italja għall-2019 jipprojetta li l-proporzjon tad-dejn għall-PDG jonqos bi ftit għal 130.9 %.</w:t>
      </w:r>
      <w:r>
        <w:rPr>
          <w:noProof/>
          <w:color w:val="000000"/>
        </w:rPr>
        <w:t xml:space="preserve"> Fl-2019, huwa jipprojetta tnaqqis ulterjuri (ta’ 1,7 punti perċentwali) fil-proporzjon tad-dejn għall-PDG għal 129.2 %. </w:t>
      </w:r>
      <w:r>
        <w:rPr>
          <w:noProof/>
        </w:rPr>
        <w:t>Abbażi tad-</w:t>
      </w:r>
      <w:r>
        <w:rPr>
          <w:i/>
          <w:noProof/>
        </w:rPr>
        <w:t>data</w:t>
      </w:r>
      <w:r>
        <w:rPr>
          <w:noProof/>
        </w:rPr>
        <w:t xml:space="preserve"> notifikata u t-tbassir tal-ħarifa 2018 tal-Kummissjoni, l-Italja ma kinitx konformi mal-punt ta' riferiment għat-tnaqqis tad-dejn kemm fl-2016 (distakk ta’ 5,2 % tal-PDG) kif ukoll fl-2017 (distakk ta’ 6,6 % tal-PDG) (ara t-Tabella 1). </w:t>
      </w:r>
    </w:p>
    <w:p>
      <w:pPr>
        <w:autoSpaceDE w:val="0"/>
        <w:autoSpaceDN w:val="0"/>
        <w:spacing w:before="120" w:after="120"/>
        <w:rPr>
          <w:noProof/>
          <w:color w:val="000000"/>
        </w:rPr>
      </w:pPr>
      <w:r>
        <w:rPr>
          <w:noProof/>
        </w:rPr>
        <w:t xml:space="preserve">B’mod ġenerali, in-nuqqas tal-Italja li tikkonforma mal-punt ta' riferiment tat-tnaqqis tad-dejn fl-2017 jipprovdi evidenza </w:t>
      </w:r>
      <w:r>
        <w:rPr>
          <w:i/>
          <w:noProof/>
        </w:rPr>
        <w:t>prima facie</w:t>
      </w:r>
      <w:r>
        <w:rPr>
          <w:noProof/>
        </w:rPr>
        <w:t xml:space="preserve"> tal-eżistenza ta’ defiċit eċċessiv fis-sens tal-PST qabel, madankollu, ma jitqiesu l-fatturi kollha kif stabbilit hawn taħt. Barra minn hekk, abbażi tal-pjanijiet tal-Gvern u kif ukoll tat-tbassir tal-ħarifa 2018 tal-Kummissjoni, l-Italja mhijiex mistennija li tikkonforma mal-punt ta' riferiment tad-dejn la fl-2018 (distakk ta’ 3,7 % u 6,6 % tal-PDG, rispettivament) u lanqas fl-2019 (distakk ta’ 3,6 % u 6,7 % tal-PDG rispettivament).</w:t>
      </w:r>
    </w:p>
    <w:p>
      <w:pPr>
        <w:spacing w:before="120" w:after="120"/>
        <w:rPr>
          <w:rFonts w:eastAsia="Calibri" w:hAnsi="Calibri"/>
          <w:noProof/>
        </w:rPr>
      </w:pPr>
      <w:r>
        <w:rPr>
          <w:noProof/>
        </w:rPr>
        <w:t>Il-Kummissjoni għalhekk ħejjiet dan ir-rapport biex tivvaluta b’mod komprensiv it-tbegħid mill-punt ta' riferiment tat-tnaqqis tad-dejn u teżamina jekk it-tnedija ta’ proċedura ta’ defiċit eċċessiv hijiex ġustifikata wara li jkunu ġew ikkunsidrati l-fatturi rilevanti kollha. It-Taqsima 2 tar-rapport teżamina l-kriterju tad-defiċit. It-Taqsima 3 teżamina l-kriterju tad-dejn. It-Taqsima 4 tittratta l-investiment pubbliku u fatturi rilevanti oħra, inkluża l-valutazzjoni ta’ konformità mal-aġġustament meħtieġ għall-objettiv baġitarju ta’ terminu medju (OTM). Ir-rapport iqis it-tbassir tar-rebbiegħa 2013 tal-Kummissjoni, ippubblikat fit-8 ta’ Novembru 2018. It-tbassir tal-Kummissjoni huwa bbażat fuq l-abbozz ta’ pjan baġitarju tal-2019 u mhux fuq dak rivedut, iżda t-tibdil bejn iż-żewġ dokumenti huwa marġinali.</w:t>
      </w:r>
    </w:p>
    <w:p>
      <w:pPr>
        <w:pStyle w:val="Caption"/>
        <w:keepNext/>
        <w:spacing w:before="120"/>
        <w:jc w:val="center"/>
        <w:rPr>
          <w:b w:val="0"/>
          <w:noProof/>
          <w:sz w:val="22"/>
          <w:szCs w:val="22"/>
          <w:vertAlign w:val="superscript"/>
        </w:rPr>
      </w:pPr>
      <w:bookmarkStart w:id="3" w:name="_Ref450389701"/>
      <w:r>
        <w:rPr>
          <w:noProof/>
          <w:sz w:val="24"/>
        </w:rPr>
        <w:t xml:space="preserve">Tabella </w:t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SEQ Table \* ARABIC</w:instrText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fldChar w:fldCharType="end"/>
      </w:r>
      <w:bookmarkEnd w:id="3"/>
      <w:r>
        <w:rPr>
          <w:noProof/>
          <w:sz w:val="24"/>
        </w:rPr>
        <w:t>: Id-defiċit u d-dejn tal-amministrazzjoni pubblika (% tal-PDG)</w:t>
      </w:r>
      <w:r>
        <w:rPr>
          <w:b w:val="0"/>
          <w:noProof/>
          <w:sz w:val="22"/>
          <w:vertAlign w:val="superscript"/>
        </w:rPr>
        <w:t xml:space="preserve"> a</w:t>
      </w:r>
    </w:p>
    <w:p>
      <w:pPr>
        <w:spacing w:before="120" w:after="120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31510" cy="2886491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ManualHeading1"/>
        <w:rPr>
          <w:noProof/>
          <w:szCs w:val="24"/>
        </w:rPr>
      </w:pPr>
      <w:r>
        <w:t>2.</w:t>
      </w:r>
      <w:r>
        <w:tab/>
      </w:r>
      <w:r>
        <w:rPr>
          <w:noProof/>
        </w:rPr>
        <w:t>Kriterju tad-defiċit</w:t>
      </w:r>
    </w:p>
    <w:p>
      <w:pPr>
        <w:autoSpaceDE w:val="0"/>
        <w:autoSpaceDN w:val="0"/>
        <w:spacing w:before="120" w:after="120"/>
        <w:rPr>
          <w:i/>
          <w:noProof/>
        </w:rPr>
      </w:pPr>
      <w:r>
        <w:rPr>
          <w:i/>
          <w:noProof/>
        </w:rPr>
        <w:t xml:space="preserve">L-Italja għamlet sforz fiskali mdaqqas bejn l-2010 u l-2013, u dan żied il-bilanċ pożittiv primarju għal aktar minn 2 % tal-PDG u b’hekk ħarġet mill-proċedura ta’ defiċit eċċessiv fl-2013 billi żammet id-defiċit nominali tagħha f’livell mhux ogħla minn 3 % tal-PDG fl-2012 (tnaqqis minn aktar minn 5 % fl-2009). Madankollu, il-qagħda fiskali ttaffiet f’dawn l-aħħar snin. Fl-2017, il-bilanċ primarju naqas għal 1,4 % u d-defiċit nominali stabbilxxa ruħu għal madwar 2,4 % tal-PDG. </w:t>
      </w:r>
      <w:r>
        <w:rPr>
          <w:i/>
          <w:noProof/>
          <w:color w:val="000000"/>
        </w:rPr>
        <w:t>Madankollu, it-tnejn li huma mistennija jitjiebu fl-2018.</w:t>
      </w:r>
      <w:r>
        <w:rPr>
          <w:i/>
          <w:noProof/>
        </w:rPr>
        <w:t xml:space="preserve"> Fl-2019 u l-2020, kemm il-bilanċ nominali kif ukoll dak primarju huma mistennija jiddeterjoraw sostanzjalment, l-aktar minħabba l-miżuri inklużi fl-abbozz tal-pjan baġitarju tal-2019 u kkonfermati fl-abbozz tal-pjan baġitarju rivedut tal-2019. </w:t>
      </w:r>
    </w:p>
    <w:p>
      <w:pPr>
        <w:autoSpaceDE w:val="0"/>
        <w:autoSpaceDN w:val="0"/>
        <w:spacing w:before="120" w:after="120"/>
        <w:rPr>
          <w:noProof/>
        </w:rPr>
      </w:pPr>
      <w:r>
        <w:rPr>
          <w:noProof/>
        </w:rPr>
        <w:t>Id-defiċit tal-gvern ġenerali tal-Italja kien rapportat li kien 2,4 % tal-PDG fl-2017. Skont l-abbozz tal-pjan baġitarju rivedut kif ukoll skont it-tbassir tal-ħarifa 2018 tal-Kummissjoni, huwa previst li se tirrispetta l-punt ta' riferiment tat-Trattat ta’ 3 % tal-PDG matul il-perjodu 2018–2019. Madankollu, skont it-tbassir tal-Kummissjoni l-punt ta' riferiment se jinqabeż fl-2020, bis-suppożizzjoni tal-ebda tibdil fil-politika. L-abbozz tal-pjan baġitarju rivedut tal-2019 jipprojetta defiċit tal-gvern ġenerali ta’ 1,8 % tal-PDG fl-2018 u 2,4 % fl-2019. In-</w:t>
      </w:r>
      <w:r>
        <w:rPr>
          <w:i/>
          <w:noProof/>
        </w:rPr>
        <w:t>Nota di Aggiornamento al DEF</w:t>
      </w:r>
      <w:r>
        <w:rPr>
          <w:noProof/>
        </w:rPr>
        <w:t xml:space="preserve"> tal-Italja, li taġġorna l-miri baġitarji tal-Programm ta’ Stabbiltà tal-Italja għall-2018, jipprojetta li d-defiċit nominali se jonqos għal 2,1 % tal-PDG fl-2020. Iż-żieda fid-defiċit ġenerali tal-gvern ipprojettata għall-2019 tirriżulta l-aktar mill-miżuri baġitarji ppjanati previsti fl-abbozz tal-pjan baġitarju tal-2019, b’impatt nett ta’ żieda fid-defiċit ta’ madwar 1,2 % tal-PGD fil-previżjonijiet tal-gvern. It-tnaqqis fid-defiċit tal-gvern ġenerali pprojettat fl-2020 huwa dovut l-aktar għall-impatt (madwar 0,7 % tal-PDG) ta’ rati ogħla tal-VAT illeġiżlati għall-2020 bħala klawsola ta’ salvagwardja. It-tbassir tal-ħarifa 2018 tal-Kummissjoni jipprojetta li d-defiċit tal-gvern ġenerali tal-Italja se jkun ta’ 1,9 % tal-PDG fl-2018 u li jiżdied għal 2,9 % fl-2019. Id-defiċit imbassar mill-Kummissjoni għall-2018 huwa kemxejn ogħla minn dak previst fl-abbozz tal-pjan baġitarju rivedut tal-2019, u din id-differenza hija prinċipalment spjegata minn suppożizzjonijiet aktar prudenti dwar id-daqs tal-infiq pubbliku, inkluż l-infiq fuq l-imgħax. Id-defiċit imbassar mill-Kummissjoni għall-2019 huwa wkoll ogħla minn dak ipprojettat mill-abbozz tal-pjan baġitarju rivedut tal-2019, u din id-differenza hija prinċipalment minħabba tnaqqis fit-tkabbir tal-PDG u nefqa fuq l-imgħax ogħla minn dik fil-projezzjonijiet tal-gvern. It-tbassir tal-ħarifa 2018 tal-Kummissjoni jipprojetta li d-defiċit tal-gvern ġenerali tal-Italja se jilħaq it-3,1 % tal-PDG fl-2020, bis-suppożizzjoni ta’ ebda bidla fil-politika. Id-defiċit ogħla mbassar mill-Kummissjoni għall-2020 meta mqabbel mal-projezzjonijiet tal-gvern huwa prinċipalment spjegat mill-fatt li l-Kummissjoni ma tinkludix rati ogħla ta’ VAT leġiżlati għall-2020 bħala klawżola ta’ salvagwardja, filwaqt li l-elementi l-oħra huma tkabbir nominali tal-PGD aktar baxx u nfiq ogħla fuq l-imgħax.</w:t>
      </w:r>
      <w:r>
        <w:rPr>
          <w:i/>
          <w:noProof/>
        </w:rPr>
        <w:t xml:space="preserve"> </w:t>
      </w:r>
    </w:p>
    <w:p>
      <w:pPr>
        <w:autoSpaceDE w:val="0"/>
        <w:autoSpaceDN w:val="0"/>
        <w:spacing w:before="120" w:after="120"/>
        <w:rPr>
          <w:noProof/>
        </w:rPr>
      </w:pPr>
      <w:r>
        <w:rPr>
          <w:noProof/>
        </w:rPr>
        <w:t>Għalhekk, l-Italja bħalissa hija konformi mal-kriterju tad-defiċit kif iddefinit fit-Trattat u fir-Regolament (KE) Nru 1467/97, għalkemm hemm riskju li l-kriterju tad-defiċit mhux se ssodisfat fl-2020 skont it-tbassir tal-ħarifa 2018 tal-Kummissjoni, bis-suppożizzjoni tal-ebda tibdil fil-politika.</w:t>
      </w:r>
    </w:p>
    <w:p>
      <w:pPr>
        <w:pStyle w:val="ManualHeading1"/>
        <w:rPr>
          <w:noProof/>
          <w:szCs w:val="24"/>
        </w:rPr>
      </w:pPr>
      <w:r>
        <w:t>3.</w:t>
      </w:r>
      <w:r>
        <w:tab/>
      </w:r>
      <w:r>
        <w:rPr>
          <w:noProof/>
        </w:rPr>
        <w:t>Kriterju tad-dejn</w:t>
      </w:r>
    </w:p>
    <w:p>
      <w:pPr>
        <w:spacing w:before="120" w:after="120"/>
        <w:rPr>
          <w:i/>
          <w:noProof/>
        </w:rPr>
      </w:pPr>
      <w:r>
        <w:rPr>
          <w:i/>
          <w:noProof/>
        </w:rPr>
        <w:t>Wara li kiber b’ħames punti perċentwali fis-sena bħala medja matul ir-reċessjoni doppja ta’ 2008-2013, il-proporzjon tad-dejn tal-gvern Taljan għall-PDG kompla jiżdied fl-2014-2015 b’ritmu aktar kajman ta’ punt perċentwali fis-sena bħala medja, qabel ma laħaq massimu ta’ 131,4 % fl-2016 u naqas bi ftit għal 131,2 % fl-2017. Abbażi tal-abbozz tal-pjan baġitarju rivedut tal-2019, il-proporzjon tad-dejn għall-PDG huwa mistenni jonqos progressivament għal 130,9 % fl-2018, 129,2 % fl-2019 u 127,3 % fl-2020. It-tbassir tal-Kummissjoni jipprojetta li l-proporzjon tad-dejn jibqa’ stabbli f’madwar 131 % matul l-2018-2020. Sal-2018, kundizzjonijiet ta’ finanzjament favorevoli – għalkemm sejrin għall-agħar – ikkontribwixxew biex jirfdu l-irkupru ekonomiku u jnaqqsu l-effett valanga. Minn hemm ’il quddiem, iż-żieda fl-ispejjeż finanzjarji, it-tnaqqis fil-bilanċ pożittiv primarju u d-dħul inqas minn dak immirat mill-privatizzazzjoni mistennija li jtellfu t-tnaqqis tad-dejn. Filwaqt li r-riskji tar-rifinanzjament tad-dejn huma limitati fuq terminu qasir, id-dejn pubbliku għoli jibqa’ sors importanti ta’ vulnerabbiltà għall-ekonomija Taljana.</w:t>
      </w:r>
    </w:p>
    <w:p>
      <w:pPr>
        <w:spacing w:before="120" w:after="120"/>
        <w:rPr>
          <w:rFonts w:eastAsia="Calibri" w:hAnsi="Calibri"/>
          <w:noProof/>
        </w:rPr>
      </w:pPr>
      <w:r>
        <w:rPr>
          <w:noProof/>
        </w:rPr>
        <w:t>Wara l-abrogazzjoni tal-PDE f’Ġunju 2013, l-Italja kienet soġġetta għal perjodu ta’ tranżizzjoni ta’ tliet snin biex tikkonforma mal-punt ta' riferiment għat-tnaqqis tad-dejn, li beda fl-2013 u ntemm fl-2015. Wara t-tmiem tal-perjodu ta’ tranżizzjoni, il-parametru referenzjarju tat-tnaqqis tad-dejn sar applikabbli fl-2016. Abbażi tad-dejta notifikata u tat-tbassir tal-Kummissjoni, id-distakk għall-punt ta' riferiment tad-dejn kien jammonta għal 5,2 % tal-PDG fl-2016 u għal 6,6 % fl-2017. Barra minn hekk, abbażi tal-abbozz tal-pjan baġitarju rivedut tal-2019, mhuwiex previst li l-Italja se tikkonforma mal-punt ta' riferiment tad-dejn la fl-2018 (differenza għall-punt ta' riferiment tad-dejn ta’ 3,7 % tal-PDG) u lanqas fl-2019 (differenza għall-punt ta' riferiment tad-dejn ta’ 3,6 % tal-PDG). Din il-konklużjoni hija kkonfermata abbażi tat-tbassir tal-Kummissjoni (differenza għall-punt ta' riferiment tad-dejn ta’ 6,6 % u 6,7 % tal-PDG fl-2018 u fl-2019 rispettivament).</w:t>
      </w:r>
    </w:p>
    <w:p>
      <w:pPr>
        <w:spacing w:before="120" w:after="120"/>
        <w:rPr>
          <w:rFonts w:eastAsia="Calibri" w:hAnsi="Calibri"/>
          <w:noProof/>
        </w:rPr>
      </w:pPr>
      <w:r>
        <w:rPr>
          <w:noProof/>
        </w:rPr>
        <w:t>B’mod aktar speċifiku, il-proporzjon tad-dejn mal-PDG laħaq 131,2 % fl-2017, jiġifieri 0,2 punti perċentwali aktar baxx mill-2016. It-tnaqqis kien limitat sa ċertu punt minħabba l-effett “valanga” ta’ żieda fid-dejn li għadu għaddej, bħala l-ispiża impliċita reali tad-dejn,</w:t>
      </w:r>
      <w:r>
        <w:rPr>
          <w:rStyle w:val="FootnoteReference"/>
          <w:noProof/>
          <w:sz w:val="24"/>
        </w:rPr>
        <w:footnoteReference w:id="9"/>
      </w:r>
      <w:r>
        <w:rPr>
          <w:noProof/>
        </w:rPr>
        <w:t xml:space="preserve"> filwaqt li t-tnaqqis gradwali (għal 2,4 %, minn 2,7 % fl-2013), baqa’ ogħla mit-tkabbir reali tal-PDG (1,6 %). Fil-fatt, ir-rati ta’ imgħax spot reali fuq titoli ġodda tal-gvern, li fl-2015-2017 kienu madwar żero, ġew riflessi biss gradwalment fil-kost għall-ħlas tad-dejn pendenti, minħabba t-tul ta’ żmien tal-perjodu kontra l-qlib tad-dejn Taljan u flimkien ma’ inflazzjoni baxxa (t-tkabbir tad-deflatur tal-PDG ta’ 0,6 %) – ara wkoll it-Tabella 2 u l-Graff 1. Id-differenzjal bejn ir-rata pożittiva tal-imgħax u r-rata ta’ tkabbir (0,9 punti perċentwali, meta mqabbla ma’ 0,8 fl-2016) kien jimplika impatt ta’ żieda fid-dejn li kien għadu kbir minħabba l-“effett valanga” (1,1 % tal-PDG, meta mqabbel ma’ 1,0 % fl-2016 – ara t-Tabella 2). Min-naħa l-oħra, bilanċ pożittiv primarju ġeneralment stabbli ta’ 1,4 % tal-PDG għen biex jitrażżnu d-dinamiċi tad-dejn fl-2017. L-aġġustament bejn il-fondi u l-flussi żied kemxejn id-dejn fl-2017 (0,2 %), l-aktar minħabba l-appoġġ lis-settur bankarju</w:t>
      </w:r>
      <w:r>
        <w:rPr>
          <w:rStyle w:val="FootnoteReference"/>
          <w:noProof/>
          <w:sz w:val="24"/>
        </w:rPr>
        <w:footnoteReference w:id="10"/>
      </w:r>
      <w:r>
        <w:rPr>
          <w:noProof/>
        </w:rPr>
        <w:t>, parzjalment ikkumpensat mit-tnaqqis fir-riżerva ta’ likwidità, filwaqt li ma kien hemm l-ebda dħul mill-privatizzazzjoni</w:t>
      </w:r>
      <w:r>
        <w:rPr>
          <w:rStyle w:val="FootnoteReference"/>
          <w:noProof/>
          <w:sz w:val="24"/>
        </w:rPr>
        <w:footnoteReference w:id="11"/>
      </w:r>
      <w:r>
        <w:rPr>
          <w:noProof/>
        </w:rPr>
        <w:t>.</w:t>
      </w:r>
    </w:p>
    <w:p>
      <w:pPr>
        <w:spacing w:before="120" w:after="120"/>
        <w:rPr>
          <w:noProof/>
        </w:rPr>
      </w:pPr>
      <w:r>
        <w:rPr>
          <w:noProof/>
        </w:rPr>
        <w:t>Fl-2018, l-abbozz tal-pjan baġitarju rivedut tal2019 jipprojetta li l-proporzjon tad-dejn għall-PDG jonqos għal 130,9 %, bi tnaqqis ta’ 0,3 punti perċentwali mil-livell tal-2017. Id-dinamiki previsti huma prinċipalment ir-riżultat ta’ tnaqqis fl-effett “valanga” minkejja li għadu jżid id-dejn (0,5 % tal-PDG),</w:t>
      </w:r>
      <w:r>
        <w:rPr>
          <w:rStyle w:val="FootnoteReference"/>
          <w:noProof/>
          <w:sz w:val="24"/>
        </w:rPr>
        <w:footnoteReference w:id="12"/>
      </w:r>
      <w:r>
        <w:rPr>
          <w:noProof/>
        </w:rPr>
        <w:t xml:space="preserve"> u ftit titjib fil-bilanċ favorevoli primarju (sa 1,8 % tal-PDG) li aktar milli kkumpensa l-aġġustament ta’ żieda fid-dejn bejn il-fondi u l-flussi (1,0 % tal-PDG). Il-Kummissjoni tbassar li l-proporzjon tad-dejn jonqos għal 131,1 % tal-PDG fl-2018, kemxejn ogħla mill-abbozz tal-pjan baġitarju rivedut tal-2019. Id-differenza hija dovuta għal tnaqqis kemxejn iżgħar tas-surplus primarju previst u effett “valanga” ogħla, relatati ma’ projezzjonijiet marġinalment ogħla għall-kost impliċitu reali tad-dejn.</w:t>
      </w:r>
    </w:p>
    <w:p>
      <w:pPr>
        <w:spacing w:before="120" w:after="120"/>
        <w:rPr>
          <w:noProof/>
        </w:rPr>
      </w:pPr>
      <w:r>
        <w:rPr>
          <w:noProof/>
        </w:rPr>
        <w:t>Għall-2019, l-abbozz tal-pjan baġitarju rivedut tal-2019 jipprojetta tnaqqis kbir fil-proporzjon tad-dejn għall-PDG b’1,7 punti perċentwali għal 129,2 %. Dan tal-aħħar huwa l-aktar minħabba aġġustament fil-fluss tal-istokk li jnaqqas id-dejn (-0.1 % tal-PDG), li jista’ jiġi spjegat l-aktar permezz tad-dħul mill-privatizzazzjoni kbir ippjanat mill-gvern (1 % tal-PDG), u effett “valanga” li jnaqqas id-dejn marġinalment, spjegat minn żieda qawwija pprojettata fit-tkabbir nominali meta mqabbel mal-2018, li mistenni li jpaċi s-surplus primarju li qed jonqos (1,2 % tal-PDG). Il-Kummissjoni tbassar li l-proporzjon tad-dejn meta mqabbel mal-PDG jibqa’ ġeneralment stabbli fl-2019, fil-livell ta’ 131,0 %. Id-differenza hija relatata ma’ projezzjonijiet pjuttost aktar baxxi fit-tkabbir nominali u tbassir ogħla fin-nefqa tal-imgħax, li huwa rifless f’effett “valanga” li jżid id-dejn li għadu imdaqqas, kif ukoll f’surplus primarju aktar baxx previst (1 % tal-PDG) u dħul mill-privatizzazzjoni aktar baxx. Ir-riskji għall-projezzjonijiet tad-dejn f’kemm it-tbassir tal-Kummissjoni kif ukoll fl-abbozz tal-pjan baġitarju rivedut tal-2019 huma relatati ma’ prospettiva ta’ tkabbir agħar milli mistenni, deterjorament akbar fil-bilanċ primarju, dħul aktar baxx mill-inflazzjoni jew mill-privatizzazzjoni, u nfiq tal-imgħax ogħla milli mistenni.</w:t>
      </w:r>
    </w:p>
    <w:p>
      <w:pPr>
        <w:spacing w:before="120" w:after="120"/>
        <w:rPr>
          <w:noProof/>
        </w:rPr>
      </w:pPr>
      <w:r>
        <w:rPr>
          <w:noProof/>
        </w:rPr>
        <w:t>Il-Kummissjoni tbassar li l-proporzjon tad-dejn meta mqabbel mal-PDG jibqa’ ġeneralment stabbli anki fl-2020, peress li surplus primarju qed ikompli jiddeterjora, u nfiq dejjem akbar fuq l-imgħax huma mistennija li jpaċu t-tkabbir nominali tal-PGD.</w:t>
      </w:r>
    </w:p>
    <w:p>
      <w:pPr>
        <w:spacing w:before="120" w:after="120"/>
        <w:rPr>
          <w:noProof/>
        </w:rPr>
      </w:pPr>
      <w:r>
        <w:rPr>
          <w:noProof/>
        </w:rPr>
        <w:t>Kif muri fil-Graff 1, it-tnaqqis gradwali fl-ispejjeż impliċiti reali għall-ħlas tad-dejn (</w:t>
      </w:r>
      <w:r>
        <w:rPr>
          <w:i/>
          <w:noProof/>
        </w:rPr>
        <w:t>linja sewda miksura</w:t>
      </w:r>
      <w:r>
        <w:rPr>
          <w:noProof/>
        </w:rPr>
        <w:t>) u l-irkupru fit-tkabbir tal-PDG reali (</w:t>
      </w:r>
      <w:r>
        <w:rPr>
          <w:i/>
          <w:noProof/>
        </w:rPr>
        <w:t>linja blu kontinwa</w:t>
      </w:r>
      <w:r>
        <w:rPr>
          <w:noProof/>
        </w:rPr>
        <w:t>) kienu jimplikaw sal-2016 it-tnaqqis progressiv tad-differenzjal tagħhom (</w:t>
      </w:r>
      <w:r>
        <w:rPr>
          <w:i/>
          <w:noProof/>
        </w:rPr>
        <w:t>skurat bl-isfar</w:t>
      </w:r>
      <w:r>
        <w:rPr>
          <w:noProof/>
        </w:rPr>
        <w:t xml:space="preserve">), li huwa mistenni li jibqa’ ġeneralment stabbli matul il-perjodu 2018-2019, u li jiżdied bi ftit fl-2020 minħabba ż-żieda reali impliċita fl-ispiża tad-dejn. B’mod ġenerali, l-effett “valanga” li jżid id-dejn naqas fl-2017 għal 1,1 % tal-PDG, li jikkompara ma’ medja ta’ qabel il-kriżi ta’ 1,2 % matul l-2000-2007. Għalhekk, l-effett “valanga” joffri biss spjegazzjoni parzjali għan-nuqqas ta’ konformità tal-Italja mal-punt ta' riferiment tat-tnaqqis tad-dejn fl-2017 u fis-snin li ġejjin. </w:t>
      </w:r>
    </w:p>
    <w:p>
      <w:pPr>
        <w:spacing w:before="120" w:after="120"/>
        <w:rPr>
          <w:noProof/>
        </w:rPr>
      </w:pPr>
      <w:r>
        <w:rPr>
          <w:noProof/>
        </w:rPr>
        <w:t xml:space="preserve">B’mod ġenerali, din l-analiżi għalhekk tissuġġerixxi li l-kriterju tad-dejn </w:t>
      </w:r>
      <w:r>
        <w:rPr>
          <w:i/>
          <w:noProof/>
        </w:rPr>
        <w:t>prima facie</w:t>
      </w:r>
      <w:r>
        <w:rPr>
          <w:noProof/>
        </w:rPr>
        <w:t xml:space="preserve"> għall-finijiet tat-Trattat u tar-Regolament (KE) Nru 1467/97 mhuwiex issodisfat, la abbażi tal-abbozz tal-pjan baġitarju rivedut tal-2019 u lanqas għat-tbassir tal-Kummissjoni, qabel ma jiġu kkunsidrati l-fatturi rilevanti kollha kif stabbiliti hawn taħt.</w:t>
      </w:r>
    </w:p>
    <w:p>
      <w:pPr>
        <w:pStyle w:val="Caption"/>
        <w:keepNext/>
        <w:spacing w:before="120"/>
        <w:jc w:val="center"/>
        <w:rPr>
          <w:noProof/>
          <w:sz w:val="24"/>
          <w:szCs w:val="24"/>
          <w:vertAlign w:val="superscript"/>
        </w:rPr>
      </w:pPr>
      <w:bookmarkStart w:id="4" w:name="_Ref450395941"/>
      <w:r>
        <w:rPr>
          <w:noProof/>
          <w:sz w:val="24"/>
        </w:rPr>
        <w:t xml:space="preserve">Tabella </w:t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SEQ Table \* ARABIC</w:instrText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fldChar w:fldCharType="end"/>
      </w:r>
      <w:bookmarkEnd w:id="4"/>
      <w:r>
        <w:rPr>
          <w:noProof/>
          <w:sz w:val="24"/>
        </w:rPr>
        <w:t>: Dinamiċi tad-dejn</w:t>
      </w:r>
      <w:r>
        <w:rPr>
          <w:noProof/>
          <w:sz w:val="24"/>
          <w:vertAlign w:val="superscript"/>
        </w:rPr>
        <w:t xml:space="preserve"> a</w:t>
      </w:r>
    </w:p>
    <w:p>
      <w:pPr>
        <w:spacing w:before="120"/>
        <w:jc w:val="center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31510" cy="3733503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center"/>
        <w:rPr>
          <w:b/>
          <w:noProof/>
        </w:rPr>
      </w:pPr>
    </w:p>
    <w:p>
      <w:pPr>
        <w:spacing w:before="120"/>
        <w:jc w:val="center"/>
        <w:rPr>
          <w:b/>
          <w:noProof/>
        </w:rPr>
      </w:pPr>
    </w:p>
    <w:p>
      <w:pPr>
        <w:spacing w:before="120"/>
        <w:jc w:val="center"/>
        <w:rPr>
          <w:b/>
          <w:noProof/>
        </w:rPr>
      </w:pPr>
    </w:p>
    <w:p>
      <w:pPr>
        <w:spacing w:before="120"/>
        <w:jc w:val="center"/>
        <w:rPr>
          <w:b/>
          <w:noProof/>
        </w:rPr>
      </w:pPr>
      <w:r>
        <w:rPr>
          <w:b/>
          <w:noProof/>
        </w:rPr>
        <w:t>Graff 1: Fatturi tal-“effett valanga” fuq id-dejn tal-amministrazzjoni pubblika</w:t>
      </w:r>
    </w:p>
    <w:p>
      <w:pPr>
        <w:spacing w:before="120"/>
        <w:jc w:val="center"/>
        <w:rPr>
          <w:b/>
          <w:noProof/>
        </w:rPr>
      </w:pPr>
      <w:r>
        <w:rPr>
          <w:b/>
          <w:noProof/>
          <w:lang w:val="en-GB" w:eastAsia="en-GB" w:bidi="ar-SA"/>
        </w:rPr>
        <w:drawing>
          <wp:inline distT="0" distB="0" distL="0" distR="0">
            <wp:extent cx="4572635" cy="3462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before="120"/>
        <w:ind w:left="1276"/>
        <w:jc w:val="left"/>
        <w:rPr>
          <w:i/>
          <w:noProof/>
          <w:sz w:val="18"/>
          <w:szCs w:val="18"/>
        </w:rPr>
      </w:pPr>
      <w:r>
        <w:rPr>
          <w:i/>
          <w:noProof/>
          <w:sz w:val="18"/>
        </w:rPr>
        <w:t>Sors: Tbassir tal-ħarifa 2018 tal-Kummissjoni</w:t>
      </w:r>
    </w:p>
    <w:p>
      <w:pPr>
        <w:pStyle w:val="ManualHeading1"/>
        <w:rPr>
          <w:noProof/>
          <w:szCs w:val="24"/>
        </w:rPr>
      </w:pPr>
      <w:r>
        <w:t>4.</w:t>
      </w:r>
      <w:r>
        <w:tab/>
      </w:r>
      <w:r>
        <w:rPr>
          <w:noProof/>
        </w:rPr>
        <w:t>Fatturi rilevanti</w:t>
      </w:r>
    </w:p>
    <w:p>
      <w:pPr>
        <w:autoSpaceDE w:val="0"/>
        <w:autoSpaceDN w:val="0"/>
        <w:spacing w:before="120"/>
        <w:rPr>
          <w:noProof/>
        </w:rPr>
      </w:pPr>
      <w:r>
        <w:rPr>
          <w:noProof/>
        </w:rPr>
        <w:t>L-Artikolu 126(3) TFUE jistipula li r-rapport tal-Kummissjoni “</w:t>
      </w:r>
      <w:r>
        <w:rPr>
          <w:rFonts w:hAnsi="Calibri"/>
          <w:i/>
          <w:noProof/>
        </w:rPr>
        <w:t>g</w:t>
      </w:r>
      <w:r>
        <w:rPr>
          <w:rFonts w:hAnsi="Calibri"/>
          <w:i/>
          <w:noProof/>
        </w:rPr>
        <w:t>ħ</w:t>
      </w:r>
      <w:r>
        <w:rPr>
          <w:rFonts w:hAnsi="Calibri"/>
          <w:i/>
          <w:noProof/>
        </w:rPr>
        <w:t>andu jqis ukoll jekk id-dejn tal-gvern je</w:t>
      </w:r>
      <w:r>
        <w:rPr>
          <w:rFonts w:hAnsi="Calibri"/>
          <w:i/>
          <w:noProof/>
        </w:rPr>
        <w:t>ċċ</w:t>
      </w:r>
      <w:r>
        <w:rPr>
          <w:rFonts w:hAnsi="Calibri"/>
          <w:i/>
          <w:noProof/>
        </w:rPr>
        <w:t>edix in-nefqa tal-gvern f'investiment u jqis il-fatturi l-o</w:t>
      </w:r>
      <w:r>
        <w:rPr>
          <w:rFonts w:hAnsi="Calibri"/>
          <w:i/>
          <w:noProof/>
        </w:rPr>
        <w:t>ħ</w:t>
      </w:r>
      <w:r>
        <w:rPr>
          <w:rFonts w:hAnsi="Calibri"/>
          <w:i/>
          <w:noProof/>
        </w:rPr>
        <w:t>ra kollha rilevanti, inklu</w:t>
      </w:r>
      <w:r>
        <w:rPr>
          <w:rFonts w:hAnsi="Calibri"/>
          <w:i/>
          <w:noProof/>
        </w:rPr>
        <w:t>ż</w:t>
      </w:r>
      <w:r>
        <w:rPr>
          <w:rFonts w:hAnsi="Calibri"/>
          <w:i/>
          <w:noProof/>
        </w:rPr>
        <w:t>a l-po</w:t>
      </w:r>
      <w:r>
        <w:rPr>
          <w:rFonts w:hAnsi="Calibri"/>
          <w:i/>
          <w:noProof/>
        </w:rPr>
        <w:t>ż</w:t>
      </w:r>
      <w:r>
        <w:rPr>
          <w:rFonts w:hAnsi="Calibri"/>
          <w:i/>
          <w:noProof/>
        </w:rPr>
        <w:t>izzjoni ekonomika u ba</w:t>
      </w:r>
      <w:r>
        <w:rPr>
          <w:rFonts w:hAnsi="Calibri"/>
          <w:i/>
          <w:noProof/>
        </w:rPr>
        <w:t>ġ</w:t>
      </w:r>
      <w:r>
        <w:rPr>
          <w:rFonts w:hAnsi="Calibri"/>
          <w:i/>
          <w:noProof/>
        </w:rPr>
        <w:t>itarja g</w:t>
      </w:r>
      <w:r>
        <w:rPr>
          <w:rFonts w:hAnsi="Calibri"/>
          <w:i/>
          <w:noProof/>
        </w:rPr>
        <w:t>ħ</w:t>
      </w:r>
      <w:r>
        <w:rPr>
          <w:rFonts w:hAnsi="Calibri"/>
          <w:i/>
          <w:noProof/>
        </w:rPr>
        <w:t>at-terminu medju tal-Istat Membru</w:t>
      </w:r>
      <w:r>
        <w:rPr>
          <w:noProof/>
        </w:rPr>
        <w:t>”. Dawn il-fatturi huma ċċarati aktar fl-Artikolu 2(3) tar-Regolament tal-Kunsill (KE) Nru 1467/97, li jistipula wkoll li “</w:t>
      </w:r>
      <w:r>
        <w:rPr>
          <w:i/>
          <w:noProof/>
        </w:rPr>
        <w:t>kwalunkwe fattur ieħor li, fl-opinjoni tal-Istat Membru kkonċernat huwa rilevanti sabiex tkun ivvalutata b’mod komprensiv il-konformità mal-kriterji tad-defiċit u d-dejn u li l-Istat Membru ressaq quddiem il-Kunsill u l-Kummissjoni</w:t>
      </w:r>
      <w:r>
        <w:rPr>
          <w:noProof/>
        </w:rPr>
        <w:t>” jeħtieġ li jingħataw il-kunsiderazzjoni dovuta.</w:t>
      </w:r>
    </w:p>
    <w:p>
      <w:pPr>
        <w:autoSpaceDE w:val="0"/>
        <w:autoSpaceDN w:val="0"/>
        <w:spacing w:before="120"/>
        <w:rPr>
          <w:noProof/>
        </w:rPr>
      </w:pPr>
      <w:r>
        <w:rPr>
          <w:noProof/>
        </w:rPr>
        <w:t>F’każ ta’ ksur apparenti tal-kriterju tad-dejn, l-analiżi tal-fatturi rilevanti hija partikolarment meħtieġa, peress li d-dinamiċi tad-dejn huma sa ċertu punt influwenzati minn fatturi lil hinn mill-kontroll tal-gvern milli fil-każ ta’ defiċit. Dan huwa rikonoxxut fl-Artikolu 2(4) tar-Regolament (KE) Nru 1467/97, li jistipula li l-fatturi rilevanti għandhom jiġu kkunsidrati meta tiġi vvalutata l-konformità abbażi tal-kriterju tad-dejn irrispettivament mid-daqs ksur. F’dan ir-rigward, mill-inqas it-tliet aspetti ewlenin li ġejjin jeħtieġ li jiġu kkunsidrati (u ġew ikkunsidrati fil-passat)</w:t>
      </w:r>
      <w:r>
        <w:rPr>
          <w:rStyle w:val="FootnoteReference"/>
          <w:noProof/>
          <w:sz w:val="24"/>
        </w:rPr>
        <w:footnoteReference w:id="13"/>
      </w:r>
      <w:r>
        <w:rPr>
          <w:noProof/>
        </w:rPr>
        <w:t xml:space="preserve"> meta tiġi vvalutata l-konformità mal-kriterju tad-dejn minħabba l-impatt tagħhom fuq id-dinamiċi tad-dejn u s-sostenibbiltà:</w:t>
      </w:r>
    </w:p>
    <w:p>
      <w:pPr>
        <w:numPr>
          <w:ilvl w:val="0"/>
          <w:numId w:val="31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l-aderenza mal-OTM jew mal-pjan ta’ aġġustament lejh, li suppost tiżgura s-sostenibbiltà jew il-progress rapidu lejn is-sostenibbiltà f’ċirkostanzi makroekonomiċi normali. Billi fil-kostruzzjoni l-OTM speċifiku għall-pajjiż iqis il-livell tad-dejn u l-obbligazzjonijiet impliċiti, tal-konformità mal-MTO jew il-pjan ta’ aġġustament lejh jenħtieġ li jiżguraw konverġenza tal-proporzjonijiet ta’ dejn lejn livelli prudenti għall-inqas fuq terminu medju;</w:t>
      </w:r>
    </w:p>
    <w:p>
      <w:pPr>
        <w:numPr>
          <w:ilvl w:val="0"/>
          <w:numId w:val="31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riformi strutturali, li diġà ġew implimentati jew dettaljata fi pjan ta’ riforma strutturali, li huma mistennija li jtejbu s-sostenibbiltà fuq medda medja ta’ żmien permezz tal-impatt tagħhom fuq it-tkabbir, u b’hekk jikkontribwixxu biex il-proporzjon tad-dejn mal-PDG jinġieb fuq perkors ta’ tnaqqis sodisfaċenti. B’mod ġenerali, l-aderenza mal-OTM (jew il-pjan ta’ aġġustament lejh), flimkien ma’ l-implimentazzjoni ta’ riformi strutturali (fil-kuntest tas-Semestru Ewropew), hija mistennija li taħt kundizzjonijiet ekonomiċi normali tqiegħed id-dinamiċi tad-dejn fuq perkors sostenibbli permezz tal-impatt ikkombinat fuq il-livell tad-dejn innifsu (permezz tal-ksib ta’ pożizzjoni baġitarja soda fl-OTM) u fuq it-tkabbir ekonomiku (permezz tar-riformi);</w:t>
      </w:r>
    </w:p>
    <w:p>
      <w:pPr>
        <w:numPr>
          <w:ilvl w:val="0"/>
          <w:numId w:val="31"/>
        </w:numPr>
        <w:autoSpaceDE w:val="0"/>
        <w:autoSpaceDN w:val="0"/>
        <w:spacing w:before="120"/>
        <w:rPr>
          <w:noProof/>
        </w:rPr>
      </w:pPr>
      <w:r>
        <w:rPr>
          <w:noProof/>
        </w:rPr>
        <w:t>kundizzjonijiet makroekonomiċi mhux favorevoli u, b’mod partikolari, inflazzjoni baxxa, li jistgħu jxekklu t-tnaqqis fil-proporzjon tad-dejn mal-PDG u jrendu l-konformità mad-dispożizzjonijiet tal-PST partikolarment eżiġenti. Ambjent ta’ inflazzjoni baxxa jagħmilha aktar eżiġenti għal Stat Membru li jkun konformi mal-punt ta' riferiment tat-tnaqqis tad-dejn.</w:t>
      </w:r>
      <w:r>
        <w:rPr>
          <w:rStyle w:val="FootnoteReference"/>
          <w:noProof/>
          <w:sz w:val="24"/>
        </w:rPr>
        <w:t xml:space="preserve"> </w:t>
      </w:r>
      <w:r>
        <w:rPr>
          <w:noProof/>
        </w:rPr>
        <w:t>Taħt dawn il-kundizzjonijiet, l-aderenza mal-MTO jew mal-pjan ta’ aġġustament lejh hija fattur rilevanti ewlieni meta tiġi vvalutata l-konformità mal-kriterju tad-dejn.</w:t>
      </w:r>
    </w:p>
    <w:p>
      <w:pPr>
        <w:spacing w:before="120" w:after="120"/>
        <w:rPr>
          <w:rFonts w:eastAsia="Calibri" w:hAnsi="Calibri"/>
          <w:noProof/>
        </w:rPr>
      </w:pPr>
      <w:r>
        <w:rPr>
          <w:noProof/>
        </w:rPr>
        <w:t>Fid-dawl ta’ dawn id-dispożizzjonijiet, subtaqsimiet li ġejjin iqisu: (1) il-pożizzjoni ekonomika fit-terminu medju, inkluża s-sitwazzjoni attwali f’termini ta’ implimentazzjoni ta’ riformi strutturali; (2) il-pożizzjoni baġitarja fit-terminu medju, inkluża valutazzjoni tal-konformità mal-aġġustament meħtieġ lejn l-OTM u tal-investiment pubbliku; (3) l-iżviluppi fil-pożizzjoni tad-dejn tal-gvern fit-terminu medju, inklużi l-prospetti  ta’ sostenibbiltà tagħha; (4) fatturi oħra li l-Kummissjoni tqis rilevanti; kif ukoll (5) fatturi oħra ppreżentati mill-Istat Membru.</w:t>
      </w:r>
    </w:p>
    <w:p>
      <w:pPr>
        <w:pStyle w:val="ManualHeading2"/>
        <w:rPr>
          <w:noProof/>
          <w:szCs w:val="24"/>
        </w:rPr>
      </w:pPr>
      <w:r>
        <w:t>4.1.</w:t>
      </w:r>
      <w:r>
        <w:tab/>
      </w:r>
      <w:r>
        <w:rPr>
          <w:noProof/>
        </w:rPr>
        <w:t>Il-pożizzjoni ekonomika fit-terminu medju</w:t>
      </w:r>
    </w:p>
    <w:p>
      <w:pPr>
        <w:spacing w:before="120" w:after="120"/>
        <w:rPr>
          <w:i/>
          <w:noProof/>
        </w:rPr>
      </w:pPr>
      <w:r>
        <w:rPr>
          <w:i/>
          <w:noProof/>
        </w:rPr>
        <w:t>Ma jistax jiġi argumentat li l-kundizzjonijiet makroekonomiċi, bi tkabbir nominali tal-PDG ogħla minn 2 % sa mill-2016 minkejja riskji negattivi intensifikati ta’ dan l-aħħar, huma fattur mitiganti biex jiġu spjegati l-lakuni kbar tal-Italja fil-konformità mal-parametru referenzjarju għall-futur għat-tnaqqis tad-dejn. Min-naħa l-oħra, it-tkabbir baxx tal-produttività għadu jillimita l-potenzjal ta’ tkabbir tal-Italja u jfixkel tnaqqis aktar rapidu tal-proporzjon tad-dejn. Filwaqt li l-Italja għamlet xi progress biex tindirizza r-Rakkomandazzjonijiet Speċifiċi għall-Pajjiżi tal-2017 (CSRs), il-miżuri inklużi fl-abbozz tal-pjan baġitarju rivedut tal-2019 jindikaw rigressjoni fuq l-progress li sar fl-imgħoddi kif ukoll rigward l-aspetti fiskali strutturali tar-rakkomandazzjonijiet indirizzati lill-Italja mill-Kunsill fit-13 ta’ Lulju 2018.</w:t>
      </w:r>
    </w:p>
    <w:p>
      <w:pPr>
        <w:spacing w:before="120" w:after="120"/>
        <w:ind w:left="851" w:hanging="851"/>
        <w:rPr>
          <w:b/>
          <w:noProof/>
        </w:rPr>
      </w:pPr>
      <w:r>
        <w:rPr>
          <w:b/>
          <w:noProof/>
        </w:rPr>
        <w:t>Kundizzjonijiet ċikliċi, it-tkabbir potenzjali u l-inflazzjoni</w:t>
      </w:r>
    </w:p>
    <w:p>
      <w:pPr>
        <w:spacing w:before="120" w:after="240"/>
        <w:rPr>
          <w:noProof/>
        </w:rPr>
      </w:pPr>
      <w:r>
        <w:rPr>
          <w:noProof/>
        </w:rPr>
        <w:t xml:space="preserve">It-tkabbir tal-prodott domestiku gross fi prezzijiet kostanti tal-Italja laħaq 1,6 % fl-2017. Kemm l-abbozz tal-pjan baġitarju rivedut tal-2019 kif ukoll it-tbassir tal-Kummissjoni jistennew li dan jittaffa fl-2018 (1,2 % u 1,1 % rispettivament). Fl-2019, l-abbozz tal-pjan baġitarju rivedut tal-2019 jistenna li l-PDG fi prezzijiet kostanti jaċċellera għal 1,5 %, filwaqt li l-Kummissjoni tipprojetta rkupru aktar kajman, kemm fl-2019 (1,2 %) kif ukoll fl-2020 (1,3 %). Huwa stmat li t-tkabbir potenzjali finalment dar għall-pożittiv fl-2017, f’livell ta’ 0,3 %, (żieda minn -0,2 % fl-2016) u mistenni jkompli jitjieb fl-2018-2020, filwaqt li jibqa’ f’livelli baxxi ħafna. Bħala riżultat, il-Kummissjoni tipprevedi li l-marġni tal-potenzjal tal-produzzjoni negattiv tal-Italja jonqos rapidament, minn -3,6 % tal-PDG potenzjali fl-2015 għal -0,3 % fl-2018, qabel ma jerġa’ jkun pożittiv fl-2019 (0,3 %) u jkompli jiżdied fl-2020 (sa 0,8 %). </w:t>
      </w:r>
    </w:p>
    <w:p>
      <w:pPr>
        <w:spacing w:before="120" w:after="240"/>
        <w:rPr>
          <w:noProof/>
        </w:rPr>
      </w:pPr>
      <w:r>
        <w:rPr>
          <w:noProof/>
        </w:rPr>
        <w:t>Minkejja l-progress miksub tal-passat f’oqsma importanti tar-riforma (pereżempju s-suq tax-xogħol u r-riformi fl-amministrazzjoni pubblika, il-ġlieda kontra l-evażjoni tat-taxxa, t-tiswija tal-karta tal-bilanċ tal-banek), il-legat tal-kriżi u d-dgħufijiet strutturali li baqa’ qed ikomplu jwieżnu fuq it-tkabbir potenzjali tal-Italja</w:t>
      </w:r>
      <w:r>
        <w:rPr>
          <w:rStyle w:val="FootnoteReference"/>
          <w:noProof/>
          <w:sz w:val="24"/>
        </w:rPr>
        <w:footnoteReference w:id="14"/>
      </w:r>
      <w:r>
        <w:rPr>
          <w:noProof/>
        </w:rPr>
        <w:t>. Il-PDG tal-Italja għadu taħt il-livell ta’ qabel il-kriżi u għadu ma kibirx meta mqabbel ma’ 15-il sena ilu, filwaqt li t-tkabbir annwali laħaq medja ta’ 1,2 % fil-bqija taż-żona tal-euro. Dan huwa wkoll spjegat minn fatturi strutturali li jxekklu l-allokazzjoni effiċjenti tar-riżorsi u li jikkostitwixxu reżistenza għall-produttività. Is-sehem kbir li jokkupaw il-pensjonijiet tal-irtirar u l-ispejjeż marbutin mal-ħlas tad-dejn fl-infiq pubbliku ġenerali fl-Italja ixekklu l-partiti ta’ infiq li jsaħħu t-tkabbir bħall-edukazzjoni u l-infrastruttura. Il-piż għoli tat-taxxa fuq il-fatturi tal-produzzjoni u konformità mat-taxxa li għadha baxxa jkomplu żżomm lura t-tkabbir ekonomiku. It-tkabbir fl-impjiegi kien appoġġat minn riformi fis-suq tax-xogħol u inċentivi ta’ reklutaġġ, iżda kien l-aktar xprunat minn kuntratti temporanji, filwaqt li għad hemm livell għoli ta’ qgħad fit-tul u qgħad fost iż-żgħażagħ huma ta’ piż fuq il-prospetti tat-tkabbir ekonomiku futur. L-ambjent tan-negozju għadu jxekkel l-imprenditorija, inkluż minħabba punti dgħajfa fl-amministrazzjoni pubblika u proċedimenti tal-ġustizzja ċivili u kriminali twal ħafna. Fl-aħħar nett, l-investiment, b’mod partikolari f’assi intanġibbli, għadu baxx. F’dan il-kuntest, huwa importanti li l-Italja tkompli bl-isforz ta’ riforma sabiex ittejjeb il-prospetti ta’ tkabbir ta’ terminu medju u ssaħħaħ is-sostenibbiltà tal-finanzi pubbliċi tal-pajjiż.</w:t>
      </w:r>
    </w:p>
    <w:p>
      <w:pPr>
        <w:spacing w:before="120" w:after="240"/>
        <w:rPr>
          <w:noProof/>
        </w:rPr>
      </w:pPr>
      <w:r>
        <w:rPr>
          <w:noProof/>
        </w:rPr>
        <w:t xml:space="preserve">Wara li baqgħet madwar 0 % fl-2015 u fl-2016, l-aktar minħabba domanda aggregata baxxa, pressjonijiet limitati tal-pagi u tnaqqis fil-prezzijiet tal-enerġija, l-inflazzjoni nominali tal-Indiċi Armonizzat tal-Prezzijiet tal-Konsumatur (Harmonised Index of Consumer Price - HICP) żdiedet fl-2017 għal 1,3 %, xprunata l-aktar minn prezzijiet ogħla tal-enerġija. Abbażi tat-tbassir tal-Kummissjoni, huwa mistenni li tibqa’ stabbli f’1,3 % fl-2018 u li tkompli tiżdied għal 1,5 % fl-2019, xprunata l-aktar minn prezzijiet ogħla taż-żejt, qabel timmodera ftit għal 1,4 % fl-2020. L-inflazzjoni bażi hija wkoll mistennija li togħla gradwalment matul is-snin li ġejjin – f’konformità ma’ tkabbir moderat fil-pagi – u tilħaq 1,4 % fl-2020. </w:t>
      </w:r>
    </w:p>
    <w:p>
      <w:pPr>
        <w:spacing w:before="120" w:after="240"/>
        <w:rPr>
          <w:noProof/>
        </w:rPr>
      </w:pPr>
      <w:r>
        <w:rPr>
          <w:noProof/>
        </w:rPr>
        <w:t>Sa dan l-aħħar, il-possibilità li l-Italja tagħmel sforzi fiskali kbir sabiex b’mod deċiżiv tbaxxi l-proporzjon tad-dejn tagħha għall-PDG ġiet imxekkla minn prospettiva makroekonomika avversa u r-riskju relatat li l-politiki fiskali jistgħu jirriżultaw kontroproduttivi, peress li l-proporzjon tad-dejn u l-bilanċ primarju jiġu affettwati negattivament minn żviluppi ta’ tbaxxija fil-prezzijiet. Barra minn hekk, inflazzjoni baxxa għamlitha aktar diffiċli biex l-Italja tnaqqas l-infiq pubbliku bħala sehem mill-PDG billi ġew iffriżati l-pagi u l-intitolamenti tal-pensjoni f’termini nominali, li jimplikaw dħul mit-taxxi inqas min-normal. Fl-aħħar nett, il-kundizzjonijiet makroekonomiċi sfavorevoli, inklużi kundizzjonijiet stretti ta’ finanzjament, implikaw multiplikaturi fiskali ogħla mill-medja, amplifikati mill-politika monetarja ristretta minħabba limitu inferjuri ta’ żero</w:t>
      </w:r>
      <w:r>
        <w:rPr>
          <w:rStyle w:val="FootnoteReference"/>
          <w:noProof/>
          <w:sz w:val="24"/>
        </w:rPr>
        <w:footnoteReference w:id="15"/>
      </w:r>
      <w:r>
        <w:rPr>
          <w:noProof/>
        </w:rPr>
        <w:t>. It-tkabbir reali tal-PDG aċċellera għal 1,1 % fl-2016 u 1,6 % fl-2017, bit-tkabbir nominali tal-PDG ogħla minn 2 % (2,3 % fl-2016 u 2,1 % fl-2017), għall-ewwel darba minn meta seħħet il-kriżi finanzjarja globali. Filwaqt li t-tkabbir reali tal-PGD huwa mbassar mill-Kummissjoni biex jonqos drastikament għal darb’ oħra għal 1,1 % fl-2018 u jirkupra biss moderatament għal 1,2 % fl-2019 u 1,3 % fl-2020, l-iżviluppi fil-prezzijiet sottostanti (id-deflatur tal-PDG) jimplikaw aċċellerazzjoni mistennija fit-tkabbir tal-PGD nominali għal 2,4 % fl-2018, 2,5 % fl-2019, u 2,7 % fl-2020. Il-kundizzjonijiet makroekonomiċi ma’ għadhomx jidhru li huma fattur mitiganti biex jiġu spjegati l-lakuni kbar tal-Italja biex tikkonforma mal-mal-punt ta' riferiment tat-tnaqqis tad-dejn futur, għalkemm il-prospetti ta’ tkabbir tal-Italja jidhru li huma suġġetti għal riskji negattivi intensifikati għall-ġejjieni. B’mod partikolari, awment prolungata fir-rendimenti tad-dejn sovran tista’ taggrava l-kundizzjonijiet tal-finanzjament tal-banek kif ukoll ir-riżervi ta’ kapital u b’hekk ikollha impatt negattiv fuq it-tkabbir tal-PDG reali billi xxekkel l-ispejjeż tal-kreditu u tal-provvista. Dan, imbagħad, jista’ jkompli jkabbar r-riskji ta’ sostenibbiltà fiskali tal-Italja.</w:t>
      </w:r>
    </w:p>
    <w:p>
      <w:pPr>
        <w:spacing w:before="120" w:after="240"/>
        <w:rPr>
          <w:noProof/>
        </w:rPr>
      </w:pPr>
    </w:p>
    <w:p>
      <w:pPr>
        <w:pStyle w:val="Caption"/>
        <w:keepNext/>
        <w:spacing w:before="120"/>
        <w:jc w:val="center"/>
        <w:rPr>
          <w:noProof/>
          <w:sz w:val="24"/>
          <w:szCs w:val="24"/>
          <w:vertAlign w:val="superscript"/>
        </w:rPr>
      </w:pPr>
      <w:r>
        <w:rPr>
          <w:noProof/>
          <w:sz w:val="24"/>
        </w:rPr>
        <w:t xml:space="preserve">Tabella </w:t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SEQ Table \* ARABIC</w:instrText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</w:rPr>
        <w:t>: Żviluppi makroekonomiċi u baġitarji</w:t>
      </w:r>
      <w:r>
        <w:rPr>
          <w:noProof/>
          <w:sz w:val="24"/>
          <w:vertAlign w:val="superscript"/>
        </w:rPr>
        <w:t xml:space="preserve"> a</w:t>
      </w:r>
    </w:p>
    <w:p>
      <w:pPr>
        <w:spacing w:before="120" w:after="120"/>
        <w:rPr>
          <w:b/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31510" cy="3031824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60" w:after="120"/>
        <w:ind w:left="851" w:hanging="851"/>
        <w:rPr>
          <w:b/>
          <w:noProof/>
        </w:rPr>
      </w:pPr>
      <w:r>
        <w:rPr>
          <w:b/>
          <w:noProof/>
        </w:rPr>
        <w:t>Riformi strutturali</w:t>
      </w:r>
    </w:p>
    <w:p>
      <w:pPr>
        <w:spacing w:before="120" w:after="120"/>
        <w:rPr>
          <w:noProof/>
        </w:rPr>
      </w:pPr>
      <w:r>
        <w:rPr>
          <w:noProof/>
        </w:rPr>
        <w:t>Wara l-elezzjoni ġenerali tal-4 ta’ Marzu 2018, il-Programm Nazzjonali ta’ Riforma tal-2018</w:t>
      </w:r>
      <w:r>
        <w:rPr>
          <w:rStyle w:val="FootnoteReference"/>
          <w:noProof/>
          <w:sz w:val="24"/>
        </w:rPr>
        <w:footnoteReference w:id="16"/>
      </w:r>
      <w:r>
        <w:rPr>
          <w:noProof/>
        </w:rPr>
        <w:t xml:space="preserve"> adottat f’April 2018 mill-gvern ta’ tranżizzjoni ma pproponiex inizjattivi leġiżlattivi ġodda iżda elenka r-riformi li kienu diġà adottati f’dak iż-żmien f’għadd ta’ oqsma bħall-amministrazzjoni pubblika, is-sistema ġudizzjarja, il-kompetizzjoni, is-suq tax-xogħol, l-edukazzjoni u l-kompetittività. </w:t>
      </w:r>
    </w:p>
    <w:p>
      <w:pPr>
        <w:spacing w:before="120" w:after="120"/>
        <w:rPr>
          <w:noProof/>
        </w:rPr>
      </w:pPr>
      <w:r>
        <w:rPr>
          <w:noProof/>
        </w:rPr>
        <w:t>Fir-Rapport tal-Pajjiż 2018 tagħha, il-Kummissjoni vvalutat li l-Italja kienet għamlet xi progress biex tindirizza r-rakkomandazzjonijiet speċifiċi għall-pajjiż tal-2017 iżda wkoll li r-ritmu tar-riforma kien naqas u li kien għad baqa’ sfidi sinifikanti f’diversi oqsma ta’ riforma. L-iżbilanċi makroekonomiċi tal-Italja – l-aktar dawk relatati ma’ dejn pubbliku għoli ħafna u ma’ tkabbir batut fil-produttività – ma baqgħux jiddeterjoraw iżda baqgħu għoljin ħafna</w:t>
      </w:r>
      <w:r>
        <w:rPr>
          <w:rStyle w:val="FootnoteReference"/>
          <w:noProof/>
          <w:sz w:val="24"/>
        </w:rPr>
        <w:footnoteReference w:id="17"/>
      </w:r>
      <w:r>
        <w:rPr>
          <w:noProof/>
        </w:rPr>
        <w:t>. B’riżultat ta’ dan, il-Kummissjoni kkonkludiet li l-Italja baqgħet turi żbilanċi makroekonomiċi eċċessivi</w:t>
      </w:r>
      <w:r>
        <w:rPr>
          <w:rStyle w:val="FootnoteReference"/>
          <w:noProof/>
          <w:sz w:val="24"/>
        </w:rPr>
        <w:footnoteReference w:id="18"/>
      </w:r>
      <w:r>
        <w:rPr>
          <w:noProof/>
        </w:rPr>
        <w:t>.</w:t>
      </w:r>
    </w:p>
    <w:p>
      <w:pPr>
        <w:spacing w:before="120" w:after="120"/>
        <w:rPr>
          <w:noProof/>
        </w:rPr>
      </w:pPr>
      <w:r>
        <w:rPr>
          <w:noProof/>
        </w:rPr>
        <w:t>L-abbozz tal-pjan baġitarju rivedut tal-2019 introduċa diversi inizjattivi ta’ politika ġodda, li ġew speċifikati aktar f’żewġ proposti leġiżlattivi: id-“digriet fiskali”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tat-23 ta’ Ottubru 2018, u l-abbozz tal-liġi tal-baġit, ippreżentati lill-Parlament fil-31 ta’ Ottubru 2018, it-tnejn li huma attwalment taħt diskussjoni. </w:t>
      </w:r>
    </w:p>
    <w:p>
      <w:pPr>
        <w:spacing w:before="120" w:after="120"/>
        <w:rPr>
          <w:noProof/>
        </w:rPr>
      </w:pPr>
      <w:r>
        <w:rPr>
          <w:noProof/>
        </w:rPr>
        <w:t xml:space="preserve">Id-“digriet fiskali” jinkludi miżuri mmirati biex jinkoraġġixxu l-konformità mar-regoli tat-taxxa, kif ukoll diversi miżuri bl-għan li jinġabru l-obbligazzjonijiet fiskali tal-passat u jitnaddfu r-reġistri tat-taxxa. Rigward l-ewwel punt, it-trażmissjoni elettronika tal-fatturi se tkun obbligatorji anki għal tranżazzjonijiet ma’ konsumaturi finali. Fl-istess ħin, id-“digriet fiskali” introduċa possibbiltà ġdida u aktar vantaġġuża għal dawk li jħallsu t-taxxa biex jissaldaw obbligazzjonijiet fiskali tal-passat, billi jħallsu bin-nifs fuq perijodu ta’ diversi snin, mingħajr multi u b’rati ta’ interessi vantaġġużi. Miżura addizzjonali se tippermetti wkoll lill-kontribwenti – taħt kundizzjonijiet u limiti speċifiċi – li jiddivulgaw dħul mhux rappurtat fl-imgħoddi billi jħallsu biss 20 % tar-responsabbiltà għall-ħlas tat-taxxa korrispondenti u, f’għadd ta’ pagamenti u mingħajr interessi u multi. Id-“digriet fiskali” jinkludi wkoll diversi dispożizzjonijiet iżgħar li jnaqqsu l-obbligazzjonijiet fiskali passati pendenti ta’ daqs limitat u li jnaqqsu l-inċentivi għall-kontribwenti li jestendu t-tul ta’ żmien f’litigazzjonijiet dwar it-taxxa. Kollox ma’ kollox, l-impatt pożittiv fuq id-dħul huwa stmat għal madwar 0,1 % tal-PDG fl-2020. </w:t>
      </w:r>
    </w:p>
    <w:p>
      <w:pPr>
        <w:spacing w:before="120" w:after="120"/>
        <w:rPr>
          <w:noProof/>
        </w:rPr>
      </w:pPr>
      <w:r>
        <w:rPr>
          <w:noProof/>
        </w:rPr>
        <w:t>L-abbozz tal-liġi tal-baġit jinkludi bosta miżuri li jaffettwaw firxa wiesgħa ta’ oqsma fosthom it-tassazzjoni, l-investiment pubbliku, is-sigurtà soċjali u s-sistema tal-pensjoni. Rigward it-tassazzjoni, diversi bidliet fir-reġimi tat-taxxa, speċjalment għad-ditti u dawk li jaħdmu għal rashom, parzjalment se jqassmu mill-ġdid tal-piż tat-taxxa madwar is-setturi, b’impatt ġenerali pożittiv fuq id-dħul fl-2019. Il-miżuri li jnaqqsu l-piż tat-taxxa huma dawn li ġejjin:</w:t>
      </w:r>
    </w:p>
    <w:p>
      <w:pPr>
        <w:spacing w:before="120" w:after="120"/>
        <w:rPr>
          <w:noProof/>
        </w:rPr>
      </w:pPr>
      <w:r>
        <w:rPr>
          <w:noProof/>
        </w:rPr>
        <w:t xml:space="preserve">(1) Il-kamp ta’ applikazzjoni tar-reġim fiskali simplifikat għal dawk li jaħdmu għal rashom se jiġi estiż, billi jillaxkaw il-kundizzjonijiet tal-aċċess. Bħalissa, il-ħaddiema li jaħdmu għal rashom b’fatturat annwali taħt limiti speċifiċi għas-settur għandhom l-għażla li jħallsu, bħala sostitut għat-taxxa fuq id-dħul personali, permezz ta’ </w:t>
      </w:r>
      <w:r>
        <w:rPr>
          <w:i/>
          <w:noProof/>
        </w:rPr>
        <w:t>tnaqqis</w:t>
      </w:r>
      <w:r>
        <w:rPr>
          <w:noProof/>
        </w:rPr>
        <w:t xml:space="preserve"> ta’ 15 % fuq il-fatturat annwali tagħhom f’forma ta’ taxxa aġġustata għal </w:t>
      </w:r>
      <w:r>
        <w:rPr>
          <w:i/>
          <w:noProof/>
        </w:rPr>
        <w:t>“koeffiċjenti ta’ profittabbiltà”</w:t>
      </w:r>
      <w:r>
        <w:rPr>
          <w:noProof/>
        </w:rPr>
        <w:t xml:space="preserve"> speċifiċi. Bir-reġim il-ġdid, il-limiti kollha għall-fatturat annwali, li bħalissa jvarjaw skont is-setturi ta’ attività u jvarjaw sa massimu ta’ EUR 55 000, huma armonizzati u miżjuda għal EUR 65 000. Barra minn hekk, diversi kundizzjonijiet ta’ aċċess oħra jitneħħew. Il-miżura hija mistennija li strutturalment tnaqqas id-dħul b’0,1 % tal-PDG. </w:t>
      </w:r>
    </w:p>
    <w:p>
      <w:pPr>
        <w:spacing w:before="120" w:after="120"/>
        <w:rPr>
          <w:noProof/>
        </w:rPr>
      </w:pPr>
      <w:r>
        <w:rPr>
          <w:noProof/>
        </w:rPr>
        <w:t xml:space="preserve">(2) Dispożizzjoni simili hija introdotta wkoll għall-ħaddiema involuti f’attivitajiet intraprenditorjali b’fatturat annwali bejn EUR 65 000 u EUR 100 000, li l-introjtu korrispondenti tagħhom jiġi ntaxxat barra r-reġim standard tat-taxxa fuq l-introjtu personali b’rata ta’ </w:t>
      </w:r>
      <w:r>
        <w:rPr>
          <w:i/>
          <w:noProof/>
        </w:rPr>
        <w:t>telf</w:t>
      </w:r>
      <w:r>
        <w:rPr>
          <w:noProof/>
        </w:rPr>
        <w:t xml:space="preserve"> ta’ 20 %</w:t>
      </w:r>
      <w:r>
        <w:rPr>
          <w:rStyle w:val="FootnoteReference"/>
          <w:noProof/>
        </w:rPr>
        <w:footnoteReference w:id="20"/>
      </w:r>
      <w:r>
        <w:rPr>
          <w:noProof/>
        </w:rPr>
        <w:t>. Mill-2021 it-telf mid-dħul mistenni jammonta għal 0,1 % tal-PDG.</w:t>
      </w:r>
    </w:p>
    <w:p>
      <w:pPr>
        <w:spacing w:before="120" w:after="120"/>
        <w:rPr>
          <w:noProof/>
        </w:rPr>
      </w:pPr>
      <w:r>
        <w:rPr>
          <w:noProof/>
        </w:rPr>
        <w:t>(3) Ir-rata ta’ taxxa korporattiva se titnaqqas minn 24 % sa 15 % fuq il-profitti tad-ditti, użati biex jiżdied l-investiment jew jiġu impjegati ħaddiema ġodda, b’telf mistenni fid-dħul strutturali ta’ madwar 0,1 % tal-PDG.</w:t>
      </w:r>
    </w:p>
    <w:p>
      <w:pPr>
        <w:spacing w:before="120" w:after="120"/>
        <w:rPr>
          <w:noProof/>
        </w:rPr>
      </w:pPr>
      <w:r>
        <w:rPr>
          <w:noProof/>
        </w:rPr>
        <w:t>Fl-istess ħin, diversi dispożizzjonijiet oħrajn eżistenti li naqqsu l-piż tat-taxxa għad-ditti se jiġu rrevokati jew jitnaqqsu fl-ambitu. Jiġifieri, reġim tat-taxxa simplifikat leġiżlat preċendement għal introjtu personali minn attivitajiet intraprenditorjali (“</w:t>
      </w:r>
      <w:r>
        <w:rPr>
          <w:i/>
          <w:noProof/>
        </w:rPr>
        <w:t>Imposta sul Reddito Imprenditoriale</w:t>
      </w:r>
      <w:r>
        <w:rPr>
          <w:noProof/>
        </w:rPr>
        <w:t>”) u l-inċentivi eżistenti tat-taxxa għal żidiet kapitali tad-ditti (“</w:t>
      </w:r>
      <w:r>
        <w:rPr>
          <w:i/>
          <w:noProof/>
        </w:rPr>
        <w:t>Aiuto alla Crescita Económica</w:t>
      </w:r>
      <w:r>
        <w:rPr>
          <w:noProof/>
        </w:rPr>
        <w:t>”) se jiġu rrevokati (li jimplika dħul ogħla minn 0,1 % tal-PDG fl-2019 u 0,2 % mill-2020). L-inċentivi temporanji għall-investiment (“</w:t>
      </w:r>
      <w:r>
        <w:rPr>
          <w:i/>
          <w:noProof/>
        </w:rPr>
        <w:t>Superammortamento</w:t>
      </w:r>
      <w:r>
        <w:rPr>
          <w:noProof/>
        </w:rPr>
        <w:t>”) mhumiex se jkunu estiżi, filwaqt li l-inċentivi temporanji tat-taxxa għal investiment innovattiv (“</w:t>
      </w:r>
      <w:r>
        <w:rPr>
          <w:i/>
          <w:noProof/>
        </w:rPr>
        <w:t>Iperammortamento</w:t>
      </w:r>
      <w:r>
        <w:rPr>
          <w:noProof/>
        </w:rPr>
        <w:t>”) se jiġu estiżi iżda jitnaqqsu fl-ambitu. Barra minn hekk, it-tnaqqis tat-taxxa ta’ spejjeż speċifiċi għal xi kategoriji ta’ ditti – b’mod partikolari l-banek – se tkun limitata, b’effett pożittiv temporanju fuq id-dħul ta’ 0,2 % tal-PDG fl-2019. B’mod aktar speċifiku, it-tnaqqis tat-taxxa tal-avvjament u assi intanġibbli oħrajn marbutin ma’ operazzjonijiet tal-passat titnaqqas billi tinfirex fuq 11-il sena; it-tnaqqis tat-taxxa ta’ telf ta’ kreditu mġarrba fl-2018 tiġi posposta għall-2026; it-tnaqqis tat-taxxa ta’ telf minħabba l-implimentazzjoni ta’ prinċipji ta’ kontabilità ġodda titnaqqas billi tinfirex fuq għaxar snin; u l-ħlas bil-quddiem tat-taxxa fuq l-assigurazzjonijiet jiżdied.</w:t>
      </w:r>
    </w:p>
    <w:p>
      <w:pPr>
        <w:spacing w:before="120" w:after="120"/>
        <w:rPr>
          <w:noProof/>
        </w:rPr>
      </w:pPr>
      <w:r>
        <w:rPr>
          <w:noProof/>
        </w:rPr>
        <w:t>L-abbozz tal-liġi tal-baġit jinkludi wkoll diversi dispożizzjonijiet biex jiġi appoġġjat l-investiment pubbliku. Ir-riżorsi bbaġitjati għall-investimenti pubbliċi se jiżdiedu b’0,2 % tal-PDG fl-2019 permezz tal-ħolqien ta’ żewġ fondi, għal investimenti ppjanati fil-livell ċentrali (</w:t>
      </w:r>
      <w:r>
        <w:rPr>
          <w:i/>
          <w:noProof/>
        </w:rPr>
        <w:t>Fondo Investimenti Amministrazioni centrali</w:t>
      </w:r>
      <w:r>
        <w:rPr>
          <w:noProof/>
        </w:rPr>
        <w:t>) u fil-livell lokali (</w:t>
      </w:r>
      <w:r>
        <w:rPr>
          <w:i/>
          <w:noProof/>
        </w:rPr>
        <w:t>Fondo Investimenti enti territoriali</w:t>
      </w:r>
      <w:r>
        <w:rPr>
          <w:noProof/>
        </w:rPr>
        <w:t>). Barra minn hekk, se jinħolqu żewġ korpi istituzzjonali  biex jiffaċilitaw il-proċeduri amministrattivi:  uffiċċju ċentrali (</w:t>
      </w:r>
      <w:r>
        <w:rPr>
          <w:i/>
          <w:noProof/>
        </w:rPr>
        <w:t>InvestItalia</w:t>
      </w:r>
      <w:r>
        <w:rPr>
          <w:noProof/>
        </w:rPr>
        <w:t>) se jikkoordina l-ħidma ministerjali għall-istabbiliment ta’ strateġiji ta’ investiment fil-livell nazzjonali, il-monitoraġġ tal-implimentazzjoni tal-programmi u l-indirizzar tal-konġestjonijiet; fl-istess ħin, uffiċċju indipendenti għall-ippjanar ta’ proġetti (</w:t>
      </w:r>
      <w:r>
        <w:rPr>
          <w:i/>
          <w:noProof/>
        </w:rPr>
        <w:t>Centrale per la progettazione delle opera pubbliche</w:t>
      </w:r>
      <w:r>
        <w:rPr>
          <w:noProof/>
        </w:rPr>
        <w:t xml:space="preserve">) se jipprovdi appoġġ tekniku lil amministrazzjonijiet ċentrali u lokali matul l-implimentazzjoni tal-proġetti.   </w:t>
      </w:r>
    </w:p>
    <w:p>
      <w:pPr>
        <w:spacing w:before="120" w:after="120"/>
        <w:rPr>
          <w:noProof/>
        </w:rPr>
      </w:pPr>
      <w:r>
        <w:rPr>
          <w:noProof/>
        </w:rPr>
        <w:t>Iż-żewġ miżuri ewlenin inklużi fl-abbozz ta’ pjan baġitarju rivedut għall-2019 huma l-“introjtu taċ-ċittadinanza” u l-“livell limitu ta’ 100” (“</w:t>
      </w:r>
      <w:r>
        <w:rPr>
          <w:i/>
          <w:noProof/>
        </w:rPr>
        <w:t>Kwota 100</w:t>
      </w:r>
      <w:r>
        <w:rPr>
          <w:noProof/>
        </w:rPr>
        <w:t>”), rigward is-sigurtà soċjali u s-sistema tal-pensjonijiet rispettivament. L-abbozz tal-liġi baġitarja tinkludi biss il-fondi allokati għal dawn il-miżuri, li se jitfasslu u jiġu implimentati permezz ta’ liġijiet separati. Madankollu, l-abbozz ta’ pjan baġitarju rivedut għall-2019 isemmi l-aspetti ewlenin tagħhom.</w:t>
      </w:r>
    </w:p>
    <w:p>
      <w:pPr>
        <w:spacing w:before="120" w:after="120"/>
        <w:rPr>
          <w:noProof/>
        </w:rPr>
      </w:pPr>
      <w:r>
        <w:rPr>
          <w:noProof/>
        </w:rPr>
        <w:t>L-“introjtu taċ-ċittadinanza” hija skema ta’ introjtu minimu, li, fil-pjanijiet tal-gvern, se jkollha l-għan li tiggarantixxi introjtu fix-xahar ta’ EUR 780, li jikkorrispondi għal-limitu tal-faqar relattiv. Madankollu, l-ammont eżatt tal-kwoti u l-kundizzjonijiet ta’ aċċess għad iridu jiġu lleġiżlati fi stadju aktar tard. Il-fond ibbaġitjat jammonta għal EUR 9 biljun kull sena mill-2019, inkluż EUR 1 biljun għat-tisħiħ taċ-ċentri għall-impjieg. Billi l-fond se jassorbi madwar EUR 2 biljun ta’ riżorsi allokati preċendement għall-iskema kontra l-faqar (</w:t>
      </w:r>
      <w:r>
        <w:rPr>
          <w:i/>
          <w:noProof/>
        </w:rPr>
        <w:t>Reddito di inclusione</w:t>
      </w:r>
      <w:r>
        <w:rPr>
          <w:noProof/>
        </w:rPr>
        <w:t xml:space="preserve">), l-impatt nett fuq l-infiq tal-gvern huwa 0,4 % tal-PDG. </w:t>
      </w:r>
    </w:p>
    <w:p>
      <w:pPr>
        <w:spacing w:before="120" w:after="120"/>
        <w:rPr>
          <w:noProof/>
        </w:rPr>
      </w:pPr>
      <w:r>
        <w:rPr>
          <w:noProof/>
        </w:rPr>
        <w:t xml:space="preserve">Il-“livell limitu ta’ 100” hija skema ta’ rtirar kmieni, li tistabbilixxi l-livell limitu għal irtirar kmieni fl-età ta’ 62 sena u 38 sena ta’ kontribuzzjonijiet. L-ammonti bbaġitjati għall-fond jammontaw għal EUR 6.7 biljun fl-2019 u EUR 7 biljun fl-2020 (0,4 % tal-PDG). </w:t>
      </w:r>
    </w:p>
    <w:p>
      <w:pPr>
        <w:spacing w:before="120" w:after="120"/>
        <w:rPr>
          <w:noProof/>
        </w:rPr>
      </w:pPr>
      <w:r>
        <w:rPr>
          <w:noProof/>
        </w:rPr>
        <w:t xml:space="preserve">Il-miżuri inklużi fl-abbozz ta’ pjan baġitarju rivedut għall-2019 jindikaw pass lura fuq ir-riformi li l-Italja kienet adottat f’konformità mar-Rakkomandazzjonijiet Speċifiċi għall-Pajjiżi tal-passat, kif ukoll rigward l-aspetti fiskali strutturali tar-Rakkomandazzjoni indirizzata lill-Italja mill-Kunsill fit-13 ta’ Lulju 2018. B’mod partikolari, filwaqt li l-Kunsill irrakkomanda li l-Italja jenħtieġ li tnaqqas is-sehem tal-pensjonijiet tax-xjuħija fl-infiq pubbliku tagħha sabiex jinħoloq spazju għal infiq soċjali ieħor, il-possibbiltà introdotta reċentement għal irtirar kmieni treġġa’ lura r-riformi tal-pensjonijiet preċedenti li jirfdu s-sostenibbiltà fit-tul tad-dejn pubbliku mdaqqas tal-Italja. Barra minn hekk, il-flessibbiltà akbar għal irtirar kmieni jista’ jkollha impatt negattiv fuq il-provvista tal-ħaddiema, u dan ifixkel it-tkabbir potenzjali. </w:t>
      </w:r>
    </w:p>
    <w:p>
      <w:pPr>
        <w:spacing w:before="120" w:after="120"/>
        <w:rPr>
          <w:noProof/>
        </w:rPr>
      </w:pPr>
      <w:r>
        <w:rPr>
          <w:noProof/>
        </w:rPr>
        <w:t>Il-provvediment imsaħħaħ għall-fatturar elettroniku huwa mistenni li jgħin biex inaqqas id-distakk tal-konformità mal-VAT, billi jipprovdi lill-aġenzija tat-taxxa b’informazzjoni aktar preċiża u f’waqtha, li tippermetti spezzjonijiet immirati b’effetti deterrenti fuq il-kontribwenti. Madankollu, il-possibbiltajiet ġodda għall-kontribwenti biex isolvu obbligi fiskali passati jew jirrapportaw introjtu mhux iddikjarat f’kundizzjonijiet vantaġġużi huwa mistenni li jkollhom effett oppost, billi b’mod impliċitu jagħtu vantaġġ lil imġiba mhux konformi.</w:t>
      </w:r>
    </w:p>
    <w:p>
      <w:pPr>
        <w:spacing w:before="120" w:after="120"/>
        <w:rPr>
          <w:noProof/>
        </w:rPr>
      </w:pPr>
      <w:r>
        <w:rPr>
          <w:noProof/>
        </w:rPr>
        <w:t xml:space="preserve">Il-bidliet ippjanati fir-reġimi tat-taxxa għal persuni li jaħdmu għal rashom u d-ditti għandhom l-għan li jimmiraw aħjar l-inċentivi tat-taxxa għat-tkabbir ekonomiku. Madankollu, din il-bidla fl-istrateġija hija soġġetta għal riskji negattivi, minħabba li xi miżuri rrevokati kellhom suċċess fl-appoġġ tal-investiment u żidiet kapitali tad-ditti. L-irtirar mir-reġim favorevoli tat-taxxa eżistenti fuq il-qligħ riinvestit taħt il-“kwota għall-ekwità korporattiva” (allowance for corporate equity, ACE), li fil-parti l-kbira tiegħu kien użat minn ditti, jista’ jaggrava t-tendenza li tiffavorixxi d-dejn fit-tassazzjoni korporattiva, u potenzjalment inaqqas l-inċentivi għal forom alternattivi ta’ finanzjament apparti s-self bankarju. Fl-istess ħin, ir-rati mnaqqsin tat-taxxa korporattiva fuq id-ditti li jħaddmu jew jinvestu – għalkemm jimmiraw aħjar lejn it-tkabbir ekonomiku – jistgħu jkunu kumplessi biex jiġu implimentati fil-prattika u jżidu rekwiżiti ta’ rapportar għad-ditti. Barra minn hekk, il-pakkett ta’ riforma ġenerali jżid il-piż tat-taxxa fuq id-ditti fl-2019, filwaqt li fl-2020 ikollu ġeneralment impatt newtrali biss. </w:t>
      </w:r>
    </w:p>
    <w:p>
      <w:pPr>
        <w:spacing w:before="120" w:after="120"/>
        <w:rPr>
          <w:noProof/>
        </w:rPr>
      </w:pPr>
      <w:r>
        <w:rPr>
          <w:noProof/>
        </w:rPr>
        <w:t>Il-miżuri li jimplikaw tnaqqis tat-taxxa mnaqqsa tal-ispejjeż, billi b’mod impliċitu jżidu l-piż tat-taxxa fuq il-banek, jistgħu jaffettwaw b’mod ħażin il-provvista tal-kreditu, u b’hekk ir-riskju jaggrava l-impatt negattiv possibbli tar-rendimenti sovrani ogħla u l-ispejjeż ta’ finanzjament mill-banek.</w:t>
      </w:r>
    </w:p>
    <w:p>
      <w:pPr>
        <w:spacing w:before="120" w:after="120"/>
        <w:rPr>
          <w:noProof/>
        </w:rPr>
      </w:pPr>
      <w:r>
        <w:rPr>
          <w:noProof/>
        </w:rPr>
        <w:t xml:space="preserve">Huwa mistenni li ż-żieda fil-fondi u t-tisħiħ tal-kapaċità amministrattiva għall-investiment pubbliku jappoġġjaw it-tkabbir ekonomiku, għalkemm l-impatt tiegħu jirriskja li jiddewwem minħabba nuqqasijiet fl-implimentazzjoni u l-ostakli amministrattivi. </w:t>
      </w:r>
    </w:p>
    <w:p>
      <w:pPr>
        <w:spacing w:before="120" w:after="120"/>
        <w:rPr>
          <w:noProof/>
        </w:rPr>
      </w:pPr>
      <w:r>
        <w:rPr>
          <w:noProof/>
        </w:rPr>
        <w:t>B’mod ġenerali, il-kompożizzjoni tal-abbozz ta’ pjan baġitarju għall-2019 ma jidhirx li tiffavorixxi ż-żieda fit-tkabbir potenzjali, peress li treġġa’ lura r-riformi strutturali tal-passat, tirriskja li tiskoraġġixxi l-konformità tat-taxxa, iżżid il-piż tat-taxxa fuq id-ditti fuq livell aggregat u tista’ twassal għal tnaqqis fil-provvediment ta’ kreditu permezz ta’ kundizzjonijiet ta’ finanzjament tal-banek agħar minn rendimenti sovrani ogħla.</w:t>
      </w:r>
    </w:p>
    <w:p>
      <w:pPr>
        <w:spacing w:before="120" w:after="120"/>
        <w:rPr>
          <w:noProof/>
        </w:rPr>
      </w:pPr>
    </w:p>
    <w:p>
      <w:pPr>
        <w:pStyle w:val="ManualHeading2"/>
        <w:rPr>
          <w:noProof/>
          <w:szCs w:val="24"/>
        </w:rPr>
      </w:pPr>
      <w:r>
        <w:t>4.2.</w:t>
      </w:r>
      <w:r>
        <w:tab/>
      </w:r>
      <w:r>
        <w:rPr>
          <w:noProof/>
        </w:rPr>
        <w:t>Pożizzjoni baġitarja fit-terminu medju</w:t>
      </w:r>
    </w:p>
    <w:p>
      <w:pPr>
        <w:spacing w:before="120" w:after="120"/>
        <w:rPr>
          <w:i/>
          <w:noProof/>
        </w:rPr>
      </w:pPr>
      <w:r>
        <w:rPr>
          <w:i/>
          <w:noProof/>
        </w:rPr>
        <w:t>Il-valutazzjoni ex post tal-konformità tal-Italja mal-partijiet preventivi tindika xi devjazzjoni mill-perkors ta’ aġġustament lejn l-OTM fl-2017, wara li jitqiesu l-kwoti mogħtija taħt il-klawsoli ta’ flessibbiltà u għal ċirkostanzi mhux tas-soltu. B’kuntrast, fir-rigward tas-sena 2018, mhuwiex mistenni li l-aġġustament fiskali jkun adegwat meta jiġu kkunsidrati l-isfidi ta’ sostenibbiltà li l-Italja qed tiffaċċja. Għall-2019, fl-Opinjoni tagħha tat-23 ta’ Ottubru 2018 dwar l-abbozz ta’ pjan baġitarju għall-2019, il-Kummissjoni identifikat nuqqas partikolarment serju ta’ konformità mar-rakkomandazzjoni fiskali indirizzata lill-Italja mill-Kunsill fit-13 ta’ Lulju 2018. Din il-valutazzjoni ġiet ikkonfermata fl-Opinjoni tal-Kummissjoni tal-21 ta’ Novembru 2018 dwar l-abbozz ta’ pjan baġitarju rivedut għall-2019 tal-Italja. Id-daqs tad-devjazzjoni mill-perkors ta’ aġġustament irrakkomandat lejn l-OTM huwa mistenni li jkompli jikber fl-2020 abbażi tat-tbassir tal-Kummissjoni, skont suppożizzjoni tal-ebda tibdil fil-politika.</w:t>
      </w:r>
    </w:p>
    <w:p>
      <w:pPr>
        <w:spacing w:before="120" w:after="120"/>
        <w:rPr>
          <w:b/>
          <w:noProof/>
        </w:rPr>
      </w:pPr>
    </w:p>
    <w:p>
      <w:pPr>
        <w:spacing w:before="120" w:after="120"/>
        <w:ind w:left="851" w:hanging="851"/>
        <w:rPr>
          <w:b/>
          <w:noProof/>
        </w:rPr>
      </w:pPr>
      <w:r>
        <w:rPr>
          <w:b/>
          <w:noProof/>
        </w:rPr>
        <w:t xml:space="preserve">Bilanċ strutturali u aġġustament lejn l-OTM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>
        <w:tc>
          <w:tcPr>
            <w:tcW w:w="9242" w:type="dxa"/>
          </w:tcPr>
          <w:p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Kaxxa 1: flessibbiltà skont il-parti preventiva</w:t>
            </w:r>
          </w:p>
          <w:p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Wara li ħarġet mill-proċedura ta’ defiċit eċċessiv fl-2013, l-Italja kienet ġeneralment konformi mad-dispożizzjonijiet tal-parti preventiva sal-2017. Madankollu, matul il-perjodu 2015-2017, il-konformità wiesgħa tal-Italja nkisbet ukoll bis-saħħa tal-aħjar użu tal-flessibbiltà mogħtija mill-Kummissjoni, wara l-Komunikazzjoni tagħha dwar “Nagħmlu l-aħjar użu tal-flessibbiltà fir-regoli eżistenti tal-Patt ta’ Stabbiltà u Tkabbir” ta’ Jannar 2015, u kkonfermata mir-Rakkomandazzjonijiet Speċifiċi għall-Pajjiżi tal-Kunsill. L-Italja bbenefikat ħafna mill-flessibbiltà fl-ambitu tal-qafas tal-Patt ta’ Stabbiltà u Tkabbir. Fl-2015, 0,03 % tal-PDG ta’ flessibbiltà ingħata għal ċirkostanzi mhux tas-soltu, b’rabta mal-kriżi tar-refuġjati. Fl-istess sena, ir-rekwiżit strutturali tal-punt ta’ riferiment ta’ 0,5 % tal-PDG tnaqqas bin-nofs, għal 0,25 % tal-PDG minħabba l-kunsiderazzjoni mtejba ta’ kundizzjonijiet ċikliċi prevalenti. Fl-2016, ingħatat flessibbiltà ġenerali ta’ 0,83 % tal-PDG b’rabta mal-klawsola ta’ riforma strutturali, il-klawsola dwar l-investiment u l-klawsola ta’ ċirkostanzi mhux tas-soltu. Tal-aħħar ingħatat b’referenza għall-kriżi tar-refuġjati u l-ispejjeż addizzjonali ta’ sigurtà minħabba t-theddida terroristika. Fl-2017, ingħatat flessibbiltà ġenerali ta’ 0,35 % tal-PDG skont il-klawsola ta’ ċirkostanzi mhux tas-soltu, minħabba l-kriżi tar-refuġjati u l-ħtieġa għall-protezzjoni tat-territorju nazzjonali kontra r-riskji siżmiċi. Għall-2018, il-Kummissjoni kkunsidrat li sforz strutturali fiskali inqas minn 0,3 % tal-PDG mir-rekwiżit tal-punt ta’ riferiment ikun adegwat sabiex jiġu bbilanċjati l-ħtiġijiet ta’ stabbilizzazzjoni tal-Italja u l-isfidi ta’ sostenibbiltà eżistenti. B’mod ġenerali, matul il-perjodu 2015-2018 l-Italja kienet titħalla tiddevja temporanjament mill-perkors ta’ aġġustament għall-OTM bi kważi 1,8 punti perċentwali tal-PDG.</w:t>
            </w:r>
          </w:p>
        </w:tc>
      </w:tr>
    </w:tbl>
    <w:p>
      <w:pPr>
        <w:tabs>
          <w:tab w:val="left" w:pos="2184"/>
        </w:tabs>
        <w:spacing w:before="120" w:after="120"/>
        <w:rPr>
          <w:noProof/>
        </w:rPr>
      </w:pPr>
      <w:r>
        <w:rPr>
          <w:noProof/>
        </w:rPr>
        <w:t>Rigward l-</w:t>
      </w:r>
      <w:r>
        <w:rPr>
          <w:b/>
          <w:noProof/>
        </w:rPr>
        <w:t>2017</w:t>
      </w:r>
      <w:r>
        <w:rPr>
          <w:noProof/>
        </w:rPr>
        <w:t xml:space="preserve">, l-Italja ġiet irrakkomandata li tagħmel aġġustament strutturali ta’ 0,6 % tal-PDG jew iktar, sabiex ikun hemm progress suffiċjenti għall-OTM tagħha. Madankollu, il-Programm ta’ Stabbiltà tal-2018 ikkonferma li r-riżultat tal-impatt baġitarju tal-influss eċċezzjonali ta’ refuġjati u ta’ pjan ta’ investiment preventiv għall-ħarsien tat-territorju nazzjonali kontra r-riskji siżmiċi kien sinifikanti fl-2017, għal madwar 0,35 % tal-PGD, ftit biss ogħla mill-istima </w:t>
      </w:r>
      <w:r>
        <w:rPr>
          <w:i/>
          <w:noProof/>
        </w:rPr>
        <w:t>ex ante</w:t>
      </w:r>
      <w:r>
        <w:rPr>
          <w:noProof/>
        </w:rPr>
        <w:t>. Abbażi ta’ dan, il-Kummissjoni kkonfermat il-kwota mogħtija b’mod preliminari skont il-klawsola ta’ ċirkostanzi mhux tas-soltu</w:t>
      </w:r>
      <w:r>
        <w:rPr>
          <w:rStyle w:val="FootnoteReference"/>
          <w:noProof/>
          <w:sz w:val="24"/>
        </w:rPr>
        <w:footnoteReference w:id="21"/>
      </w:r>
      <w:r>
        <w:rPr>
          <w:noProof/>
        </w:rPr>
        <w:t xml:space="preserve">. Għalhekk, l-aġġustament meħtieġ għall-OTM għall-2017 tnaqqas biex jitqiesu dawk l-ispejjeż. </w:t>
      </w:r>
    </w:p>
    <w:p>
      <w:pPr>
        <w:tabs>
          <w:tab w:val="left" w:pos="2184"/>
        </w:tabs>
        <w:spacing w:before="120" w:after="120"/>
        <w:rPr>
          <w:noProof/>
        </w:rPr>
      </w:pPr>
      <w:r>
        <w:rPr>
          <w:noProof/>
        </w:rPr>
        <w:t xml:space="preserve">Il-valutazzjoni ġenerali maħruġa fir-rebbiegħa tal-2018 abbażi tat-tbassir tar-rebbiegħa 2018 tal-Kummissjoni indikat xi devjazzjoni mill-perkors ta’ aġġustament irrakkomandat għall-OTM kemm fl-2016 kif ukoll fl-2017. L-istess valutazzjoni hija kkonfermata abbażi tat-tbassir tal-ħarifa 2018 tal-Kummissjoni. </w:t>
      </w:r>
    </w:p>
    <w:p>
      <w:pPr>
        <w:spacing w:before="120" w:after="120"/>
        <w:rPr>
          <w:noProof/>
        </w:rPr>
      </w:pPr>
      <w:r>
        <w:rPr>
          <w:noProof/>
        </w:rPr>
        <w:t>Rigward l-2018, l-Italja kienet irrakkomandata biex tiżgura rata ta’ tnaqqis nominali tal-infiq pubbliku primarju nett mill-inqas b’ 0,2 % fl-2018, li tikkorrispondi għal aġġustament strutturali annwali ta’ 0,6 % tal-PDG. Madankollu, il-Kummissjoni qalet fil-Komunikazzjoni tagħha dwar is-Semestru Ewropew 2017 ta’ Mejju 2017</w:t>
      </w:r>
      <w:r>
        <w:rPr>
          <w:rStyle w:val="FootnoteReference"/>
          <w:noProof/>
          <w:sz w:val="24"/>
        </w:rPr>
        <w:footnoteReference w:id="22"/>
      </w:r>
      <w:r>
        <w:rPr>
          <w:noProof/>
        </w:rPr>
        <w:t xml:space="preserve"> li se tkun lesta li tuża l-marġni ta’ diskrezzjoni f’każijiet fejn l-impatt ta’ aġġustament fiskali kbir fuq it-tkabbir u l-impjieg ikun partikolarment sinifikanti. B’mod ġenerali, sabiex jiġu bbilanċjati l-ħtiġijiet ta’ stabbilizzazzjoni attwali tal-Italja u l-isfidi ta’ sostenibbiltà eżistenti, il-Kummissjoni kkunsidrat li sforz strutturali fiskali ta’ mill-inqas 0,3 % tal-PDG ikun adegwat, mingħajr ebda marġni addizzjonali ta’ devjazzjoni tul sena. Dan jikkorrispondi għal rata ta’ tkabbir nominali tal-infiq primarju nett li ma taqbiżx iż-0,5 %. </w:t>
      </w:r>
    </w:p>
    <w:p>
      <w:pPr>
        <w:spacing w:before="120" w:after="120"/>
        <w:rPr>
          <w:noProof/>
        </w:rPr>
      </w:pPr>
      <w:r>
        <w:rPr>
          <w:noProof/>
        </w:rPr>
        <w:t>Abbażi tal-abbozz ta’ pjan baġitarju rivedut għall-2019, il-punt ta’ riferiment tan-nefqa jindika aġġustament fiskali adegwat fl-2018, minħabba li r-rata ta’ tkabbir tal-infiq pubbliku tal-Italja, nett minn miżuri diskrezzjonali tad-dħul u minn miżuri ta’ darba, se jaqbeż dak irrakkomandat mill-Kunsill. Barra minn hekk, it-titjib fil-bilanċ strutturali (ikkalkulat mill-ġdid) ippjanat mill-gvern għall-2018 (0,2 % tal-PDG) jitbiegħed mill-aġġustament strutturali adegwat ta’ 0,3 % tal-PDG. Valutazzjoni ġenerali abbażi tal-pjanijiet tal-gvern tindika riskju ta’ devjazzjoni sinifikanti mill-perkors ta’ aġġustament għall-objettiv baġitarju fuq perjodu medju ta’ żmien, irrakkomandat mill-Kunsill għall-2018. Abbażi tat-tbassir tal-ħarifa 2018 tal-Kummissjoni, il-valutazzjoni globali abbażi tal-pjanijiet tal-gvern hija kkonfermata. It-tbassir tal-Kummissjoni jipprevedi li l-bilanċ strutturali jibqa’ stabbli fl-2018, għal -1,8 % tal-PDG. Abbażi tat-tbassir tal-Kummissjoni, il-punt ta’ riferiment tan-nefqa jindika aġġustament fiskali adegwat fl-2018, u l-istess indikazzjoni hija pprovduta mill-pilastru tal-bilanċ strutturali.</w:t>
      </w:r>
    </w:p>
    <w:p>
      <w:pPr>
        <w:spacing w:before="120" w:after="120"/>
        <w:rPr>
          <w:noProof/>
        </w:rPr>
      </w:pPr>
      <w:r>
        <w:rPr>
          <w:noProof/>
        </w:rPr>
        <w:t>Rigward l-</w:t>
      </w:r>
      <w:r>
        <w:rPr>
          <w:b/>
          <w:noProof/>
        </w:rPr>
        <w:t>2019</w:t>
      </w:r>
      <w:r>
        <w:rPr>
          <w:noProof/>
        </w:rPr>
        <w:t>, fl-Opinjoni tagħha tat-23 ta’ Ottubru 2018 dwar l-abbozz ta’ pjan baġitarju rivedut għall-2019, il-Kummissjoni identifikat nuqqas partikolarment serju ta’ konformità mar-rakkomandazzjoni fiskali indirizzata lill-Italja mill-Kunsill fit-13 ta’ Lulju 2018. Din il-valutazzjoni ġiet ikkonfermata mill-Opinjoni tal-Kummissjoni riveduta tal-21 ta’ Novembru 2018 dwar l-abbozz ta’ pjan baġitarju għall-2019 tal-Italja.</w:t>
      </w:r>
    </w:p>
    <w:p>
      <w:pPr>
        <w:spacing w:before="120" w:after="120"/>
        <w:rPr>
          <w:noProof/>
        </w:rPr>
      </w:pPr>
      <w:r>
        <w:rPr>
          <w:noProof/>
        </w:rPr>
        <w:t>Għall-2019, l-Italja hija rrakkomandata biex tiżgura li r-rata ta’ tkabbir nominali tal-infiq pubbliku primarju nett ma taqbiżx iż-0,1 %, li tikkorrispondi għal aġġustament strutturali annwali ta’ 0,6 % tal-PDG.</w:t>
      </w:r>
    </w:p>
    <w:p>
      <w:pPr>
        <w:spacing w:before="120" w:after="120"/>
        <w:rPr>
          <w:noProof/>
        </w:rPr>
      </w:pPr>
      <w:r>
        <w:rPr>
          <w:noProof/>
        </w:rPr>
        <w:t>Abbażi tal-abbozz ta’ pjan baġitarju rivedut għall-2019, il-punt ta’ riferiment tan-nefqa jindika li hemm riskju ta’ devjazzjoni sinifikanti kemm fl-2019 (distakk ta’ 1,3 % tal-PDG) u tul l-2018 u l-2019 meta jitqiesu flimkien (distakk ta’ 0,9 % tal-PDG fis-sena, bħala medja, b’kunsiderazzjoni tal-aġġustament għas-sentejn irrakkomandat mill-Kunsill), minħabba li r-rata tat-tkabbir tan-nefqa tal-gvern, nett minn miżuri diskrezzjonali tad-dħul u miżuri ta’ darba, se jaqbeż dak irrakkomandat mill-Kunsill. L-istess indikazzjoni hija pprovduta mill-pilastru tal-bilanċ strutturali. L-abbozz ta’ pjan baġitarju rivedut għall-2019 jipprevedi li l-bilanċ strutturali (ikkalkolat mill-ġdid) imur għall-agħar b’ 0,9 % tal-PDG fl-2019. Il-pilastru tal-bilanċ strutturali jindika riskju ta’ devjazzjoni sinifikanti kemm fuq sena (marġni ta’ 1,5 % tal-PDG, fl-2019) u tul l-2018 u l-2019 meta jitqiesu flimkien (distakk ta’ 1,0 % fis-sena, bħala medja, b’kunsiderazzjoni tal-aġġustament għas-sentejn irrakkomandat mill-Kunsill). Din il-konstatazzjoni ma tinbidilx wara li jiġi kkunsidrat ir-rekwiżit imnaqqas fl-2018, wara l-applikazzjoni tal-marġni ta’ diskrezzjoni. Valutazzjoni ġenerali abbażi tal-pjanijiet tal-gvern turi li hemm nuqqas ta’ konformità partikolarment serja mal-perkors ta’ aġġustament għall-objettiv baġitarju ta’ terminu medju rrakkomandat mill-Kunsill għall-2019. Din il-konklużjoni ma tinbidilx lanqas jekk l-impatt baġitarju (madwar 0,2 % tal-PDG) tal-programm straordinarju ta’ manutenzjoni għan-netwerk tat-toroq u għall-konnessjonijiet wara li waqa’ il-pont Morandi f’Ġenova u ta’ pjan preventiv biex jiġu limitati r-riskji idroġeoloġiċi wara kundizzjonijiet klimatiċi ħżiena, ġew ikkunsidrati bħala ċirkostanzi mhux tas-soltu barra mill-kontroll tal-Istat Membru kkonċernat għall-finijiet tal-Artikolu 5(1) u tal-Artikolu 6(3) tar-Regolament (KE) Nru 1466/97 u tnaqqsu mir-rekwiżit tal-parti preventiva tal-Patt ta’ Stabbiltà u Tkabbir.</w:t>
      </w:r>
    </w:p>
    <w:p>
      <w:pPr>
        <w:spacing w:before="120" w:after="120"/>
        <w:rPr>
          <w:noProof/>
        </w:rPr>
      </w:pPr>
      <w:r>
        <w:rPr>
          <w:noProof/>
        </w:rPr>
        <w:t xml:space="preserve">Abbażi tat-tbassir tal-ħarifa 2018 tal-Kummissjoni, il-valutazzjoni ġenerali abbażi tal-pjanijiet tal-gvern hija kkonfermata, minħabba li l-punt ta’ riferiment tan-nefqa jindika riskju ta’ devjazzjoni sinifikanti, kemm fl-2019 (distakk ta’ 1,5 % tal-PDG) u tul l-2018 u l-2019 meta jitqiesu flimkien (distakk ta’ 1,3 % tal-PDG fis-sena, bħala medja, b’kunsiderazzjoni tal-aġġustament għas-sentejn irrakkomandat mill-Kunsill). L-istess indikazzjoni hija pprovduta mill-pilastru tal-bilanċ strutturali. It-tbassir tal-ħarifa 2018 tal-Kummissjoni għall-Italja jipprevedi li l-bilanċ strutturali jmur għall-agħar b’1,2 % tal-PDG fl-2019, u jilħaq -3,0 % tal-PDG. Il-pilastru tal-bilanċ strutturali jindika riskju ta’ devjazzjoni sinifikanti kemm fuq sena (marġni ta’ 1,8 % tal-PDG fl-2019) u matul l-2018 u l-2019 meta jitqiesu flimkien (distakk ta’ 1,2 % fis-sena, bħala medja). </w:t>
      </w:r>
    </w:p>
    <w:p>
      <w:pPr>
        <w:spacing w:before="120" w:after="120"/>
        <w:rPr>
          <w:noProof/>
        </w:rPr>
      </w:pPr>
    </w:p>
    <w:p>
      <w:pPr>
        <w:spacing w:before="120" w:after="120"/>
        <w:rPr>
          <w:b/>
          <w:noProof/>
        </w:rPr>
      </w:pPr>
      <w:r>
        <w:rPr>
          <w:b/>
          <w:noProof/>
        </w:rPr>
        <w:t>Investiment pubbliku</w:t>
      </w:r>
    </w:p>
    <w:p>
      <w:pPr>
        <w:spacing w:before="120" w:after="240"/>
        <w:rPr>
          <w:noProof/>
        </w:rPr>
      </w:pPr>
      <w:r>
        <w:rPr>
          <w:noProof/>
        </w:rPr>
        <w:t>Fir-rigward tal-investiment pubbliku, il-formazzjoni grossa tal-kapital fiss tal-amministrazzjoni pubblika tal-Italja kellha medja ta’ madwar 3 % tal-PDG bejn l-1999 u l-2010, iżda l-ħtieġa għal aġġustament malajr biex tiġi indirizzata l-kriżi tad-dejn sovran wasslet għal tnaqqis sostanzjali fl-investiment pubbliku għal madwar 2,4 % tal-PDG bħala medja bejn l-2011 u l-2016. Fl-2017, il-proporzjon tal-investiment pubbliku għall-PDG laħaq punt baxx ġdid, ta’ 2 % tal-PDG (-5,3 % sena wara sena f’termini nominali). Skont l-abbozz ta’ pjan baġitarju rivedut għall-2019 huwa previst li l-proporzjon se jonqos kemxejn għal 1,9 % tal-PDG fl-2018 (-2.2 % sena wara sena f’termini nominali). Fl-2019 u l-2020, l-abbozz ta’ pjan baġitarju rivedut għall-2019 jipprevedi li l-investiment pubbliku jirkupra progressivament, appoġġjat minn fondi addizzjonali allokati u l-miżuri li ttieħdu biex jitħaffu l-proċeduri amministrattivi. Fil-qosor, minħabba t-tnaqqis wiesgħa tiegħu matul iż-żmien, l-investiment pubbliku ma jidhirx li jirrappreżenta fattur mitiganti li jiġġustifika n-nuqqas ta’ konformità mal-punt ta’ riferiment għat-tnaqqis tad-dejn.</w:t>
      </w:r>
    </w:p>
    <w:p>
      <w:pPr>
        <w:spacing w:before="120" w:after="240"/>
        <w:rPr>
          <w:noProof/>
        </w:rPr>
      </w:pPr>
    </w:p>
    <w:p>
      <w:pPr>
        <w:pStyle w:val="ManualHeading2"/>
        <w:rPr>
          <w:noProof/>
          <w:szCs w:val="24"/>
        </w:rPr>
      </w:pPr>
      <w:r>
        <w:t>4.3.</w:t>
      </w:r>
      <w:r>
        <w:tab/>
      </w:r>
      <w:r>
        <w:rPr>
          <w:noProof/>
        </w:rPr>
        <w:t>Il-pożizzjoni tad-dejn tal-amministrazzjoni pubblika fit-terminu medju</w:t>
      </w:r>
    </w:p>
    <w:p>
      <w:pPr>
        <w:spacing w:before="120" w:after="120"/>
        <w:rPr>
          <w:noProof/>
        </w:rPr>
      </w:pPr>
      <w:r>
        <w:rPr>
          <w:i/>
          <w:noProof/>
        </w:rPr>
        <w:t>Id-dejn pubbliku tal-Italja għadu sors kbir ta’ vulnerabbiltà għall-ekonomija. Il-miżuri li għadhom kif ġew adottati, flimkien ma’ evoluzzjonijiet demografiċi negattivi, x’aktarx se jreġġgħu lura x-xejra pożittiva miksuba minn riformi tal-pensjonijiet tal-passat u jdgħajfu s-sostenibbiltà fiskali fit-tul. Is-sostenibbiltà fiskali fit-tul kienet imxekkla wkoll miż-żieda fir-rati tal-imgħax fuq il-bonds tal-gvern osservat fl-2018, u tista’ tkompli tmur għall-agħar jekk ir-rati tal-imgħax reali jiżdiedu aktar milli mistenni bħalissa.</w:t>
      </w:r>
    </w:p>
    <w:p>
      <w:pPr>
        <w:spacing w:before="120" w:after="120"/>
        <w:rPr>
          <w:noProof/>
        </w:rPr>
      </w:pPr>
      <w:r>
        <w:rPr>
          <w:noProof/>
        </w:rPr>
        <w:t xml:space="preserve">Wara li laħaq 131,2 % fl-2017, il-proporzjon tad-dejn għall-PDG tal-Italja huwa mistenni li b’mod ġenerali jistabbilizza għal madwar 131 % matul il-perjodu bejn l-2018 u l-2020 abbażi tat-tbassir tal-ħarifa 2018 tal-Kummissjoni. Fl-2018, iż-żieda limitata fis-surplus primarju, l-infiq tal-interessi li qed jonqos marġinalment biss u d-dħul mill-privatizzazzjoni taħt il-mira huma mistennija li jkomplu jxekklu il-pass tat-tnaqqis tad-dejn. Fl-2019 u l-2020, id-deterjorament sinifikanti tas-surplus primarju u l-infiq ogħla fuq l-imgħax li qed jiżdied huma mistennija li jkomplu jfixklu t-tnaqqis tad-dejn. </w:t>
      </w:r>
    </w:p>
    <w:p>
      <w:pPr>
        <w:spacing w:before="120" w:after="120"/>
        <w:rPr>
          <w:noProof/>
        </w:rPr>
      </w:pPr>
      <w:r>
        <w:rPr>
          <w:noProof/>
        </w:rPr>
        <w:t>Skont l-indikatur tar-riskju “S0” tas-sostenibbiltà fiskali fuq perjodu qasir tal-Kummissjoni Ewropea, ma jidhirx li l-Italja qed tiffaċċja sfidi ta’ sostenibbiltà fuq terminu qasir, għalkemm jidher li hemm vulnerabbiltajiet mil-lat fiskali</w:t>
      </w:r>
      <w:r>
        <w:rPr>
          <w:rStyle w:val="FootnoteReference"/>
          <w:noProof/>
          <w:sz w:val="24"/>
        </w:rPr>
        <w:footnoteReference w:id="23"/>
      </w:r>
      <w:r>
        <w:rPr>
          <w:noProof/>
        </w:rPr>
        <w:t xml:space="preserve">. Fil-fatt, ir-riskji mill-kuntest makrofinanzjarju għadhom b’mod ġenerali limitati, anki bis-saħħa tal-politika monetarja tal-BĊE li għadha favorevoli. Madankollu, l-Italja hija esposta għal żidiet f’daqqa fl-averżjoni tar-riskju tas-suq finanzjarju minħabba l-ħtiġijiet ta’ riportament li minkejja li qed jitjiebu għadhom għoljin (madwar 17 % tal-PDG fl-2018) relatati mad-dejn pubbliku tagħha. Kif osservat minn Mejju 2018, tali żidiet jistgħu jwasslu għal volatilità għolja fis-swieq tal-bonds sovrani u sostanzjalment spejjeż ogħla tas-servizz tad-dejn, bir-riskju sussegwenti ta’ effetti sekondarji negattivi għas-settur bankarju u għall-kundizzjonijiet ta’ finanzjament ta’ ditti u unitajiet domestiċi. </w:t>
      </w:r>
    </w:p>
    <w:p>
      <w:pPr>
        <w:spacing w:before="120" w:after="120"/>
        <w:rPr>
          <w:noProof/>
        </w:rPr>
      </w:pPr>
      <w:r>
        <w:rPr>
          <w:noProof/>
        </w:rPr>
        <w:t>F’terminu medju, l-Italja tiffaċċja sfidi sinifikanti ta’ sostenibbiltà. Huwa mistenni li s-surplus primarju strutturali tagħha se jkompli jmur għall-agħar għal 0,9 % tal-PDG fl-2019 u 0,4 % tal-PDG fl-2020, minn 3,6 % fl-2015. Dan jista’ jżid ir-riskji tas-sostenibbiltà fuq terminu medju, minħabba li pożizzjoni fiskali dgħajfa tista’ tkompli żżid il-primjums tar-riskju. Dan jiġi identifikat fl-analiżi tas-sostenibbiltà tad-dejn (debt sustainability analysis, DSA) fuq terminu medju tal-Kummissjoni u l-indikatur tar-riskju S1 tas-sostenibbiltà fiskali</w:t>
      </w:r>
      <w:r>
        <w:rPr>
          <w:rStyle w:val="FootnoteReference"/>
          <w:noProof/>
        </w:rPr>
        <w:footnoteReference w:id="24"/>
      </w:r>
      <w:r>
        <w:rPr>
          <w:noProof/>
        </w:rPr>
        <w:t>, li t-tnejn li huma jindikaw “riskju għoli”</w:t>
      </w:r>
      <w:r>
        <w:rPr>
          <w:rStyle w:val="FootnoteReference"/>
          <w:noProof/>
        </w:rPr>
        <w:footnoteReference w:id="25"/>
      </w:r>
      <w:r>
        <w:rPr>
          <w:noProof/>
        </w:rPr>
        <w:t>. L-istokk għoli ta’ dejn u ż-żieda prevista tiegħu fl-2029 fix-xenarju ta’ referenza u s-sensittività tiegħu għal xokkijiet makroekonomiċi fiskali jikkontribwixxu għal din il-valutazzjoni. Il-kisba ta’ proporzjon tad-dejn ta’ 60 % tal-PDG sal-2033, għalhekk, jeħtieġ li l-Italja tagħmel sforz fiskali kumulattiv kbir, li jammonta għal 9,4 punti perċentwali tal-PDG bejn l-2021 u l-2025.</w:t>
      </w:r>
    </w:p>
    <w:p>
      <w:pPr>
        <w:spacing w:before="120" w:after="120"/>
        <w:rPr>
          <w:noProof/>
        </w:rPr>
      </w:pPr>
      <w:r>
        <w:rPr>
          <w:noProof/>
        </w:rPr>
        <w:t>Fit-tul, l-Italja hija mistennija wkoll li tiffaċċja sfidi sinifikanti ta’ sostenibbiltà, it-tnejn xprunati mill-aġġustament fiskali mdaqqas meħtieġ biex jiġi stabbilizzat il-proporzjon tad-dejn għall-PDG, speċjalment meta jiġu kkunsidrati l-ispejjeż futuri marbutin mat-tixjiħ, u għall-vulnerabbiltajiet marbutin mal-piż tad-dejn għoli. L-indikatur S2 tar-riskju għas-sostenibbiltà fiskali fit-tul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 jindika riskji sinifikanti, minħabba li żieda permanenti fis-surplus primarju strutturali ta’ madwar 2,9 punti perċentwali tal-PDG tkun meħtieġa biex iżżomm il-proporzjon tad-dejn għall-PDG stabbli fuq perjodu twil, anki minħabba l-ispejjeż marbutin mat-tixjiħ. Meta wieħed iqis il-vulnerabbiltajiet marbutin mal-piż tad-dejn għoli – koperti mill-valutazzjoni tar-riskju tad-DSA – dan ir-riżultat jindika wkoll “riskju għoli” fit-tul. Fil-fatt, is-sostenibbiltà fit-tul żgurata permezz ta’ riformi tal-pensjonijiet tal-passat, billi jiġu llimitati r-responsabbiltajiet impliċiti li jirriżultaw mit-tixjiħ tal-popolazzjoni, qed tmur għall-agħar. Dan huwa minħabba x-xejriet demografiċi li qed jiddeterjoraw li kienu previsti mill-Eurostat u r-riformi adottati riċentement. B’mod partikolari, il-baġits tal-2017 u l-2018 diġà kienu jinkludu miżuri li parzjalment reġġgħu lura r-riformi tal-pensjonijiet tal-passat, li jikkontribwixxu għal żieda fl-infiq fuq il-pensjonijiet tax-xjuħija tal-Italja fuq terminu medju ta’ żmien. F’dan ir-rigward, l-abbozz ta’ pjan baġitarju rivedut għall-2019 jinkludi dispożizzjonijiet addizzjonali li se jreġġgħu lura l-progress tal-passat, sostanzjalment iżidu l-infiq pubbliku għal pensjonijiet tax-xjuħija. Għalkemm it-tfassil preċiż tar-riforma se jiġi speċifikat f’digrieti leġiżlattivi wara l-adozzjoni tal-baġit tal-2019, abbażi tal-informazzjoni inkluża fl-abbozz ta’ pjan baġitarju rivedut għall-2019, ir-riforma ppjanata tinvolvi llaxkar sostanzjali tal-kundizzjonijiet għall-irtirar kmieni, billi jiġi ffissat il-livell limitu rilevanti ta’ 62 sena u 38 sena ta’ kontribuzzjonijiet. L-ispiża addizzjonali, stmata għal madwar 0,4 % tal-PDG fl-2019, b’hekk iżżid b’mod sinifikanti l-infiq fuq il-pensjonijiet tax-xjuħija tal-Italja, li għal madwar 15 % tal-PDG potenzjali fl-2016, diġà hija waħda mill-ogħla fl-Unjoni u l-OECD. Barra minn hekk, il-flessibbiltà mtejba għal irtirar kmieni jista’ jkollha impatt negattiv fuq il-provvista tax-xogħol, f’kuntest fejn l-Italja diġà qed taqa’ lura meta mqabbla mal-medja tal-UE għall-parteċipazzjoni tal-ħaddiema akbar fl-età tagħha (55-64) f’impjieg, u b’hekk ixxekkel it-tkabbir potenzjali. B’mod ġenerali, jekk l-implimentazzjoni tar-riformi tal-pensjonijiet tal-passat tkompli tinżamm lura, tista’ tpoġġi r-riskji għas-sostenibbiltà fit-tul tal-Italja f’pożizzjoni agħar. </w:t>
      </w:r>
    </w:p>
    <w:p>
      <w:pPr>
        <w:spacing w:before="120" w:after="120"/>
        <w:rPr>
          <w:noProof/>
        </w:rPr>
      </w:pPr>
      <w:r>
        <w:rPr>
          <w:noProof/>
        </w:rPr>
        <w:t xml:space="preserve">Ir-rikavati mill-privatizzazzjoni naqqsu l-progress tal-mira ta’ 0,5 % tal-PDG previst mill-gvern kemm fl-2016 kif ukoll fl-2017, meta dawn kienu jammontaw għal 0,05 % tal-PDG u inqas minn 0,01 % tal-PDG, rispettivament. Jekk inħarsu ‘l quddiem, l-abbozz ta’ pjan baġitarju rivedut għall-2019 għadu jipprevedi 0,3 % rikavati mill-privatizzazzjoni tal-PDG kull sena bejn l-2018 u l-2020. Rigward is-sena 2018, il-Kummissjoni ma tinkorpora l-ebda rikavati mill-privatizzazzjoni </w:t>
      </w:r>
      <w:r>
        <w:rPr>
          <w:i/>
          <w:noProof/>
        </w:rPr>
        <w:t>ex ante</w:t>
      </w:r>
      <w:r>
        <w:rPr>
          <w:noProof/>
        </w:rPr>
        <w:t xml:space="preserve"> meta jitqies ir-rekord ta’ privatizzazzjonijiet sa issa u l-progress baxx irreġistrat sa tmiem is-sena. Rigward l-2019, meta jitqiesu l-proposti kredibbli u speċifikati sew li qed jiġu diskussi bħalissa, nofs ir-rikavati previsti huma inklużi fit-tbassir. Għall-2020, l-ebda rikavat mill-privatizzazzjoni ma huwa kkunsidrat </w:t>
      </w:r>
      <w:r>
        <w:rPr>
          <w:i/>
          <w:noProof/>
        </w:rPr>
        <w:t>ex ante</w:t>
      </w:r>
      <w:r>
        <w:rPr>
          <w:noProof/>
        </w:rPr>
        <w:t xml:space="preserve"> fit-tbassir għal raġunijiet prudenzjali.</w:t>
      </w:r>
    </w:p>
    <w:p>
      <w:pPr>
        <w:spacing w:before="120" w:after="120"/>
        <w:rPr>
          <w:noProof/>
        </w:rPr>
      </w:pPr>
      <w:r>
        <w:rPr>
          <w:noProof/>
        </w:rPr>
        <w:t>F’dan il-kuntest, id-deterjorament fiskali previst u l-impatt negattiv possibbli fuq it-tkabbir potenzjali tar-riforma ppjanata tal-pensjonijiet jistgħu jwasslu biex ir-riskji ta’ sostenibbiltà fiskali tal-Italja fuq terminu medju u fit-tul imorru għall-agħar, u jipperikolaw perkors xieraq ta’ tnaqqis tad-dejn pubbliku għoli.</w:t>
      </w:r>
    </w:p>
    <w:p>
      <w:pPr>
        <w:spacing w:before="120" w:after="120"/>
        <w:rPr>
          <w:noProof/>
        </w:rPr>
      </w:pPr>
    </w:p>
    <w:p>
      <w:pPr>
        <w:pStyle w:val="ManualHeading2"/>
        <w:rPr>
          <w:noProof/>
          <w:szCs w:val="24"/>
        </w:rPr>
      </w:pPr>
      <w:r>
        <w:t>4.4.</w:t>
      </w:r>
      <w:r>
        <w:tab/>
      </w:r>
      <w:r>
        <w:rPr>
          <w:noProof/>
        </w:rPr>
        <w:t>Fatturi oħra meqjusin rilevanti mill-Kummissjoni</w:t>
      </w:r>
    </w:p>
    <w:p>
      <w:pPr>
        <w:autoSpaceDE w:val="0"/>
        <w:autoSpaceDN w:val="0"/>
        <w:spacing w:before="120"/>
        <w:rPr>
          <w:noProof/>
        </w:rPr>
      </w:pPr>
      <w:r>
        <w:rPr>
          <w:noProof/>
        </w:rPr>
        <w:t xml:space="preserve">Fost fatturi oħra meqjusin rilevanti mill-Kummissjoni, tingħata kunsiderazzjoni partikolari għall-kontribuzzjonijiet finanzjarji għat-trawwim ta’ solidarjetà internazzjonali u għall-kisba tal-miri tal-politika tal-Unjoni; id-dejn imġarrab li jsir fil-forma ta’ appoġġ bilaterali u multilaterali bejn l-Istati Membri fil-kuntest tas-salvagwardja tal-istabbiltà finanzjarja u d-dejn marbut mal-operazzjonijiet ta’ stabilizzazzjoni finanzjarja waqt tfixkil finanzjarju ewlieni (l-Artikolu 2(3) tar-Regolament (KE) Nru 1467/97). Fir-rigward tal-appoġġ tal-gvern lis-settur finanzjarju matul il-kriżi finanzjarja, l-obbligazzjonijiet kontinġenti biex jiġu appoġġjati d-dispożizzjonijiet ta’ likwidità tal-istituzzjonijiet finanzjarji ammontaw għal madwar 1,5 % tal-PDG fi tmiem l-2017 (minn ammont totali ta’ obbligazzjonijiet kontinġenti ta’ 3,7 % tal-PDG),’il fuq minn 0,5 % tal-PDG fi tmiem l-2016. </w:t>
      </w:r>
    </w:p>
    <w:p>
      <w:pPr>
        <w:autoSpaceDE w:val="0"/>
        <w:autoSpaceDN w:val="0"/>
        <w:spacing w:before="120"/>
        <w:rPr>
          <w:noProof/>
        </w:rPr>
      </w:pPr>
      <w:r>
        <w:rPr>
          <w:noProof/>
        </w:rPr>
        <w:t>L-appoġġ lill-istituzzjonijiet finanzjarji b’impatt fuq id-dejn tal-amministrazzjoni pubblika kien jammonta għal 1 % tal-PDG fl-2017 (‘il fuq minn 0,2 % fl-aħħar tal-2016). L-appoġġ kien prinċipalment marbut mal-likwidazzjoni ta’ żewġ mutwanti reġjonali Taljani (</w:t>
      </w:r>
      <w:r>
        <w:rPr>
          <w:i/>
          <w:noProof/>
        </w:rPr>
        <w:t>Banca Popolare di Vicenza u Veneto Banca</w:t>
      </w:r>
      <w:r>
        <w:rPr>
          <w:noProof/>
        </w:rPr>
        <w:t xml:space="preserve">) u r-rikapitalizzazzjoni prekawzjonarja ta’ </w:t>
      </w:r>
      <w:r>
        <w:rPr>
          <w:i/>
          <w:noProof/>
        </w:rPr>
        <w:t>Banca Monte dei Paschi di Siena</w:t>
      </w:r>
      <w:r>
        <w:rPr>
          <w:noProof/>
        </w:rPr>
        <w:t>. L-impatt relatat fuq id-defiċit kien ta’ madwar 0,4 % tal-PDG. Riskju addizzjonali għall-finanzi pubbliċi huwa marbut mal-impatt possibbli (ta’ darba) mill-appoġġ għall-istituzzjonijiet finanzjarji fuq id-defiċit għall-2019 u l-2020 ukoll, kif ukoll mill-istokk konsiderevoli tal-arretrati konsiderevoli tad-dejn tal-kummerċ tal-amministrazzjoni pubblika.</w:t>
      </w:r>
    </w:p>
    <w:p>
      <w:pPr>
        <w:spacing w:before="120" w:after="120"/>
        <w:rPr>
          <w:rFonts w:eastAsia="Calibri" w:hAnsi="Calibri"/>
          <w:noProof/>
        </w:rPr>
      </w:pPr>
      <w:r>
        <w:rPr>
          <w:noProof/>
        </w:rPr>
        <w:t>L-Artikolu 12(1) tar-Regolament (UE) Nru 473/2013 jirrikjedi li dan ir-rapport jikkunsidra wkoll “sa fejn l-Istat Membru kkonċernat ikun ikkunsidra l-opinjoni tal-Kummissjoni” dwar l-abbozz ta’ pjan baġitarju ta’ Stat Membru, kif imsemmi fl-Artikolu 7(1) tal-istess Regolament. Fl-2017, l-Opinjoni tal-Kummissjoni dwar l-abbozz ta’ pjan baġitarju għall-2018 tal-Italja</w:t>
      </w:r>
      <w:r>
        <w:rPr>
          <w:rStyle w:val="FootnoteReference"/>
          <w:rFonts w:hAnsi="Calibri"/>
          <w:noProof/>
          <w:sz w:val="24"/>
        </w:rPr>
        <w:footnoteReference w:id="27"/>
      </w:r>
      <w:r>
        <w:rPr>
          <w:noProof/>
        </w:rPr>
        <w:t xml:space="preserve"> indikat riskju ta’ nuqqas ta’ konformità mad-dispożizzjonijiet tal-Patt ta’ Stabbiltà u Tkabbir (PST) u ħeġġet lill-awtoritajiet biex jieħdu l-miżuri meħtieġa fil-proċess baġitarju nazzjonali biex jiżguraw il-konformità. Madankollu, minkejja r-riskji indikati ta’ nuqqas ta’ konformità mal-PST, il-Baġit tal-2018 ġie approvat mingħajr bidliet kbar meta mqabbel mal-abbozz ta’ pjan baġitarju. Fl-2018, l-Opinjoni tal-Kummissjoni dwar l-abbozz ta’ pjan baġitarju tal-Italja għall-2019 identifikat nuqqas serju ta’ konformità mar-rakkomandazzjoni indirizzata lill-Italja mill-Kunsill fit-13 ta’ Lulju 2018 u ħeġġet lill-awtoritajiet biex iressqu abbozz ta’ pjan baġitarju rivedut. Madankollu, fit-13 ta’ Novembru 2018, l-Italja ressqet abbozz ta’ pjan baġitarju rivedut li jikkonferma l-miri fiskali ppjanati għall-2019. </w:t>
      </w:r>
    </w:p>
    <w:p>
      <w:pPr>
        <w:pStyle w:val="ManualHeading2"/>
        <w:rPr>
          <w:noProof/>
          <w:szCs w:val="24"/>
        </w:rPr>
      </w:pPr>
      <w:r>
        <w:t>4.5.</w:t>
      </w:r>
      <w:r>
        <w:tab/>
      </w:r>
      <w:r>
        <w:rPr>
          <w:noProof/>
        </w:rPr>
        <w:t>Fatturi oħrajn imressqa mill-Istat Membru</w:t>
      </w:r>
    </w:p>
    <w:p>
      <w:pPr>
        <w:spacing w:before="120" w:after="120"/>
        <w:rPr>
          <w:noProof/>
        </w:rPr>
      </w:pPr>
      <w:r>
        <w:rPr>
          <w:noProof/>
        </w:rPr>
        <w:t>Fit-13 ta’ Novembru 2018, l-awtoritajiet Taljani bagħtu dokumenti li jikkonċernaw il-fatturi rilevanti skont l-Artikolu 2(3) tar-Regolament (KE) Nru 1467/97 (“l-osservazzjonijiet tal-Italja”). L-analiżi ppreżentata fit-taqsimiet l-oħrajn ta’ dan ir-rapport diġà tkopri ħafna mill-fatturi mressqa mill-awtoritajiet.</w:t>
      </w:r>
    </w:p>
    <w:p>
      <w:pPr>
        <w:spacing w:before="120" w:after="120"/>
        <w:rPr>
          <w:noProof/>
        </w:rPr>
      </w:pPr>
      <w:r>
        <w:rPr>
          <w:noProof/>
        </w:rPr>
        <w:t>L-osservazzjonijiet tal-Italja jenfasizzaw il-prestazzjoni baġitarja solida tal-Italja, kif jidher minn rekord konsistenti ta’ surpluses primarji mdaqqsa li, madankollu, għadhom wisq fil-biċċa l-kbira kkumpensati minn rendiment tal-bonds fiż-żona tal-euro u d-differenzi fit-tkabbir ekonomiku li mhumiex favorevoli għall-Italja biex tiġi żgurata konformità mal-punt ta’ riferiment għat-tnaqqis tad-dejn.</w:t>
      </w:r>
    </w:p>
    <w:p>
      <w:pPr>
        <w:spacing w:before="120" w:after="120"/>
        <w:rPr>
          <w:noProof/>
        </w:rPr>
      </w:pPr>
      <w:r>
        <w:rPr>
          <w:noProof/>
        </w:rPr>
        <w:t xml:space="preserve">L-ewwel fattur rilevanti diskuss fl-osservazzjonijiet tal-Italja huwa l-prospettiva għat-tkabbir nominali tal-PDG, ikkaratterizzat minn riskji riċentement akbar, li quddiem sforzi fiskali kbar wisq jistgħu jirriżultaw kontroproduttivi u jxekklu l-konformità mal-punt ta’ riferiment permezz tal-mezz ta’ effett ta’ denominatur avvers. </w:t>
      </w:r>
    </w:p>
    <w:p>
      <w:pPr>
        <w:spacing w:before="120" w:after="120"/>
        <w:rPr>
          <w:noProof/>
        </w:rPr>
      </w:pPr>
      <w:r>
        <w:rPr>
          <w:noProof/>
        </w:rPr>
        <w:t>It-tieni fattur rilevanti u relatat huwa s-sottovalutazzjoni tal-grad ta’ laxkezza tal-ekonomija fl-Italja anki wara r-reviżjoni fil-“metodoloġija komunament miftiehma” biex issir l-istima tal-marġni tal-potenzjal tal-produzzjoni f’konformità ma’ xi bidliet tekniċi proposti mid-delegazzjoni Taljana għall-Grupp ta’ Ħidma tal-marġni tal-potenzjal tal-produzzjoni. Filwaqt li dawn il-bidliet tekniċi implikaw twessigħ tal-marġni tal-potenzjal tal-produzzjoni tal-Italja għall-2017 għal -1.2 % tal-PDG potenzjali (minn -0.6 % abbażi tat-tbassir tal-ħarifa 2017 tal-Kummissjoni), l-istimi riveduti tal-Kummissjoni xorta jissuġġerixxu li l-attività ekonomika tal-pajjiż jenħtieġ li tilħaq il-potenzjal tagħha fl-2019. F’din is-sena, fil-fatt, huwa stmat li l-marġni tal-potenzjal tal-produzzjoni isir pożittiv, jiġifieri + 0,3 % tal-PDG potenzjali, li mill-awtoritajiet Taljani jitqies li mhuwiex konformi mal-intuwizzjoni ekonomika, minħabba r-rata ta’ qgħad ta’ 11 % tal-Italja li għadha għolja u l-istabbiltà virtwali fil-pagi u l-prezzijiet. L-osservazzjonijiet tal-Italja għalhekk jippreżentaw stimi alternattivi, li jissuġġerixxu li l-marġni tal-potenzjal tal-produzzjoni għadu madwar -3 % tal-PDG potenzjali fl-2018 abbażi tat-tbassir tal-gvern, meta l-Italja se tkun kważi laħqet l-objettiv ta' terminu medju tagħha ta’ baġit ibbilanċjat f’termini strutturali. Barra minn hekk, l-Italja se tissodisfa l-punt ta’ riferiment għat-tnaqqis tad-dejn fil-“konfigurazzjoni ċiklika aġġustata” tagħha skont is-suppożizzjoni addizzjonali ta’ rata ta’ inflazzjoni “normali” (ibbażata fuq id-deflatur tal-GDP) ta’ 2 %.</w:t>
      </w:r>
    </w:p>
    <w:p>
      <w:pPr>
        <w:spacing w:before="120" w:after="120"/>
        <w:rPr>
          <w:noProof/>
        </w:rPr>
      </w:pPr>
      <w:r>
        <w:rPr>
          <w:noProof/>
        </w:rPr>
        <w:t>It-tielet fattur rilevanti enfasizzat mill-osservazzjonijiet tal-Italja huwa l-loġika li jiġu appoġġjati l-inklużjoni soċjali u l-investiment pubbliku li jirrappreżentaw il-bażi tal-pjanijiet fiskali tal-gvern fl-abbozz ta’ pjan baġitarju għall-2019. B’mod partikolari, huma jqisu l-introjtu marbut maċ-ċittadinanza li jidher fl-abbozz ta’ pjan baġitarju għall-2019 bħala konformi mar-rakkomandazzjonijiet speċifiċi għall-pajjiż għall-2018 biex jiżdied l-infiq soċjali, jiġu riformati l-politiki attivi tas-suq tax-xogħol, u tiżdied il-parteċipazzjoni fis-suq tax-xogħol tan-nisa permezz tar-razzjonalizzazzjoni tal-politiki għall-appoġġ tal-familji. Barra minn hekk, huma jikkunsidraw iż-żieda fl-investiment pubbliku b’0,2 % tal-PDG fl-2019 bħala konformi mar-rakkomandazzjoni speċifika għall-pajjiż tal-2018 biex jitrawmu r-riċerka, l-innovazzjoni, il-ħiliet diġitali u l-infrastruttura permezz ta’ investiment immirat aħjar u żieda fil-parteċipazzjoni f’edukazzjoni terzjarja vokazzjonali.</w:t>
      </w:r>
    </w:p>
    <w:p>
      <w:pPr>
        <w:spacing w:before="120" w:after="120"/>
        <w:rPr>
          <w:noProof/>
        </w:rPr>
      </w:pPr>
      <w:r>
        <w:rPr>
          <w:noProof/>
        </w:rPr>
        <w:t xml:space="preserve">Ir-raba’ fattur rilevanti kopert fl-osservazzjonijiet tal-Italja hija l-firxa wiesgħa tar-riformi strutturali li jsaħħu t-tkabbir ippjanati mill-gvern f’diversi oqsma, li jvarjaw mis-sistema ġudizzjarja għas-settur pubbliku. </w:t>
      </w:r>
    </w:p>
    <w:p>
      <w:pPr>
        <w:spacing w:before="120" w:after="120"/>
        <w:rPr>
          <w:noProof/>
        </w:rPr>
      </w:pPr>
      <w:r>
        <w:rPr>
          <w:noProof/>
        </w:rPr>
        <w:t>Fatturi rilevanti oħrajn imressqa mill-awtoritajiet Taljani dwar id-dejn pubbliku tal-Italja jinkludu s-sostenibbiltà tagħha, minħabba li l-Istat Membru xorta juri riskji ta’ sostenibbiltà baxxi fit-tul minkejja l-projezzjonijiet demografiċi agħar, l-affordabbiltà tiegħu, meta jitqiesu n-nefqa fuq l-imgħax b’tendenza ‘l isfel, u l-livell baxx ħafna ta’ obbligazzjonijiet kontinġenti u d-dejn tas-settur privat. L-osservazzjonijiet tal-Italja jenfasizzaw ukoll li r-riskji għall-finanzi pubbliċi Taljani, inkluż iż-żieda riċenti fir-rendiment sovran, huma limitati, minħabba l-pożizzjoni finanzjarja b’saħħitha tal-Italja, il-kompożizzjoni tad-dejn pubbliku, b’maturità ta’ terminu twil u rata fissa u l-irkupru riċenti tal-profitabbiltà tas-settur bankarju.</w:t>
      </w:r>
    </w:p>
    <w:p>
      <w:pPr>
        <w:spacing w:before="120" w:after="120"/>
        <w:rPr>
          <w:noProof/>
        </w:rPr>
      </w:pPr>
    </w:p>
    <w:p>
      <w:pPr>
        <w:pStyle w:val="Heading1"/>
        <w:numPr>
          <w:ilvl w:val="0"/>
          <w:numId w:val="0"/>
        </w:numPr>
        <w:spacing w:before="360" w:after="120"/>
        <w:rPr>
          <w:noProof/>
          <w:sz w:val="24"/>
          <w:szCs w:val="24"/>
        </w:rPr>
      </w:pPr>
    </w:p>
    <w:p>
      <w:pPr>
        <w:pStyle w:val="Heading1"/>
        <w:numPr>
          <w:ilvl w:val="0"/>
          <w:numId w:val="0"/>
        </w:numPr>
        <w:spacing w:before="360" w:after="120"/>
        <w:rPr>
          <w:noProof/>
          <w:sz w:val="24"/>
          <w:szCs w:val="24"/>
        </w:rPr>
      </w:pPr>
    </w:p>
    <w:p>
      <w:pPr>
        <w:jc w:val="left"/>
        <w:rPr>
          <w:b/>
          <w:smallCaps/>
          <w:noProof/>
        </w:rPr>
      </w:pPr>
      <w:r>
        <w:rPr>
          <w:noProof/>
        </w:rPr>
        <w:br w:type="page"/>
      </w:r>
    </w:p>
    <w:p>
      <w:pPr>
        <w:pStyle w:val="Heading1"/>
        <w:numPr>
          <w:ilvl w:val="0"/>
          <w:numId w:val="0"/>
        </w:numPr>
        <w:spacing w:before="360" w:after="120"/>
        <w:rPr>
          <w:noProof/>
          <w:sz w:val="24"/>
          <w:szCs w:val="24"/>
        </w:rPr>
      </w:pPr>
      <w:r>
        <w:rPr>
          <w:noProof/>
          <w:sz w:val="24"/>
        </w:rPr>
        <w:t>5.</w:t>
      </w:r>
      <w:r>
        <w:rPr>
          <w:noProof/>
        </w:rPr>
        <w:tab/>
      </w:r>
      <w:r>
        <w:rPr>
          <w:noProof/>
          <w:sz w:val="24"/>
        </w:rPr>
        <w:t>Konklużjonijiet</w:t>
      </w:r>
    </w:p>
    <w:p>
      <w:pPr>
        <w:pStyle w:val="NumPar1"/>
        <w:numPr>
          <w:ilvl w:val="0"/>
          <w:numId w:val="0"/>
        </w:numPr>
        <w:tabs>
          <w:tab w:val="clear" w:pos="850"/>
        </w:tabs>
        <w:spacing w:before="120" w:after="120"/>
        <w:rPr>
          <w:noProof/>
        </w:rPr>
      </w:pPr>
      <w:r>
        <w:rPr>
          <w:noProof/>
        </w:rPr>
        <w:t xml:space="preserve">Il-proporzjon tad-dejn pubbliku għall-PDG tal-Italja, b’rata ta’ 131,2 % fl-2017 huwa t-tieni l-akbar fl-Unjoni u li huwa wieħed mill-ikbar fid-dinja. Fl-2017, huwa kien jirrappreżenta piż medju ta’ EUR 37 000 għal kull abitant, minbarra l-ispiża annwali medja għas-servizz tiegħu ta’ madwar EUR 1 000 għal kull abitant. L-istokk kbir tad-dejn pubbliku jċaħħad lill-Italja l-ispazju fiskali li tenħtieġ biex tistabbilizza l-ekonomija tagħha, f’każ ta’ xokkijiet makroekonomiċi. Huwa jirrappreżenta wkoll il-piż interġenerazzjonali fuq il-livell tal-għajxien tal-ġenerazzjonijiet futuri Taljan. Il-fatt li l-ispejjeż tas-servizz tad-dejn jassorbu ammont konsiderevolment ikbar mir-riżorsi pubbliċi fl-Italja milli fil-bqija taż-żona tal-euro jħalli wkoll effett fuq l-infiq produttiv tal-pajjiż: L-infiq tal-imgħax tal-Italja fl-2017 kien madwar EUR 65.5 biljun jew 3,8 % tal-PDG, jiġifieri ġeneralment l-istess ammont ta’ riżorsi pubbliċi bħalma jkunu allokati għall-edukazzjoni. Barra minn hekk, dejn pubbliku għoli, fin-nuqqas ta’ politiki fiskali prudenti, jesponi lill-pajjiż għal xokkijiet fuq ir-rendimenti sovrani bħala riżultat ta’ nuqqas ta’ fiduċja fis-swieq, b’impatt negattiv kemm fuq il-kont tal-imgħax imħallas mill-pajjiż kif ukoll l-ispiża ġenerali tal-finanzjament għall-ekonomija reali, li b’riżultat ta’ dan, ikollu impatt negattiv fuq it-tkabbir. Id-dejn pubbliku għoli tal-Italja jirrappreżenta vulnerabbiltà sinifikanti għall-ekonomija Taljana u mingħajr dubju t-tnaqqis tiegħu jenħtieġ li jibqa’ prijorità fl-aħjar interess tal-Italja. </w:t>
      </w:r>
    </w:p>
    <w:p>
      <w:pPr>
        <w:autoSpaceDE w:val="0"/>
        <w:autoSpaceDN w:val="0"/>
        <w:spacing w:before="120" w:after="120"/>
        <w:rPr>
          <w:noProof/>
        </w:rPr>
      </w:pPr>
      <w:r>
        <w:rPr>
          <w:noProof/>
        </w:rPr>
        <w:t>Fit-23 ta’ Mejju 2018, il-Kummissjoni ħarġet rapport skont l-Artikolu 126(3) tat-TFUE</w:t>
      </w:r>
      <w:r>
        <w:rPr>
          <w:rStyle w:val="FootnoteReference"/>
          <w:noProof/>
          <w:sz w:val="24"/>
        </w:rPr>
        <w:footnoteReference w:id="28"/>
      </w:r>
      <w:r>
        <w:rPr>
          <w:noProof/>
        </w:rPr>
        <w:t xml:space="preserve">, minħabba li l-Italja ma għamlitx biżżejjed progress fil-konformità mal-kriterju tad-dejn fl-2017. Ir-rapport ikkonkluda li l-kriterju tad-dejn jenħtieġ li jiġi kkunsidrat bħala konformi f’dak iż-żmien, wara li tqieset b’mod partikolari l-konformità tal-Italja mal-parti preventiva. </w:t>
      </w:r>
    </w:p>
    <w:p>
      <w:pPr>
        <w:autoSpaceDE w:val="0"/>
        <w:autoSpaceDN w:val="0"/>
        <w:spacing w:before="120" w:after="120"/>
        <w:rPr>
          <w:noProof/>
        </w:rPr>
      </w:pPr>
      <w:r>
        <w:rPr>
          <w:noProof/>
        </w:rPr>
        <w:t>Madankollu, il-pjanijiet fiskali tal-Italja għall-2019 jirrappreżentaw bidla materjali fil-fatturi rilevanti analizzati mill-Kummissjoni f’Mejju li għadda. B’mod partikolari, fl-abbozz ta’ pjan baġitarju għall-2019 tagħha, l-Italja ppjanat deterjorament kbir fil-bilanċ strutturali għall-2019, fl-ordni ta’ 0,9 % tal-PDG, filwaqt li l-Kunsill kien irrakkomanda li l-Italja jenħtieġ li ttejjeb il-bilanċ strutturali tagħha mill-anqas b’ 0,6 % tal-PDG. Għalhekk, fit-23 ta’ Ottubru 2018, il-Kummissjoni adottat Opinjoni</w:t>
      </w:r>
      <w:r>
        <w:rPr>
          <w:rStyle w:val="FootnoteReference"/>
          <w:noProof/>
          <w:sz w:val="24"/>
        </w:rPr>
        <w:footnoteReference w:id="29"/>
      </w:r>
      <w:r>
        <w:rPr>
          <w:noProof/>
        </w:rPr>
        <w:t xml:space="preserve"> dwar l-abbozz ta’ pjan baġitarju tal-Italja għall-2019, li identifikat nuqqas partikolarment serju ta’ konformità mar-rakkomandazzjoni fiskali indirizzat lill-Italja mill-Kunsill fit-13 ta’ Lulju 2018 u talbet sottomissjoni mill-ġdid ta’ abbozz ta’ pjan baġitarju rivedut. Fit-13 ta’ Novembru 2018, l-Italja ressqet abbozz kemxejn rivedut ta’ pjan baġitarju, li l-miri fiskali tiegħu madankollu baqgħu l-istess meta mqabblin mal-verżjoni oriġinali, inkluż id-deterjorament strutturali sinifikanti previst għall-2019. </w:t>
      </w:r>
    </w:p>
    <w:p>
      <w:pPr>
        <w:autoSpaceDE w:val="0"/>
        <w:autoSpaceDN w:val="0"/>
        <w:spacing w:before="120" w:after="120"/>
        <w:rPr>
          <w:noProof/>
        </w:rPr>
      </w:pPr>
      <w:r>
        <w:rPr>
          <w:noProof/>
        </w:rPr>
        <w:t xml:space="preserve">Fil-21 ta’ Novembru 2018, il-Kummissjoni adottat l-Opinjoni tagħha dwar l-abbozz ta’ pjan baġitarju rivedut tal-Italja għall-2019 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, li tikkonferma r-riskju ta’ devjazzjoni sinifikanti mill-perkors ta’ aġġustament għall-objettiv baġitarju ta’ terminu medju rrakkomandat mill-Kunsill għall-2018 u n-nuqqas ta’ konformità partikolarment serju mar-rakkomandazzjoni fiskali għall-2019 abbażi ta’ kemm il-pjanijiet tal-gvern kif ukoll it-tbassir tal-ħarifa 2018 tal-Kummissjoni. Din il-konklużjoni tiġġustifika valutazzjoni ġdida mill-Kummissjoni tan-nuqqas ta’ konformità </w:t>
      </w:r>
      <w:r>
        <w:rPr>
          <w:i/>
          <w:noProof/>
        </w:rPr>
        <w:t>prima facie</w:t>
      </w:r>
      <w:r>
        <w:rPr>
          <w:noProof/>
        </w:rPr>
        <w:t xml:space="preserve"> tal-Italja mal-kriterju tad-dejn fl-2017.</w:t>
      </w:r>
    </w:p>
    <w:p>
      <w:pPr>
        <w:spacing w:before="120" w:after="120"/>
        <w:rPr>
          <w:noProof/>
        </w:rPr>
      </w:pPr>
      <w:r>
        <w:rPr>
          <w:noProof/>
        </w:rPr>
        <w:t xml:space="preserve">Fil-fatt, id-dejn gross ġenerali tal-gvern tal-Italja laħaq 131,2 % tal-PDG fl-2017, li kien ferm ogħla mill-punt ta' riferiment ta’ 60 % tal-PDG tat-Trattat, u l-Italja ma kinitx konformi mal-punt ta’ riferiment tat-tnaqqis tad-dejn fl-2017 abbażi ta’ </w:t>
      </w:r>
      <w:r>
        <w:rPr>
          <w:i/>
          <w:noProof/>
        </w:rPr>
        <w:t xml:space="preserve">data </w:t>
      </w:r>
      <w:r>
        <w:rPr>
          <w:noProof/>
        </w:rPr>
        <w:t xml:space="preserve">dwar l-eżitu tal-baġit. Barra minn hekk, mhuwiex previst li l-Italja li tikkonforma mal-punt ta’ riferiment tat-tnaqqis tad-dejn la fl-2018 u lanqas fl-2019, abbażi ta’ kemm il-pjanijiet tal-Gvern kif ukoll it-tbassir tal-ħarifa 2018 tal-Kummissjoni. Dan jissuġġerixxi b’mod ċar li, qabel ma jiġu kkunsidrati l-fatturi rilevanti kollha, il-kriterju tad-dejn kif definit fit-Trattat ma jidhirx li qed jiġi ssodisfat </w:t>
      </w:r>
      <w:r>
        <w:rPr>
          <w:i/>
          <w:noProof/>
        </w:rPr>
        <w:t>prima facie</w:t>
      </w:r>
      <w:r>
        <w:rPr>
          <w:noProof/>
        </w:rPr>
        <w:t xml:space="preserve"> mill-Italja. </w:t>
      </w:r>
      <w:r>
        <w:rPr>
          <w:noProof/>
          <w:color w:val="000000"/>
        </w:rPr>
        <w:t xml:space="preserve">B’konformità mat-Trattat, dan ir-rapport jeżamina l-fatturi rilevanti. </w:t>
      </w:r>
    </w:p>
    <w:p>
      <w:pPr>
        <w:rPr>
          <w:noProof/>
        </w:rPr>
      </w:pPr>
      <w:r>
        <w:rPr>
          <w:noProof/>
        </w:rPr>
        <w:t>B’mod partikolari, filwaqt li l-Italja kienet ivvalutata li għamlet xi progress biex tindirizza r-Rakkomandazzjonijiet Speċifiċi għall-Pajjiżi tal-2017 mitlub minnha mill-Kunsill, il-miżuri inklużi fl-abbozz ta’ pjan baġitarju rivedut għall-2019 jindikaw riskju ta’ pass lura fuq ir-riformi adottati f’konformità mar-Rakkomandazzjonijiet Speċifiċi għall-Pajjiż tal-passat, kif ukoll rigward aspetti fiskali strutturali tal-aħħar rakkomandazzjonijiet indirizzati lill-Italja mill-Kunsill. Fost oħrajn, filwaqt li l-Kunsill irrakkomanda li l-Italja jenħtieġ li tnaqqas is-sehem tal-pensjonijiet tax-xjuħija fl-infiq pubbliku tagħha sabiex jinħoloq spazju għal infiq soċjali oħra, il-possibbiltà għal irtirar kmieni li ġiet introdotta riċentement tmur lura rigward ir-riformi tal-pensjonijiet preċedenti li jirfdu s-sostenibbiltà fit-tul tad-dejn pubbliku mdaqqas tal-Italja. Barra minn hekk, l-introduzzjoni ta’ amnestija tat-taxxa tista’ tiskoraġġixxi l-konformità mat-taxxa. B’mod ġenerali, l-abbozz ta’ pjan baġitarju rivedut għall-2019 ma jipprevedix miżuri effettivi biex jiġi indirizzat it-tkabbir potenzjali kajman tal-Italja u, b’mod partikolari, l-istaġnar tagħha fit-tul tal-produttività. B’mod partikolari, il-possibbiltà għal irtirar bikri jista’ jkollha impatt negattiv fuq il-provvista tal-ħaddiema. Barra minn hekk, il-miżuri ġodda li ġew introdotti riċentement li jżidu t-tassazzjoni fuq il-banek, flimkien mal-impatt ta’ żieda fir-rendimenti sovrani jistgħu jfixklu l-provvista tal-kreditu. Abbażi ta’ dan, l-impatt tat-tkabbir tal-miżuri ta’ politika li fuqhom jibbaża l-abbozz ta’ pjan baġitarju għall-2019 jista’ jkun iżgħar milli previst mill-gvern anki fuq perjodu ta’ żmien qasir.</w:t>
      </w:r>
    </w:p>
    <w:p>
      <w:pPr>
        <w:spacing w:before="120" w:after="120"/>
        <w:rPr>
          <w:noProof/>
        </w:rPr>
      </w:pPr>
      <w:r>
        <w:rPr>
          <w:noProof/>
        </w:rPr>
        <w:t xml:space="preserve">Fl-aħħar nett, filwaqt li l-valutazzjoni </w:t>
      </w:r>
      <w:r>
        <w:rPr>
          <w:i/>
          <w:noProof/>
        </w:rPr>
        <w:t>ex-post</w:t>
      </w:r>
      <w:r>
        <w:rPr>
          <w:noProof/>
        </w:rPr>
        <w:t xml:space="preserve"> tal-konformità tal-Italja mal-parti preventiva li saret f’Mejju 2018 kienet tindika konformità wiesgħa mal-perkors ta’ aġġustament irrakkomandat lejn l-OTM fl-2017, ladarba titqies il-flessibbiltà mogħtija mill-Kummissjoni għal ċirkostanzi mhux tas-soltu, valutazzjoni ġenerali abbażi ta’ kemm il-pjanijiet tal-gvern kif ukoll it-tbassir tal-ħarifa 2018 tal-Kummissjoni juri li hemm riskju ta’ devjazzjoni sinifikanti mill-perkors ta’ aġġustament għall-objettiv baġitarju ta’ terminu medju rrakkomandat mill-Kunsill għall-2018 u nuqqas ta’ konformità partikolarment serju għall-2019. Din il-konklużjoni ma tinbidilx, anki jekk l-impatt baġitarju (madwar 0,2 % tal-PDG) tal-programm straordinarju ta’ manutenzjoni tan-netwerk tat-toroq u l-konnessjonijiet wara li waqa’ l-pont Morandi f’Ġenova u ta’ pjan preventiv biex jiġu limitati r-riskji idroġeoloġiċi l-kundizzjonijiet avversi tat-temp ġew ikkunsidrati, għall-finijiet tal-Artikolu 5(1) u l-Artikolu 6(3) tar-Regolament (KE) Nru 1466/97, bħala ċirkostanzi mhux tas-soltu barra mill-kontroll tal-gvern u jitnaqqas mir-rekwiżit tal-parti preventiva tal-Patt ta’ Stabbiltà u Tkabbir.</w:t>
      </w:r>
    </w:p>
    <w:p>
      <w:pPr>
        <w:pStyle w:val="ListParagraph"/>
        <w:spacing w:before="120" w:after="120"/>
        <w:ind w:left="0"/>
        <w:contextualSpacing/>
        <w:rPr>
          <w:noProof/>
        </w:rPr>
      </w:pPr>
      <w:r>
        <w:rPr>
          <w:rFonts w:hAnsi="Calibri"/>
          <w:i/>
          <w:noProof/>
          <w:sz w:val="24"/>
        </w:rPr>
        <w:t>L-anali</w:t>
      </w:r>
      <w:r>
        <w:rPr>
          <w:rFonts w:hAnsi="Calibri"/>
          <w:i/>
          <w:noProof/>
          <w:sz w:val="24"/>
        </w:rPr>
        <w:t>ż</w:t>
      </w:r>
      <w:r>
        <w:rPr>
          <w:rFonts w:hAnsi="Calibri"/>
          <w:i/>
          <w:noProof/>
          <w:sz w:val="24"/>
        </w:rPr>
        <w:t>i ppre</w:t>
      </w:r>
      <w:r>
        <w:rPr>
          <w:rFonts w:hAnsi="Calibri"/>
          <w:i/>
          <w:noProof/>
          <w:sz w:val="24"/>
        </w:rPr>
        <w:t>ż</w:t>
      </w:r>
      <w:r>
        <w:rPr>
          <w:rFonts w:hAnsi="Calibri"/>
          <w:i/>
          <w:noProof/>
          <w:sz w:val="24"/>
        </w:rPr>
        <w:t>entata f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>dan ir-rapport tinkludi l-valutazzjoni tal-fatturi rilevanti kollha u b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>mod partikolari: (i) il-fatt li l-kundizzjonijiet makroekonomi</w:t>
      </w:r>
      <w:r>
        <w:rPr>
          <w:rFonts w:hAnsi="Calibri"/>
          <w:i/>
          <w:noProof/>
          <w:sz w:val="24"/>
        </w:rPr>
        <w:t>ċ</w:t>
      </w:r>
      <w:r>
        <w:rPr>
          <w:rFonts w:hAnsi="Calibri"/>
          <w:i/>
          <w:noProof/>
          <w:sz w:val="24"/>
        </w:rPr>
        <w:t xml:space="preserve">i minkejja l-fatt li r-riskji negattivi </w:t>
      </w:r>
      <w:r>
        <w:rPr>
          <w:rFonts w:hAnsi="Calibri"/>
          <w:i/>
          <w:noProof/>
          <w:sz w:val="24"/>
        </w:rPr>
        <w:t>ż</w:t>
      </w:r>
      <w:r>
        <w:rPr>
          <w:rFonts w:hAnsi="Calibri"/>
          <w:i/>
          <w:noProof/>
          <w:sz w:val="24"/>
        </w:rPr>
        <w:t>diedu ri</w:t>
      </w:r>
      <w:r>
        <w:rPr>
          <w:rFonts w:hAnsi="Calibri"/>
          <w:i/>
          <w:noProof/>
          <w:sz w:val="24"/>
        </w:rPr>
        <w:t>ċ</w:t>
      </w:r>
      <w:r>
        <w:rPr>
          <w:rFonts w:hAnsi="Calibri"/>
          <w:i/>
          <w:noProof/>
          <w:sz w:val="24"/>
        </w:rPr>
        <w:t>entement, ma jistax jintu</w:t>
      </w:r>
      <w:r>
        <w:rPr>
          <w:rFonts w:hAnsi="Calibri"/>
          <w:i/>
          <w:noProof/>
          <w:sz w:val="24"/>
        </w:rPr>
        <w:t>ż</w:t>
      </w:r>
      <w:r>
        <w:rPr>
          <w:rFonts w:hAnsi="Calibri"/>
          <w:i/>
          <w:noProof/>
          <w:sz w:val="24"/>
        </w:rPr>
        <w:t>a b</w:t>
      </w:r>
      <w:r>
        <w:rPr>
          <w:rFonts w:hAnsi="Calibri"/>
          <w:i/>
          <w:noProof/>
          <w:sz w:val="24"/>
        </w:rPr>
        <w:t>ħ</w:t>
      </w:r>
      <w:r>
        <w:rPr>
          <w:rFonts w:hAnsi="Calibri"/>
          <w:i/>
          <w:noProof/>
          <w:sz w:val="24"/>
        </w:rPr>
        <w:t>ala argument biex ji</w:t>
      </w:r>
      <w:r>
        <w:rPr>
          <w:rFonts w:hAnsi="Calibri"/>
          <w:i/>
          <w:noProof/>
          <w:sz w:val="24"/>
        </w:rPr>
        <w:t>ġ</w:t>
      </w:r>
      <w:r>
        <w:rPr>
          <w:rFonts w:hAnsi="Calibri"/>
          <w:i/>
          <w:noProof/>
          <w:sz w:val="24"/>
        </w:rPr>
        <w:t>u spjegati d-differenzi kbar tal-Italja lejn konformit</w:t>
      </w:r>
      <w:r>
        <w:rPr>
          <w:rFonts w:hAnsi="Calibri"/>
          <w:i/>
          <w:noProof/>
          <w:sz w:val="24"/>
        </w:rPr>
        <w:t>à</w:t>
      </w:r>
      <w:r>
        <w:rPr>
          <w:rFonts w:hAnsi="Calibri"/>
          <w:i/>
          <w:noProof/>
          <w:sz w:val="24"/>
        </w:rPr>
        <w:t xml:space="preserve"> mal-punt ta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 xml:space="preserve"> riferiment g</w:t>
      </w:r>
      <w:r>
        <w:rPr>
          <w:rFonts w:hAnsi="Calibri"/>
          <w:i/>
          <w:noProof/>
          <w:sz w:val="24"/>
        </w:rPr>
        <w:t>ħ</w:t>
      </w:r>
      <w:r>
        <w:rPr>
          <w:rFonts w:hAnsi="Calibri"/>
          <w:i/>
          <w:noProof/>
          <w:sz w:val="24"/>
        </w:rPr>
        <w:t>at-tnaqqis tad-dejn, fl-isfond ta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 xml:space="preserve"> tkabbir nominali tal-PDG og</w:t>
      </w:r>
      <w:r>
        <w:rPr>
          <w:rFonts w:hAnsi="Calibri"/>
          <w:i/>
          <w:noProof/>
          <w:sz w:val="24"/>
        </w:rPr>
        <w:t>ħ</w:t>
      </w:r>
      <w:r>
        <w:rPr>
          <w:rFonts w:hAnsi="Calibri"/>
          <w:i/>
          <w:noProof/>
          <w:sz w:val="24"/>
        </w:rPr>
        <w:t>la minn 2</w:t>
      </w:r>
      <w:r>
        <w:rPr>
          <w:rFonts w:hAnsi="Calibri"/>
          <w:i/>
          <w:noProof/>
          <w:sz w:val="24"/>
        </w:rPr>
        <w:t> </w:t>
      </w:r>
      <w:r>
        <w:rPr>
          <w:rFonts w:hAnsi="Calibri"/>
          <w:i/>
          <w:noProof/>
          <w:sz w:val="24"/>
        </w:rPr>
        <w:t>% mill-2016; (ii) il-fatt li l-pjanijiet tal-gvern jimplikaw pass lura fuq ir-riformi strutturali li jsa</w:t>
      </w:r>
      <w:r>
        <w:rPr>
          <w:rFonts w:hAnsi="Calibri"/>
          <w:i/>
          <w:noProof/>
          <w:sz w:val="24"/>
        </w:rPr>
        <w:t>ħħ</w:t>
      </w:r>
      <w:r>
        <w:rPr>
          <w:rFonts w:hAnsi="Calibri"/>
          <w:i/>
          <w:noProof/>
          <w:sz w:val="24"/>
        </w:rPr>
        <w:t>u t-tkabbir, b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>mod partikolari r-riformi tal-pensjonijiet tal-passat; u fuq kollox (iii) ir-riskju identifikat ta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 xml:space="preserve"> devjazzjoni sinifikanti mill-perkors ta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 xml:space="preserve"> a</w:t>
      </w:r>
      <w:r>
        <w:rPr>
          <w:rFonts w:hAnsi="Calibri"/>
          <w:i/>
          <w:noProof/>
          <w:sz w:val="24"/>
        </w:rPr>
        <w:t>ġġ</w:t>
      </w:r>
      <w:r>
        <w:rPr>
          <w:rFonts w:hAnsi="Calibri"/>
          <w:i/>
          <w:noProof/>
          <w:sz w:val="24"/>
        </w:rPr>
        <w:t>ustament irrakkomandat g</w:t>
      </w:r>
      <w:r>
        <w:rPr>
          <w:rFonts w:hAnsi="Calibri"/>
          <w:i/>
          <w:noProof/>
          <w:sz w:val="24"/>
        </w:rPr>
        <w:t>ħ</w:t>
      </w:r>
      <w:r>
        <w:rPr>
          <w:rFonts w:hAnsi="Calibri"/>
          <w:i/>
          <w:noProof/>
          <w:sz w:val="24"/>
        </w:rPr>
        <w:t>all-objettiv ba</w:t>
      </w:r>
      <w:r>
        <w:rPr>
          <w:rFonts w:hAnsi="Calibri"/>
          <w:i/>
          <w:noProof/>
          <w:sz w:val="24"/>
        </w:rPr>
        <w:t>ġ</w:t>
      </w:r>
      <w:r>
        <w:rPr>
          <w:rFonts w:hAnsi="Calibri"/>
          <w:i/>
          <w:noProof/>
          <w:sz w:val="24"/>
        </w:rPr>
        <w:t>itarju fuq terminu medju fl-2018 u n-nuqqas ta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 xml:space="preserve"> konformit</w:t>
      </w:r>
      <w:r>
        <w:rPr>
          <w:rFonts w:hAnsi="Calibri"/>
          <w:i/>
          <w:noProof/>
          <w:sz w:val="24"/>
        </w:rPr>
        <w:t>à</w:t>
      </w:r>
      <w:r>
        <w:rPr>
          <w:rFonts w:hAnsi="Calibri"/>
          <w:i/>
          <w:noProof/>
          <w:sz w:val="24"/>
        </w:rPr>
        <w:t xml:space="preserve"> partikolarment serju g</w:t>
      </w:r>
      <w:r>
        <w:rPr>
          <w:rFonts w:hAnsi="Calibri"/>
          <w:i/>
          <w:noProof/>
          <w:sz w:val="24"/>
        </w:rPr>
        <w:t>ħ</w:t>
      </w:r>
      <w:r>
        <w:rPr>
          <w:rFonts w:hAnsi="Calibri"/>
          <w:i/>
          <w:noProof/>
          <w:sz w:val="24"/>
        </w:rPr>
        <w:t>all-2019 mar-rakkomandazzjoni indirizzata lill-Italja mill-Kunsill fit-13 ta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 xml:space="preserve"> Lulju 2018, abba</w:t>
      </w:r>
      <w:r>
        <w:rPr>
          <w:rFonts w:hAnsi="Calibri"/>
          <w:i/>
          <w:noProof/>
          <w:sz w:val="24"/>
        </w:rPr>
        <w:t>ż</w:t>
      </w:r>
      <w:r>
        <w:rPr>
          <w:rFonts w:hAnsi="Calibri"/>
          <w:i/>
          <w:noProof/>
          <w:sz w:val="24"/>
        </w:rPr>
        <w:t>i ta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 xml:space="preserve"> kemm il-pjanijiet tal-gvern kif ukoll it-tbassir tal-</w:t>
      </w:r>
      <w:r>
        <w:rPr>
          <w:rFonts w:hAnsi="Calibri"/>
          <w:i/>
          <w:noProof/>
          <w:sz w:val="24"/>
        </w:rPr>
        <w:t>ħ</w:t>
      </w:r>
      <w:r>
        <w:rPr>
          <w:rFonts w:hAnsi="Calibri"/>
          <w:i/>
          <w:noProof/>
          <w:sz w:val="24"/>
        </w:rPr>
        <w:t>arifa 2018 tal-Kummissjoni. B</w:t>
      </w:r>
      <w:r>
        <w:rPr>
          <w:rFonts w:hAnsi="Calibri"/>
          <w:i/>
          <w:noProof/>
          <w:sz w:val="24"/>
        </w:rPr>
        <w:t>’</w:t>
      </w:r>
      <w:r>
        <w:rPr>
          <w:rFonts w:hAnsi="Calibri"/>
          <w:i/>
          <w:noProof/>
          <w:sz w:val="24"/>
        </w:rPr>
        <w:t xml:space="preserve">mod </w:t>
      </w:r>
      <w:r>
        <w:rPr>
          <w:rFonts w:hAnsi="Calibri"/>
          <w:i/>
          <w:noProof/>
          <w:sz w:val="24"/>
        </w:rPr>
        <w:t>ġ</w:t>
      </w:r>
      <w:r>
        <w:rPr>
          <w:rFonts w:hAnsi="Calibri"/>
          <w:i/>
          <w:noProof/>
          <w:sz w:val="24"/>
        </w:rPr>
        <w:t>enerali, l-anali</w:t>
      </w:r>
      <w:r>
        <w:rPr>
          <w:rFonts w:hAnsi="Calibri"/>
          <w:i/>
          <w:noProof/>
          <w:sz w:val="24"/>
        </w:rPr>
        <w:t>ż</w:t>
      </w:r>
      <w:r>
        <w:rPr>
          <w:rFonts w:hAnsi="Calibri"/>
          <w:i/>
          <w:noProof/>
          <w:sz w:val="24"/>
        </w:rPr>
        <w:t>i tissu</w:t>
      </w:r>
      <w:r>
        <w:rPr>
          <w:rFonts w:hAnsi="Calibri"/>
          <w:i/>
          <w:noProof/>
          <w:sz w:val="24"/>
        </w:rPr>
        <w:t>ġġ</w:t>
      </w:r>
      <w:r>
        <w:rPr>
          <w:rFonts w:hAnsi="Calibri"/>
          <w:i/>
          <w:noProof/>
          <w:sz w:val="24"/>
        </w:rPr>
        <w:t>erixxi li l-kriterju tad-dejn kif definit fit-Trattat u fir-Regolament (KE) Nru</w:t>
      </w:r>
      <w:r>
        <w:rPr>
          <w:rFonts w:hAnsi="Calibri"/>
          <w:i/>
          <w:noProof/>
          <w:sz w:val="24"/>
        </w:rPr>
        <w:t> </w:t>
      </w:r>
      <w:r>
        <w:rPr>
          <w:rFonts w:hAnsi="Calibri"/>
          <w:i/>
          <w:noProof/>
          <w:sz w:val="24"/>
        </w:rPr>
        <w:t>1467/1997 jen</w:t>
      </w:r>
      <w:r>
        <w:rPr>
          <w:rFonts w:hAnsi="Calibri"/>
          <w:i/>
          <w:noProof/>
          <w:sz w:val="24"/>
        </w:rPr>
        <w:t>ħ</w:t>
      </w:r>
      <w:r>
        <w:rPr>
          <w:rFonts w:hAnsi="Calibri"/>
          <w:i/>
          <w:noProof/>
          <w:sz w:val="24"/>
        </w:rPr>
        <w:t>tie</w:t>
      </w:r>
      <w:r>
        <w:rPr>
          <w:rFonts w:hAnsi="Calibri"/>
          <w:i/>
          <w:noProof/>
          <w:sz w:val="24"/>
        </w:rPr>
        <w:t>ġ</w:t>
      </w:r>
      <w:r>
        <w:rPr>
          <w:rFonts w:hAnsi="Calibri"/>
          <w:i/>
          <w:noProof/>
          <w:sz w:val="24"/>
        </w:rPr>
        <w:t xml:space="preserve"> li jitqies li ma </w:t>
      </w:r>
      <w:r>
        <w:rPr>
          <w:rFonts w:hAnsi="Calibri"/>
          <w:i/>
          <w:noProof/>
          <w:sz w:val="24"/>
        </w:rPr>
        <w:t>ġ</w:t>
      </w:r>
      <w:r>
        <w:rPr>
          <w:rFonts w:hAnsi="Calibri"/>
          <w:i/>
          <w:noProof/>
          <w:sz w:val="24"/>
        </w:rPr>
        <w:t>iex issodisfat, u li pro</w:t>
      </w:r>
      <w:r>
        <w:rPr>
          <w:rFonts w:hAnsi="Calibri"/>
          <w:i/>
          <w:noProof/>
          <w:sz w:val="24"/>
        </w:rPr>
        <w:t>ċ</w:t>
      </w:r>
      <w:r>
        <w:rPr>
          <w:rFonts w:hAnsi="Calibri"/>
          <w:i/>
          <w:noProof/>
          <w:sz w:val="24"/>
        </w:rPr>
        <w:t>edura ta' defi</w:t>
      </w:r>
      <w:r>
        <w:rPr>
          <w:rFonts w:hAnsi="Calibri"/>
          <w:i/>
          <w:noProof/>
          <w:sz w:val="24"/>
        </w:rPr>
        <w:t>ċ</w:t>
      </w:r>
      <w:r>
        <w:rPr>
          <w:rFonts w:hAnsi="Calibri"/>
          <w:i/>
          <w:noProof/>
          <w:sz w:val="24"/>
        </w:rPr>
        <w:t>it e</w:t>
      </w:r>
      <w:r>
        <w:rPr>
          <w:rFonts w:hAnsi="Calibri"/>
          <w:i/>
          <w:noProof/>
          <w:sz w:val="24"/>
        </w:rPr>
        <w:t>ċċ</w:t>
      </w:r>
      <w:r>
        <w:rPr>
          <w:rFonts w:hAnsi="Calibri"/>
          <w:i/>
          <w:noProof/>
          <w:sz w:val="24"/>
        </w:rPr>
        <w:t>essiv ibba</w:t>
      </w:r>
      <w:r>
        <w:rPr>
          <w:rFonts w:hAnsi="Calibri"/>
          <w:i/>
          <w:noProof/>
          <w:sz w:val="24"/>
        </w:rPr>
        <w:t>ż</w:t>
      </w:r>
      <w:r>
        <w:rPr>
          <w:rFonts w:hAnsi="Calibri"/>
          <w:i/>
          <w:noProof/>
          <w:sz w:val="24"/>
        </w:rPr>
        <w:t>ata fuq id-dejn hija g</w:t>
      </w:r>
      <w:r>
        <w:rPr>
          <w:rFonts w:hAnsi="Calibri"/>
          <w:i/>
          <w:noProof/>
          <w:sz w:val="24"/>
        </w:rPr>
        <w:t>ħ</w:t>
      </w:r>
      <w:r>
        <w:rPr>
          <w:rFonts w:hAnsi="Calibri"/>
          <w:i/>
          <w:noProof/>
          <w:sz w:val="24"/>
        </w:rPr>
        <w:t xml:space="preserve">alhekk </w:t>
      </w:r>
      <w:r>
        <w:rPr>
          <w:rFonts w:hAnsi="Calibri"/>
          <w:i/>
          <w:noProof/>
          <w:sz w:val="24"/>
        </w:rPr>
        <w:t>ġ</w:t>
      </w:r>
      <w:r>
        <w:rPr>
          <w:rFonts w:hAnsi="Calibri"/>
          <w:i/>
          <w:noProof/>
          <w:sz w:val="24"/>
        </w:rPr>
        <w:t>ustifikata.</w:t>
      </w: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360"/>
      <w:jc w:val="left"/>
      <w:rPr>
        <w:rFonts w:hAnsi="Calibri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360"/>
      <w:jc w:val="center"/>
      <w:rPr>
        <w:rFonts w:hAnsi="Calibri"/>
        <w:sz w:val="24"/>
        <w:szCs w:val="24"/>
      </w:rPr>
    </w:pPr>
    <w:r>
      <w:rPr>
        <w:rFonts w:hAnsi="Calibri"/>
        <w:sz w:val="24"/>
        <w:szCs w:val="24"/>
      </w:rPr>
      <w:fldChar w:fldCharType="begin"/>
    </w:r>
    <w:r>
      <w:instrText>PAGE  \* MERGEFORMAT</w:instrText>
    </w:r>
    <w:r>
      <w:fldChar w:fldCharType="separate"/>
    </w:r>
    <w:r>
      <w:rPr>
        <w:rFonts w:hAnsi="Calibri"/>
        <w:noProof/>
        <w:sz w:val="24"/>
        <w:szCs w:val="24"/>
      </w:rPr>
      <w:t>1</w:t>
    </w:r>
    <w:r>
      <w:rPr>
        <w:rFonts w:hAnsi="Calibri"/>
        <w:sz w:val="24"/>
        <w:szCs w:val="24"/>
      </w:rPr>
      <w:fldChar w:fldCharType="end"/>
    </w:r>
  </w:p>
  <w:p>
    <w:pPr>
      <w:pStyle w:val="Footer"/>
      <w:spacing w:before="360"/>
      <w:jc w:val="left"/>
      <w:rPr>
        <w:rFonts w:hAnsi="Calibri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360"/>
      <w:jc w:val="left"/>
      <w:rPr>
        <w:rFonts w:hAnsi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ind w:left="142" w:hanging="142"/>
      </w:pPr>
      <w:r>
        <w:rPr>
          <w:vertAlign w:val="superscript"/>
        </w:rPr>
        <w:t>1</w:t>
      </w:r>
      <w:r>
        <w:tab/>
        <w:t>ĠU L 209, 2.8.1997, p. 6. Dan ir-rapport iqis ukoll “</w:t>
      </w:r>
      <w:r>
        <w:rPr>
          <w:i/>
        </w:rPr>
        <w:t>L-ispeċifikazzjonijiet dwar l-implimentazzjoni tal-Patt ta' Stabbiltà u Tkabbir Ekonomiku u l-linji gwida dwar il-format u l-kontenut ta' programmi ta' stabbiltà u konverġenza</w:t>
      </w:r>
      <w:r>
        <w:t xml:space="preserve">", adottati mill-Kumitat Ekonomiku u Finanzjarju fil-15 ta' Mejju 2017, disponibbli hawn: </w:t>
      </w:r>
      <w:hyperlink r:id="rId1">
        <w:r>
          <w:rPr>
            <w:rStyle w:val="Hyperlink"/>
          </w:rPr>
          <w:t>http://data.consilium.europa.eu/doc/document/ST-9344-2017-INIT/mt/pdf</w:t>
        </w:r>
      </w:hyperlink>
      <w:r>
        <w:t xml:space="preserve"> </w:t>
      </w:r>
    </w:p>
  </w:footnote>
  <w:footnote w:id="2">
    <w:p>
      <w:pPr>
        <w:pStyle w:val="FootnoteText"/>
        <w:ind w:left="142" w:hanging="142"/>
      </w:pPr>
      <w:r>
        <w:rPr>
          <w:vertAlign w:val="superscript"/>
        </w:rPr>
        <w:t>2</w:t>
      </w:r>
      <w:r>
        <w:tab/>
        <w:t>Ir-Regolament (UE) Nru 473/2013 tal-Parlament Ewropew u tal-Kunsill dwar dispożizzjonijiet komuni għall-monitoraġġ u l-valutazzjoni tal-abbozzi tal-pjani baġitarji u l-iżgurar tal-korrezzjoni tad-defiċit eċċessiv tal-Istati Membri fiż-żona tal-euro (ĠU L 140, 27.5.2013, p. 11).</w:t>
      </w:r>
    </w:p>
  </w:footnote>
  <w:footnote w:id="3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Ir-Rapport tal-Kummissjoni COM(2018) 428 final tat-23.5.2018. ir-Rapport ta’ Evalwazzjoni prodott skont l-Artikolu 3 tat-Trattat dwar il-Funzjonament tal-Unjoni Ewropea;</w:t>
      </w:r>
    </w:p>
  </w:footnote>
  <w:footnote w:id="4">
    <w:p>
      <w:pPr>
        <w:pStyle w:val="FootnoteText"/>
        <w:ind w:left="142" w:hanging="142"/>
        <w:jc w:val="left"/>
      </w:pPr>
      <w:r>
        <w:rPr>
          <w:rStyle w:val="FootnoteReference"/>
        </w:rPr>
        <w:footnoteRef/>
      </w:r>
      <w:r>
        <w:t xml:space="preserve"> </w:t>
      </w:r>
      <w:hyperlink r:id="rId2">
        <w:r>
          <w:rPr>
            <w:rStyle w:val="Hyperlink"/>
          </w:rPr>
          <w:t>https://ec.europa.eu/info/sites/info/files/economy-finance/2019_dbp_it_en_1.pdf</w:t>
        </w:r>
      </w:hyperlink>
      <w:r>
        <w:t xml:space="preserve"> </w:t>
      </w:r>
    </w:p>
  </w:footnote>
  <w:footnote w:id="5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Il-bilanċ nett aġġustat ċiklikament ta' miżuri ta' darba u temporanji, ikkalkulat mill-ġdid mill-Kummissjoni b'metodoloġija miftiehma b'mod komuni.</w:t>
      </w:r>
    </w:p>
  </w:footnote>
  <w:footnote w:id="6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L-Opinjoni tal-Kummissjoni C (2018) 7510 final, 23.10.2018, dwar l-Abbozz ta’ Pjan Baġitarju tal-Italja u li titlob lill-Italja biex tissottometti verżjoni riveduta tal-Abbozz ta’ Pjan Baġitarju.</w:t>
      </w:r>
    </w:p>
  </w:footnote>
  <w:footnote w:id="7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 xml:space="preserve">Skont ir-Regolament tal-Kunsill (KE) Nru 479/2009, l-Istati Membri jridu jirrappurtaw lill-Kummissjoni, darbtejn fis-sena, il-livelli ppjanati u attwali tagħhom tad-defiċit u d-dejn tal-gvern. L-aktar notifika riċenti tal-Italja tinsab hawn: </w:t>
      </w:r>
      <w:hyperlink r:id="rId3">
        <w:r>
          <w:rPr>
            <w:rStyle w:val="Hyperlink"/>
          </w:rPr>
          <w:t>http://ec.europa.eu/eurostat/web/government-finance-statistics/excessive-deficit-procedure/edp-notification-tables</w:t>
        </w:r>
      </w:hyperlink>
      <w:r>
        <w:t xml:space="preserve"> </w:t>
      </w:r>
    </w:p>
  </w:footnote>
  <w:footnote w:id="8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 xml:space="preserve">Stqarrija għall-Istampa mill-Eurostat Nru 163/2018 tat-22 ta’ Ottubru 2018, disponibbli fuq: </w:t>
      </w:r>
      <w:hyperlink r:id="rId4">
        <w:r>
          <w:rPr>
            <w:rStyle w:val="Hyperlink"/>
          </w:rPr>
          <w:t>https://ec.europa.eu/eurostat/documents/2995521/9328077/2-22102018-AP-EN.pdf/e1b423ef-a337-42ea-90cb-4a6775ba4c07</w:t>
        </w:r>
      </w:hyperlink>
      <w:r>
        <w:t xml:space="preserve">  </w:t>
      </w:r>
      <w:r>
        <w:tab/>
        <w:t xml:space="preserve"> </w:t>
      </w:r>
    </w:p>
  </w:footnote>
  <w:footnote w:id="9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Il-kost tad-dejn impliċitu reali fil-perjodu </w:t>
      </w:r>
      <w:r>
        <w:rPr>
          <w:i/>
        </w:rPr>
        <w:t>t</w:t>
      </w:r>
      <w:r>
        <w:t xml:space="preserve"> jista’ jiġi ddefinit bħala r-rendita nominali mħallsa mill-gvern biex jitħallas id-dejn pendenti fil-perjodu </w:t>
      </w:r>
      <w:r>
        <w:rPr>
          <w:i/>
        </w:rPr>
        <w:t>t-1</w:t>
      </w:r>
      <w:r>
        <w:t xml:space="preserve">, nett mill-impatt tal-inflazzjoni fil-perjodu </w:t>
      </w:r>
      <w:r>
        <w:rPr>
          <w:i/>
        </w:rPr>
        <w:t>t</w:t>
      </w:r>
      <w:r>
        <w:t>. Fit-Tabella 2. it-tibdil annwali fil-proporzjon tad-dejn għall-PDG minħabba l-kost tad-dejn impliċitu reali jista’ jinkiseb billi jiżdiedu l-kontribuzzjonijiet rispettivi min-nefqa tal-imgħax (li żżid id-dejn) u d-deflatur tal-PDG (li jnaqqas id-dejn).</w:t>
      </w:r>
    </w:p>
  </w:footnote>
  <w:footnote w:id="10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Fil-fatt, abbażi tad-</w:t>
      </w:r>
      <w:r>
        <w:rPr>
          <w:i/>
        </w:rPr>
        <w:t>data</w:t>
      </w:r>
      <w:r>
        <w:t xml:space="preserve"> notifikata, l-operazzjonijiet ta’ salvataġġ tal-banek relatati mal-Banca Monte Paschi u taż-żewġ Banek Venezjani kellhom impatt fuq id-dejn bi kważi 1 % tal-PDG u fuq id-defiċit bi kważi 0,4 % tal-PDG.</w:t>
      </w:r>
    </w:p>
  </w:footnote>
  <w:footnote w:id="11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Tranżazzjonijiet minuri oħra li kellhom impatt fuq l-aġġustament bejn il-fondi u l-flussi mhumiex rapportati. Ara wkoll </w:t>
      </w:r>
      <w:r>
        <w:rPr>
          <w:i/>
        </w:rPr>
        <w:t>Rapporto sul Debito Pubblico 2017</w:t>
      </w:r>
      <w:r>
        <w:t xml:space="preserve"> (ir-Rapport dwar id-Dejn Pubbliku għall-2017) tal-Ministeru tal-Ekonomija u l-Finanzi Taljan, fuq: </w:t>
      </w:r>
      <w:hyperlink r:id="rId5">
        <w:r>
          <w:rPr>
            <w:rStyle w:val="Hyperlink"/>
          </w:rPr>
          <w:t>http://www.dt.tesoro.it/export/sites/sitodt/modules/documenti_it/debito_pubblico/presentazioni_studi_relazioni/Rapporto_sul_Debito_Pubblico_2017.pdf</w:t>
        </w:r>
      </w:hyperlink>
      <w:r>
        <w:t xml:space="preserve"> </w:t>
      </w:r>
    </w:p>
  </w:footnote>
  <w:footnote w:id="12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B’mod partikolari, l-effett “valanga” huwa mnaqqas minħabba inflazzjoni ħafna ogħla u nfiq marġinalment aktar baxx fuq l-imgħax.</w:t>
      </w:r>
    </w:p>
  </w:footnote>
  <w:footnote w:id="13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Ara 126 (3) Rapporti COM (2015) 113 final, 27.2.2015; COM(2016) 305 finali, 18.5.2016; kif ukoll COM(2018) 428 final, 23.5.2018.</w:t>
      </w:r>
    </w:p>
  </w:footnote>
  <w:footnote w:id="14">
    <w:p>
      <w:pPr>
        <w:pStyle w:val="FootnoteText"/>
        <w:ind w:left="142" w:hanging="142"/>
        <w:rPr>
          <w:i/>
        </w:rPr>
      </w:pPr>
      <w:r>
        <w:rPr>
          <w:rStyle w:val="FootnoteReference"/>
        </w:rPr>
        <w:footnoteRef/>
      </w:r>
      <w:r>
        <w:t xml:space="preserve"> Ara d-Dokument ta’ Ħidma tal-Persunal tal-Kummissjoni SWD (2018) 210 final, 7.3.2018, “</w:t>
      </w:r>
      <w:r>
        <w:rPr>
          <w:i/>
        </w:rPr>
        <w:t>Country Report Italy 2018. Including an In-Depth Review on the prevention and correction of macroeconomic imbalances” (Rapport tal-Pajjiż l-Italja 2018. Inkluż analiżi fil-fond dwar il-prevenzjoni u l-korrezzjoni tal-iżbilanċi makroekonomiċi”).</w:t>
      </w:r>
    </w:p>
  </w:footnote>
  <w:footnote w:id="15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Ara, pereżempju, Blanchard O. u D. Leigh (2013), fuq </w:t>
      </w:r>
      <w:hyperlink r:id="rId6">
        <w:r>
          <w:rPr>
            <w:rStyle w:val="Hyperlink"/>
          </w:rPr>
          <w:t>www.imf.org/external/pubs/ft/wp/2013/wp1301.pdf</w:t>
        </w:r>
      </w:hyperlink>
      <w:r>
        <w:t xml:space="preserve"> </w:t>
      </w:r>
    </w:p>
  </w:footnote>
  <w:footnote w:id="16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> </w:t>
      </w:r>
      <w:hyperlink r:id="rId7">
        <w:r>
          <w:rPr>
            <w:rStyle w:val="Hyperlink"/>
          </w:rPr>
          <w:t>http://www.dt.mef.gov.it/export/sites/sitodt/modules/documenti_it/analisi_progammazione/documenti_programmatici/def_2018/DEF_2018_-_Sez.3_-_PNR.pdf</w:t>
        </w:r>
      </w:hyperlink>
      <w:r>
        <w:t xml:space="preserve"> </w:t>
      </w:r>
    </w:p>
  </w:footnote>
  <w:footnote w:id="17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Ara “</w:t>
      </w:r>
      <w:r>
        <w:rPr>
          <w:i/>
        </w:rPr>
        <w:t>Rapport tal-Pajjiż - l-Italja 2018</w:t>
      </w:r>
      <w:r>
        <w:t>”. Ibidem.</w:t>
      </w:r>
    </w:p>
  </w:footnote>
  <w:footnote w:id="18">
    <w:p>
      <w:pPr>
        <w:pStyle w:val="FootnoteText"/>
        <w:ind w:left="142" w:hanging="142"/>
        <w:rPr>
          <w:i/>
        </w:rPr>
      </w:pPr>
      <w:r>
        <w:rPr>
          <w:rStyle w:val="FootnoteReference"/>
        </w:rPr>
        <w:footnoteRef/>
      </w:r>
      <w:r>
        <w:t xml:space="preserve"> Ara l-Komunikazzjoni tal-Kummissjoni COM (2018) 120 final, “</w:t>
      </w:r>
      <w:r>
        <w:rPr>
          <w:i/>
        </w:rPr>
        <w:t>Is-Semestru Ewropew 2018: Valutazzjoni tal-progress tar-riformi strutturali, tal-prevenzjoni u tal-korrezzjoni tal-iżbilanċi makroekonomiċi, u r-riżultati tal-analiżijiet fil-fond skont ir-Regolament (UE) Nru 1176/2011</w:t>
      </w:r>
      <w:r>
        <w:t>”.</w:t>
      </w:r>
    </w:p>
  </w:footnote>
  <w:footnote w:id="19">
    <w:p>
      <w:pPr>
        <w:pStyle w:val="FootnoteText"/>
        <w:ind w:left="142" w:hanging="142"/>
        <w:rPr>
          <w:lang w:val="it-IT"/>
        </w:rPr>
      </w:pPr>
      <w:r>
        <w:rPr>
          <w:rStyle w:val="FootnoteReference"/>
        </w:rPr>
        <w:footnoteRef/>
      </w:r>
      <w:r>
        <w:t xml:space="preserve"> Decreto Legge, 23 ta’ Ottubru 2018, nru. 119, </w:t>
      </w:r>
      <w:r>
        <w:rPr>
          <w:i/>
        </w:rPr>
        <w:t>Disposizioni urgenti in materia fiscale e finanziaria</w:t>
      </w:r>
      <w:r>
        <w:t>.</w:t>
      </w:r>
    </w:p>
  </w:footnote>
  <w:footnote w:id="20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Peress li din il-miżura se tiġi implimentata mill-2020, hija biss inkluża fl-abbozz tal-liġi tal-baġit u mhux fl-abbozz ta’ pjan baġitarju rivedut għall-2019.</w:t>
      </w:r>
    </w:p>
  </w:footnote>
  <w:footnote w:id="21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 Jiġifieri, in-nefqa eliġibbli fl-2017 tammonta għal 0,16 % tal-PDG minħabba l-influss eċċezzjonali ta’ refuġjati u 0,19 % tal-PDG li jikkonċerna l-protezzjoni kontra r-riskji siżmiċi. </w:t>
      </w:r>
    </w:p>
  </w:footnote>
  <w:footnote w:id="22">
    <w:p>
      <w:pPr>
        <w:pStyle w:val="FootnoteText"/>
        <w:tabs>
          <w:tab w:val="left" w:pos="1634"/>
        </w:tabs>
        <w:ind w:left="142" w:hanging="142"/>
      </w:pPr>
      <w:r>
        <w:rPr>
          <w:rStyle w:val="FootnoteReference"/>
        </w:rPr>
        <w:footnoteRef/>
      </w:r>
      <w:r>
        <w:t> </w:t>
      </w:r>
      <w:hyperlink r:id="rId8">
        <w:r>
          <w:rPr>
            <w:rStyle w:val="Hyperlink"/>
          </w:rPr>
          <w:t>https://ec.europa.eu/info/sites/info/files/2017-european-semester-country-specific-recommendations-commission-recommendations-communication.pdf</w:t>
        </w:r>
      </w:hyperlink>
      <w:r>
        <w:t xml:space="preserve"> </w:t>
      </w:r>
    </w:p>
  </w:footnote>
  <w:footnote w:id="23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L-indikatur tas-sostenibbiltà fiskali fuq żmien qasir S0 (</w:t>
      </w:r>
      <w:r>
        <w:rPr>
          <w:i/>
        </w:rPr>
        <w:t>indikatur ta’ “identifikazzjoni bikrija” ta’ riskji fiskali fuq terminu qasir, li jirriżultaw minn karatteristiċi fiskali, makrofinanzjarji u ta’ kompetittività tal-ekonomija fuq perjodu ta’ sena, abbażi ta’ firxa ta’ ħamsa u għoxrin fattur varjabbli makrofinanzjarji u fiskali</w:t>
      </w:r>
      <w:r>
        <w:t>) huwa mistenni li jkun taħt il-livell limitu ta’ “riskju għoli” fl-2018 iżda, fi 0,36, jibqa’ fost l-ogħla fl-UE, l-aktar minħabba d-dejn pubbliku għoli ħafna tal-Italja. Barra minn hekk, is-subindiċi fiskali huwa ogħla mil-livell limitu kritiku tagħha.</w:t>
      </w:r>
    </w:p>
  </w:footnote>
  <w:footnote w:id="24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L-indikatur S1 tas-sostenibbiltà fiskali fuq terminu medju juri l-isforz ta’ aġġustament addizzjonali meħtieġ, f’termini ta’ titjib gradwali akkumulat fil-bilanċ primarju strutturali fuq ħames snin (li jibda mill-2021), biex sal-2033 jintlaħaq proporzjon tad-dejn għall-PDG ta’ 60 %, inkluż il-ħlas għal kwalunkwe nefqa addizzjonali futura li tinħoloq minn popolazzjoni li qed tixjieħ.</w:t>
      </w:r>
    </w:p>
  </w:footnote>
  <w:footnote w:id="25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Ara r-Rapport tas-Sostenibbiltà Fiskali tal-2018 tal-Kummissjoni Ewropea li jmiss. Aktar spjegazzjonijiet dwar il-metodoloġija jistgħu jinstabu wkoll fil-Monitoraġġ tas-Sostenibbiltà tad-Dejn tal-Kummissjoni Ewropea tal-2017. </w:t>
      </w:r>
    </w:p>
  </w:footnote>
  <w:footnote w:id="26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L-indikatur S2 tas-sostenibbiltà fiskali fit-tul S2 juri l-aġġustament minn qabel għall-bilanċ primarju strutturali attwali (sussegwentement miżmum kostanti fuq il-valur aġġustat għal dejjem) li huwa meħtieġ biex jiġi stabbilizzat il-proporzjon tad-dejn għall-PDG fuq medda infinita, inkluż il-ħlas ta’ kwalunkwe nefqa addizzjonali li tinħoloq minn popolazzjoni li qed tixjieħ.</w:t>
      </w:r>
    </w:p>
  </w:footnote>
  <w:footnote w:id="27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L-Opinjoni tal-Kummissjoni C (2017) 8019 final, tat-22.11.2017 dwar l-Abbozz ta’ Pjan Baġitarju tal-Italja.</w:t>
      </w:r>
    </w:p>
  </w:footnote>
  <w:footnote w:id="28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Ir-Rapport tal-Kummissjoni COM(2018) 428 final tat-23.5.2018. “L-Italja - Ir-Rapport imħejji prodott skont l-Artikolu 126(3) tat-Trattat dwar il-Funzjonament tal-Unjoni Ewropea”.</w:t>
      </w:r>
    </w:p>
  </w:footnote>
  <w:footnote w:id="29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L-Opinjoni tal-Kummissjoni C (2018) 7510 final, tat-23.10.2018, dwar l-Abbozz ta’ Pjan Baġitarju tal-Italja u t-talba lill-Italja biex tressaq Abbozz ta’ Pjan Baġitarju rivedut.</w:t>
      </w:r>
    </w:p>
  </w:footnote>
  <w:footnote w:id="30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Opinjoni tal-Kummissjoni C (2018) 8030 final, tal-21.11.2018 dwar l-Abbozz ta’ Pjan Baġitarju tal-Italja rivedut.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spacing w:after="120"/>
      <w:rPr>
        <w:rFonts w:hAnsi="Calibri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spacing w:after="120"/>
      <w:rPr>
        <w:rFonts w:hAnsi="Calibri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spacing w:after="120"/>
      <w:rPr>
        <w:rFonts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22E04933"/>
    <w:lvl w:ilvl="0" w:tplc="0DE68FB2">
      <w:start w:val="1"/>
      <w:numFmt w:val="bullet"/>
      <w:lvlText w:val=""/>
      <w:lvlJc w:val="left"/>
      <w:pPr>
        <w:tabs>
          <w:tab w:val="left" w:pos="0"/>
        </w:tabs>
        <w:ind w:firstLine="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9A4C76C">
      <w:start w:val="1"/>
      <w:numFmt w:val="bullet"/>
      <w:lvlText w:val="·"/>
      <w:lvlJc w:val="left"/>
      <w:pPr>
        <w:tabs>
          <w:tab w:val="left" w:pos="720"/>
        </w:tabs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2E92F704">
      <w:start w:val="1"/>
      <w:numFmt w:val="bullet"/>
      <w:lvlText w:val="o"/>
      <w:lvlJc w:val="left"/>
      <w:pPr>
        <w:tabs>
          <w:tab w:val="left" w:pos="1440"/>
        </w:tabs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3" w:tplc="0A2C7C24">
      <w:start w:val="1"/>
      <w:numFmt w:val="bullet"/>
      <w:lvlText w:val="§"/>
      <w:lvlJc w:val="left"/>
      <w:pPr>
        <w:tabs>
          <w:tab w:val="left" w:pos="2160"/>
        </w:tabs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3EA32D2">
      <w:start w:val="1"/>
      <w:numFmt w:val="bullet"/>
      <w:lvlText w:val="ú"/>
      <w:lvlJc w:val="left"/>
      <w:pPr>
        <w:tabs>
          <w:tab w:val="left" w:pos="2880"/>
        </w:tabs>
        <w:ind w:left="32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0129310">
      <w:start w:val="1"/>
      <w:numFmt w:val="bullet"/>
      <w:lvlText w:val="·"/>
      <w:lvlJc w:val="left"/>
      <w:pPr>
        <w:tabs>
          <w:tab w:val="left" w:pos="3600"/>
        </w:tabs>
        <w:ind w:left="39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68CCF614">
      <w:start w:val="1"/>
      <w:numFmt w:val="bullet"/>
      <w:lvlText w:val="o"/>
      <w:lvlJc w:val="left"/>
      <w:pPr>
        <w:tabs>
          <w:tab w:val="left" w:pos="4320"/>
        </w:tabs>
        <w:ind w:left="46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7" w:tplc="F298318E">
      <w:start w:val="1"/>
      <w:numFmt w:val="bullet"/>
      <w:lvlText w:val="§"/>
      <w:lvlJc w:val="left"/>
      <w:pPr>
        <w:tabs>
          <w:tab w:val="left" w:pos="5040"/>
        </w:tabs>
        <w:ind w:left="54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3C068B6">
      <w:start w:val="1"/>
      <w:numFmt w:val="bullet"/>
      <w:lvlText w:val="ú"/>
      <w:lvlJc w:val="left"/>
      <w:pPr>
        <w:tabs>
          <w:tab w:val="left" w:pos="5760"/>
        </w:tabs>
        <w:ind w:left="61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2F000001"/>
    <w:multiLevelType w:val="multilevel"/>
    <w:tmpl w:val="58E5D615"/>
    <w:lvl w:ilvl="0">
      <w:start w:val="1"/>
      <w:numFmt w:val="decimal"/>
      <w:pStyle w:val="ListNumber4"/>
      <w:lvlText w:val="(%1)"/>
      <w:lvlJc w:val="left"/>
      <w:pPr>
        <w:tabs>
          <w:tab w:val="left" w:pos="1560"/>
        </w:tabs>
        <w:ind w:left="1560" w:hanging="709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left" w:pos="2268"/>
        </w:tabs>
        <w:ind w:left="2268" w:hanging="708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bullet"/>
      <w:pStyle w:val="ListNumber4Level3"/>
      <w:lvlText w:val="–"/>
      <w:lvlJc w:val="left"/>
      <w:pPr>
        <w:tabs>
          <w:tab w:val="left" w:pos="2977"/>
        </w:tabs>
        <w:ind w:left="2977" w:hanging="709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>
      <w:start w:val="1"/>
      <w:numFmt w:val="bullet"/>
      <w:pStyle w:val="ListNumber4Level4"/>
      <w:lvlText w:val="·"/>
      <w:lvlJc w:val="left"/>
      <w:pPr>
        <w:tabs>
          <w:tab w:val="left" w:pos="3686"/>
        </w:tabs>
        <w:ind w:left="3686" w:hanging="709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multilevel"/>
    <w:tmpl w:val="3F4A1A65"/>
    <w:lvl w:ilvl="0">
      <w:start w:val="1"/>
      <w:numFmt w:val="decimal"/>
      <w:pStyle w:val="ListNumber3"/>
      <w:lvlText w:val="(%1)"/>
      <w:lvlJc w:val="left"/>
      <w:pPr>
        <w:tabs>
          <w:tab w:val="left" w:pos="1560"/>
        </w:tabs>
        <w:ind w:left="1560" w:hanging="709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left" w:pos="2268"/>
        </w:tabs>
        <w:ind w:left="2268" w:hanging="708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bullet"/>
      <w:pStyle w:val="ListNumber3Level3"/>
      <w:lvlText w:val="–"/>
      <w:lvlJc w:val="left"/>
      <w:pPr>
        <w:tabs>
          <w:tab w:val="left" w:pos="2977"/>
        </w:tabs>
        <w:ind w:left="2977" w:hanging="709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>
      <w:start w:val="1"/>
      <w:numFmt w:val="bullet"/>
      <w:pStyle w:val="ListNumber3Level4"/>
      <w:lvlText w:val="·"/>
      <w:lvlJc w:val="left"/>
      <w:pPr>
        <w:tabs>
          <w:tab w:val="left" w:pos="3686"/>
        </w:tabs>
        <w:ind w:left="3686" w:hanging="709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400AED72"/>
    <w:lvl w:ilvl="0" w:tplc="E76CC258">
      <w:start w:val="1"/>
      <w:numFmt w:val="bullet"/>
      <w:pStyle w:val="ListBullet2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E206FBE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26B073D2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B692A90E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2EC90E4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12A232D8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0188182A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0B07AF6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D2CC89C6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4">
    <w:nsid w:val="2F000004"/>
    <w:multiLevelType w:val="hybridMultilevel"/>
    <w:tmpl w:val="336B0924"/>
    <w:lvl w:ilvl="0" w:tplc="1B2E2CE0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B721586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265C042A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1CE6746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23C41A2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510470E4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6BAE7A1A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AC8C736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F4200402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5">
    <w:nsid w:val="2F000005"/>
    <w:multiLevelType w:val="multilevel"/>
    <w:tmpl w:val="5E2524F4"/>
    <w:lvl w:ilvl="0">
      <w:start w:val="1"/>
      <w:numFmt w:val="decimal"/>
      <w:pStyle w:val="Point0number"/>
      <w:lvlText w:val="(%1)"/>
      <w:lvlJc w:val="left"/>
      <w:pPr>
        <w:tabs>
          <w:tab w:val="left" w:pos="850"/>
        </w:tabs>
        <w:ind w:left="850" w:hanging="85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pStyle w:val="Point0letter"/>
      <w:lvlText w:val="(%2)"/>
      <w:lvlJc w:val="left"/>
      <w:pPr>
        <w:tabs>
          <w:tab w:val="left" w:pos="850"/>
        </w:tabs>
        <w:ind w:left="850" w:hanging="85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pStyle w:val="Point1number"/>
      <w:lvlText w:val="(%3)"/>
      <w:lvlJc w:val="left"/>
      <w:pPr>
        <w:tabs>
          <w:tab w:val="left" w:pos="1417"/>
        </w:tabs>
        <w:ind w:left="1417" w:hanging="567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lowerLetter"/>
      <w:pStyle w:val="Point1letter"/>
      <w:lvlText w:val="(%4)"/>
      <w:lvlJc w:val="left"/>
      <w:pPr>
        <w:tabs>
          <w:tab w:val="left" w:pos="1417"/>
        </w:tabs>
        <w:ind w:left="1417" w:hanging="567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pStyle w:val="Point2number"/>
      <w:lvlText w:val="(%5)"/>
      <w:lvlJc w:val="left"/>
      <w:pPr>
        <w:tabs>
          <w:tab w:val="left" w:pos="1984"/>
        </w:tabs>
        <w:ind w:left="1984" w:hanging="567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Letter"/>
      <w:pStyle w:val="Point2letter"/>
      <w:lvlText w:val="(%6)"/>
      <w:lvlJc w:val="left"/>
      <w:pPr>
        <w:tabs>
          <w:tab w:val="left" w:pos="1984"/>
        </w:tabs>
        <w:ind w:left="1984" w:hanging="567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pStyle w:val="Point3number"/>
      <w:lvlText w:val="(%7)"/>
      <w:lvlJc w:val="left"/>
      <w:pPr>
        <w:tabs>
          <w:tab w:val="left" w:pos="2551"/>
        </w:tabs>
        <w:ind w:left="2551" w:hanging="567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pStyle w:val="Point3letter"/>
      <w:lvlText w:val="(%8)"/>
      <w:lvlJc w:val="left"/>
      <w:pPr>
        <w:tabs>
          <w:tab w:val="left" w:pos="2551"/>
        </w:tabs>
        <w:ind w:left="2551" w:hanging="567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Letter"/>
      <w:pStyle w:val="Point4letter"/>
      <w:lvlText w:val="(%9)"/>
      <w:lvlJc w:val="left"/>
      <w:pPr>
        <w:tabs>
          <w:tab w:val="left" w:pos="3118"/>
        </w:tabs>
        <w:ind w:left="3118" w:hanging="567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6">
    <w:nsid w:val="2F000006"/>
    <w:multiLevelType w:val="multilevel"/>
    <w:tmpl w:val="3E9D5062"/>
    <w:lvl w:ilvl="0">
      <w:start w:val="1"/>
      <w:numFmt w:val="decimal"/>
      <w:pStyle w:val="NumPar1"/>
      <w:lvlText w:val="%1."/>
      <w:lvlJc w:val="left"/>
      <w:pPr>
        <w:tabs>
          <w:tab w:val="left" w:pos="850"/>
        </w:tabs>
        <w:ind w:left="850" w:hanging="85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pStyle w:val="NumPar2"/>
      <w:lvlText w:val="%1.%2."/>
      <w:lvlJc w:val="left"/>
      <w:pPr>
        <w:tabs>
          <w:tab w:val="left" w:pos="850"/>
        </w:tabs>
        <w:ind w:left="850" w:hanging="85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pStyle w:val="NumPar3"/>
      <w:lvlText w:val="%1.%2.%3."/>
      <w:lvlJc w:val="left"/>
      <w:pPr>
        <w:tabs>
          <w:tab w:val="left" w:pos="850"/>
        </w:tabs>
        <w:ind w:left="850" w:hanging="85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pStyle w:val="NumPar4"/>
      <w:lvlText w:val="%1.%2.%3.%4."/>
      <w:lvlJc w:val="left"/>
      <w:pPr>
        <w:tabs>
          <w:tab w:val="left" w:pos="850"/>
        </w:tabs>
        <w:ind w:left="850" w:hanging="85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7">
    <w:nsid w:val="2F000007"/>
    <w:multiLevelType w:val="multilevel"/>
    <w:tmpl w:val="300882F8"/>
    <w:lvl w:ilvl="0">
      <w:start w:val="1"/>
      <w:numFmt w:val="decimal"/>
      <w:pStyle w:val="ListNumber2"/>
      <w:lvlText w:val="(%1)"/>
      <w:lvlJc w:val="left"/>
      <w:pPr>
        <w:tabs>
          <w:tab w:val="left" w:pos="1560"/>
        </w:tabs>
        <w:ind w:left="1560" w:hanging="709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left" w:pos="2268"/>
        </w:tabs>
        <w:ind w:left="2268" w:hanging="708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bullet"/>
      <w:pStyle w:val="ListNumber2Level3"/>
      <w:lvlText w:val="–"/>
      <w:lvlJc w:val="left"/>
      <w:pPr>
        <w:tabs>
          <w:tab w:val="left" w:pos="2977"/>
        </w:tabs>
        <w:ind w:left="2977" w:hanging="709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>
      <w:start w:val="1"/>
      <w:numFmt w:val="bullet"/>
      <w:pStyle w:val="ListNumber2Level4"/>
      <w:lvlText w:val="·"/>
      <w:lvlJc w:val="left"/>
      <w:pPr>
        <w:tabs>
          <w:tab w:val="left" w:pos="3686"/>
        </w:tabs>
        <w:ind w:left="3686" w:hanging="709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8">
    <w:nsid w:val="2F000008"/>
    <w:multiLevelType w:val="hybridMultilevel"/>
    <w:tmpl w:val="24CE9158"/>
    <w:lvl w:ilvl="0" w:tplc="7D464F38">
      <w:start w:val="1"/>
      <w:numFmt w:val="bullet"/>
      <w:pStyle w:val="Bullet3"/>
      <w:lvlText w:val="·"/>
      <w:lvlJc w:val="left"/>
      <w:pPr>
        <w:tabs>
          <w:tab w:val="left" w:pos="2551"/>
        </w:tabs>
        <w:ind w:left="2551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CD8DE30">
      <w:start w:val="1"/>
      <w:numFmt w:val="bullet"/>
      <w:lvlText w:val="·"/>
      <w:lvlJc w:val="left"/>
      <w:pPr>
        <w:tabs>
          <w:tab w:val="left" w:pos="2551"/>
        </w:tabs>
        <w:ind w:left="2551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9926DF3E">
      <w:start w:val="1"/>
      <w:numFmt w:val="bullet"/>
      <w:lvlText w:val="·"/>
      <w:lvlJc w:val="left"/>
      <w:pPr>
        <w:tabs>
          <w:tab w:val="left" w:pos="2551"/>
        </w:tabs>
        <w:ind w:left="2551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091007E4">
      <w:start w:val="1"/>
      <w:numFmt w:val="bullet"/>
      <w:lvlText w:val="·"/>
      <w:lvlJc w:val="left"/>
      <w:pPr>
        <w:tabs>
          <w:tab w:val="left" w:pos="2551"/>
        </w:tabs>
        <w:ind w:left="2551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7ACADCC">
      <w:start w:val="1"/>
      <w:numFmt w:val="bullet"/>
      <w:lvlText w:val="·"/>
      <w:lvlJc w:val="left"/>
      <w:pPr>
        <w:tabs>
          <w:tab w:val="left" w:pos="2551"/>
        </w:tabs>
        <w:ind w:left="2551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E3DC19AA">
      <w:start w:val="1"/>
      <w:numFmt w:val="bullet"/>
      <w:lvlText w:val="·"/>
      <w:lvlJc w:val="left"/>
      <w:pPr>
        <w:tabs>
          <w:tab w:val="left" w:pos="2551"/>
        </w:tabs>
        <w:ind w:left="2551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E3609B54">
      <w:start w:val="1"/>
      <w:numFmt w:val="bullet"/>
      <w:lvlText w:val="·"/>
      <w:lvlJc w:val="left"/>
      <w:pPr>
        <w:tabs>
          <w:tab w:val="left" w:pos="2551"/>
        </w:tabs>
        <w:ind w:left="2551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AC43584">
      <w:start w:val="1"/>
      <w:numFmt w:val="bullet"/>
      <w:lvlText w:val="·"/>
      <w:lvlJc w:val="left"/>
      <w:pPr>
        <w:tabs>
          <w:tab w:val="left" w:pos="2551"/>
        </w:tabs>
        <w:ind w:left="2551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886E4BC8">
      <w:start w:val="1"/>
      <w:numFmt w:val="bullet"/>
      <w:lvlText w:val="·"/>
      <w:lvlJc w:val="left"/>
      <w:pPr>
        <w:tabs>
          <w:tab w:val="left" w:pos="2551"/>
        </w:tabs>
        <w:ind w:left="2551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9">
    <w:nsid w:val="2F000009"/>
    <w:multiLevelType w:val="hybridMultilevel"/>
    <w:tmpl w:val="5BA82B62"/>
    <w:lvl w:ilvl="0" w:tplc="319E0B1A">
      <w:start w:val="1"/>
      <w:numFmt w:val="bullet"/>
      <w:pStyle w:val="Tiret3"/>
      <w:lvlText w:val="–"/>
      <w:lvlJc w:val="left"/>
      <w:pPr>
        <w:tabs>
          <w:tab w:val="left" w:pos="2551"/>
        </w:tabs>
        <w:ind w:left="2551" w:hanging="567"/>
        <w:jc w:val="both"/>
      </w:pPr>
    </w:lvl>
    <w:lvl w:ilvl="1" w:tplc="28F23F18">
      <w:start w:val="1"/>
      <w:numFmt w:val="bullet"/>
      <w:lvlText w:val="–"/>
      <w:lvlJc w:val="left"/>
      <w:pPr>
        <w:tabs>
          <w:tab w:val="left" w:pos="2551"/>
        </w:tabs>
        <w:ind w:left="2551" w:hanging="567"/>
        <w:jc w:val="both"/>
      </w:pPr>
    </w:lvl>
    <w:lvl w:ilvl="2" w:tplc="10248104">
      <w:start w:val="1"/>
      <w:numFmt w:val="bullet"/>
      <w:lvlText w:val="–"/>
      <w:lvlJc w:val="left"/>
      <w:pPr>
        <w:tabs>
          <w:tab w:val="left" w:pos="2551"/>
        </w:tabs>
        <w:ind w:left="2551" w:hanging="567"/>
        <w:jc w:val="both"/>
      </w:pPr>
    </w:lvl>
    <w:lvl w:ilvl="3" w:tplc="F3E89F6A">
      <w:start w:val="1"/>
      <w:numFmt w:val="bullet"/>
      <w:lvlText w:val="–"/>
      <w:lvlJc w:val="left"/>
      <w:pPr>
        <w:tabs>
          <w:tab w:val="left" w:pos="2551"/>
        </w:tabs>
        <w:ind w:left="2551" w:hanging="567"/>
        <w:jc w:val="both"/>
      </w:pPr>
    </w:lvl>
    <w:lvl w:ilvl="4" w:tplc="4D52CD56">
      <w:start w:val="1"/>
      <w:numFmt w:val="bullet"/>
      <w:lvlText w:val="–"/>
      <w:lvlJc w:val="left"/>
      <w:pPr>
        <w:tabs>
          <w:tab w:val="left" w:pos="2551"/>
        </w:tabs>
        <w:ind w:left="2551" w:hanging="567"/>
        <w:jc w:val="both"/>
      </w:pPr>
    </w:lvl>
    <w:lvl w:ilvl="5" w:tplc="D3A62F5C">
      <w:start w:val="1"/>
      <w:numFmt w:val="bullet"/>
      <w:lvlText w:val="–"/>
      <w:lvlJc w:val="left"/>
      <w:pPr>
        <w:tabs>
          <w:tab w:val="left" w:pos="2551"/>
        </w:tabs>
        <w:ind w:left="2551" w:hanging="567"/>
        <w:jc w:val="both"/>
      </w:pPr>
    </w:lvl>
    <w:lvl w:ilvl="6" w:tplc="223808F0">
      <w:start w:val="1"/>
      <w:numFmt w:val="bullet"/>
      <w:lvlText w:val="–"/>
      <w:lvlJc w:val="left"/>
      <w:pPr>
        <w:tabs>
          <w:tab w:val="left" w:pos="2551"/>
        </w:tabs>
        <w:ind w:left="2551" w:hanging="567"/>
        <w:jc w:val="both"/>
      </w:pPr>
    </w:lvl>
    <w:lvl w:ilvl="7" w:tplc="1F0EA404">
      <w:start w:val="1"/>
      <w:numFmt w:val="bullet"/>
      <w:lvlText w:val="–"/>
      <w:lvlJc w:val="left"/>
      <w:pPr>
        <w:tabs>
          <w:tab w:val="left" w:pos="2551"/>
        </w:tabs>
        <w:ind w:left="2551" w:hanging="567"/>
        <w:jc w:val="both"/>
      </w:pPr>
    </w:lvl>
    <w:lvl w:ilvl="8" w:tplc="ADC85BE4">
      <w:start w:val="1"/>
      <w:numFmt w:val="bullet"/>
      <w:lvlText w:val="–"/>
      <w:lvlJc w:val="left"/>
      <w:pPr>
        <w:tabs>
          <w:tab w:val="left" w:pos="2551"/>
        </w:tabs>
        <w:ind w:left="2551" w:hanging="567"/>
        <w:jc w:val="both"/>
      </w:pPr>
    </w:lvl>
  </w:abstractNum>
  <w:abstractNum w:abstractNumId="10">
    <w:nsid w:val="2F00000A"/>
    <w:multiLevelType w:val="hybridMultilevel"/>
    <w:tmpl w:val="23B84E0A"/>
    <w:lvl w:ilvl="0" w:tplc="835E322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AB6444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5DC645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8A4B27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248F57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954BC2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47692A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2E6906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E8611E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2F00000B"/>
    <w:multiLevelType w:val="hybridMultilevel"/>
    <w:tmpl w:val="3F0B95C5"/>
    <w:lvl w:ilvl="0" w:tplc="A29A8B82">
      <w:start w:val="1"/>
      <w:numFmt w:val="bullet"/>
      <w:pStyle w:val="ListBullet3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F767940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156E7E2A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83806A5C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A82E6CC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BB622B18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A01E1BFA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9FC0216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49D840D8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2">
    <w:nsid w:val="2F00000C"/>
    <w:multiLevelType w:val="hybridMultilevel"/>
    <w:tmpl w:val="3795C8F2"/>
    <w:lvl w:ilvl="0" w:tplc="F92E1F90">
      <w:start w:val="1"/>
      <w:numFmt w:val="bullet"/>
      <w:pStyle w:val="ListDash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4AECC5B0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78001C3C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68C6FF1A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2F3207C4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36388930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666EF1D8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6DB8B6EA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C8D65EA6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13">
    <w:nsid w:val="2F00000D"/>
    <w:multiLevelType w:val="hybridMultilevel"/>
    <w:tmpl w:val="30BBB54D"/>
    <w:lvl w:ilvl="0" w:tplc="A366F2C2">
      <w:start w:val="1"/>
      <w:numFmt w:val="bullet"/>
      <w:pStyle w:val="Tiret1"/>
      <w:lvlText w:val="–"/>
      <w:lvlJc w:val="left"/>
      <w:pPr>
        <w:tabs>
          <w:tab w:val="left" w:pos="1417"/>
        </w:tabs>
        <w:ind w:left="1417" w:hanging="567"/>
        <w:jc w:val="both"/>
      </w:pPr>
    </w:lvl>
    <w:lvl w:ilvl="1" w:tplc="B94E7E1E">
      <w:start w:val="1"/>
      <w:numFmt w:val="bullet"/>
      <w:lvlText w:val="–"/>
      <w:lvlJc w:val="left"/>
      <w:pPr>
        <w:tabs>
          <w:tab w:val="left" w:pos="1417"/>
        </w:tabs>
        <w:ind w:left="1417" w:hanging="567"/>
        <w:jc w:val="both"/>
      </w:pPr>
    </w:lvl>
    <w:lvl w:ilvl="2" w:tplc="EC700898">
      <w:start w:val="1"/>
      <w:numFmt w:val="bullet"/>
      <w:lvlText w:val="–"/>
      <w:lvlJc w:val="left"/>
      <w:pPr>
        <w:tabs>
          <w:tab w:val="left" w:pos="1417"/>
        </w:tabs>
        <w:ind w:left="1417" w:hanging="567"/>
        <w:jc w:val="both"/>
      </w:pPr>
    </w:lvl>
    <w:lvl w:ilvl="3" w:tplc="E80C9FF2">
      <w:start w:val="1"/>
      <w:numFmt w:val="bullet"/>
      <w:lvlText w:val="–"/>
      <w:lvlJc w:val="left"/>
      <w:pPr>
        <w:tabs>
          <w:tab w:val="left" w:pos="1417"/>
        </w:tabs>
        <w:ind w:left="1417" w:hanging="567"/>
        <w:jc w:val="both"/>
      </w:pPr>
    </w:lvl>
    <w:lvl w:ilvl="4" w:tplc="B542235C">
      <w:start w:val="1"/>
      <w:numFmt w:val="bullet"/>
      <w:lvlText w:val="–"/>
      <w:lvlJc w:val="left"/>
      <w:pPr>
        <w:tabs>
          <w:tab w:val="left" w:pos="1417"/>
        </w:tabs>
        <w:ind w:left="1417" w:hanging="567"/>
        <w:jc w:val="both"/>
      </w:pPr>
    </w:lvl>
    <w:lvl w:ilvl="5" w:tplc="C5525D52">
      <w:start w:val="1"/>
      <w:numFmt w:val="bullet"/>
      <w:lvlText w:val="–"/>
      <w:lvlJc w:val="left"/>
      <w:pPr>
        <w:tabs>
          <w:tab w:val="left" w:pos="1417"/>
        </w:tabs>
        <w:ind w:left="1417" w:hanging="567"/>
        <w:jc w:val="both"/>
      </w:pPr>
    </w:lvl>
    <w:lvl w:ilvl="6" w:tplc="77902DBE">
      <w:start w:val="1"/>
      <w:numFmt w:val="bullet"/>
      <w:lvlText w:val="–"/>
      <w:lvlJc w:val="left"/>
      <w:pPr>
        <w:tabs>
          <w:tab w:val="left" w:pos="1417"/>
        </w:tabs>
        <w:ind w:left="1417" w:hanging="567"/>
        <w:jc w:val="both"/>
      </w:pPr>
    </w:lvl>
    <w:lvl w:ilvl="7" w:tplc="5D3EA862">
      <w:start w:val="1"/>
      <w:numFmt w:val="bullet"/>
      <w:lvlText w:val="–"/>
      <w:lvlJc w:val="left"/>
      <w:pPr>
        <w:tabs>
          <w:tab w:val="left" w:pos="1417"/>
        </w:tabs>
        <w:ind w:left="1417" w:hanging="567"/>
        <w:jc w:val="both"/>
      </w:pPr>
    </w:lvl>
    <w:lvl w:ilvl="8" w:tplc="3B5A798C">
      <w:start w:val="1"/>
      <w:numFmt w:val="bullet"/>
      <w:lvlText w:val="–"/>
      <w:lvlJc w:val="left"/>
      <w:pPr>
        <w:tabs>
          <w:tab w:val="left" w:pos="1417"/>
        </w:tabs>
        <w:ind w:left="1417" w:hanging="567"/>
        <w:jc w:val="both"/>
      </w:pPr>
    </w:lvl>
  </w:abstractNum>
  <w:abstractNum w:abstractNumId="14">
    <w:nsid w:val="2F00000E"/>
    <w:multiLevelType w:val="hybridMultilevel"/>
    <w:tmpl w:val="597BFC26"/>
    <w:lvl w:ilvl="0" w:tplc="691023D0">
      <w:start w:val="1"/>
      <w:numFmt w:val="bullet"/>
      <w:pStyle w:val="Tiret4"/>
      <w:lvlText w:val="–"/>
      <w:lvlJc w:val="left"/>
      <w:pPr>
        <w:tabs>
          <w:tab w:val="left" w:pos="3118"/>
        </w:tabs>
        <w:ind w:left="3118" w:hanging="567"/>
        <w:jc w:val="both"/>
      </w:pPr>
    </w:lvl>
    <w:lvl w:ilvl="1" w:tplc="598E17FE">
      <w:start w:val="1"/>
      <w:numFmt w:val="bullet"/>
      <w:lvlText w:val="–"/>
      <w:lvlJc w:val="left"/>
      <w:pPr>
        <w:tabs>
          <w:tab w:val="left" w:pos="3118"/>
        </w:tabs>
        <w:ind w:left="3118" w:hanging="567"/>
        <w:jc w:val="both"/>
      </w:pPr>
    </w:lvl>
    <w:lvl w:ilvl="2" w:tplc="AFB2B7D4">
      <w:start w:val="1"/>
      <w:numFmt w:val="bullet"/>
      <w:lvlText w:val="–"/>
      <w:lvlJc w:val="left"/>
      <w:pPr>
        <w:tabs>
          <w:tab w:val="left" w:pos="3118"/>
        </w:tabs>
        <w:ind w:left="3118" w:hanging="567"/>
        <w:jc w:val="both"/>
      </w:pPr>
    </w:lvl>
    <w:lvl w:ilvl="3" w:tplc="DFC425D4">
      <w:start w:val="1"/>
      <w:numFmt w:val="bullet"/>
      <w:lvlText w:val="–"/>
      <w:lvlJc w:val="left"/>
      <w:pPr>
        <w:tabs>
          <w:tab w:val="left" w:pos="3118"/>
        </w:tabs>
        <w:ind w:left="3118" w:hanging="567"/>
        <w:jc w:val="both"/>
      </w:pPr>
    </w:lvl>
    <w:lvl w:ilvl="4" w:tplc="95E4B340">
      <w:start w:val="1"/>
      <w:numFmt w:val="bullet"/>
      <w:lvlText w:val="–"/>
      <w:lvlJc w:val="left"/>
      <w:pPr>
        <w:tabs>
          <w:tab w:val="left" w:pos="3118"/>
        </w:tabs>
        <w:ind w:left="3118" w:hanging="567"/>
        <w:jc w:val="both"/>
      </w:pPr>
    </w:lvl>
    <w:lvl w:ilvl="5" w:tplc="293AFBBC">
      <w:start w:val="1"/>
      <w:numFmt w:val="bullet"/>
      <w:lvlText w:val="–"/>
      <w:lvlJc w:val="left"/>
      <w:pPr>
        <w:tabs>
          <w:tab w:val="left" w:pos="3118"/>
        </w:tabs>
        <w:ind w:left="3118" w:hanging="567"/>
        <w:jc w:val="both"/>
      </w:pPr>
    </w:lvl>
    <w:lvl w:ilvl="6" w:tplc="0A9697CC">
      <w:start w:val="1"/>
      <w:numFmt w:val="bullet"/>
      <w:lvlText w:val="–"/>
      <w:lvlJc w:val="left"/>
      <w:pPr>
        <w:tabs>
          <w:tab w:val="left" w:pos="3118"/>
        </w:tabs>
        <w:ind w:left="3118" w:hanging="567"/>
        <w:jc w:val="both"/>
      </w:pPr>
    </w:lvl>
    <w:lvl w:ilvl="7" w:tplc="0FEAF78C">
      <w:start w:val="1"/>
      <w:numFmt w:val="bullet"/>
      <w:lvlText w:val="–"/>
      <w:lvlJc w:val="left"/>
      <w:pPr>
        <w:tabs>
          <w:tab w:val="left" w:pos="3118"/>
        </w:tabs>
        <w:ind w:left="3118" w:hanging="567"/>
        <w:jc w:val="both"/>
      </w:pPr>
    </w:lvl>
    <w:lvl w:ilvl="8" w:tplc="7A688BAE">
      <w:start w:val="1"/>
      <w:numFmt w:val="bullet"/>
      <w:lvlText w:val="–"/>
      <w:lvlJc w:val="left"/>
      <w:pPr>
        <w:tabs>
          <w:tab w:val="left" w:pos="3118"/>
        </w:tabs>
        <w:ind w:left="3118" w:hanging="567"/>
        <w:jc w:val="both"/>
      </w:pPr>
    </w:lvl>
  </w:abstractNum>
  <w:abstractNum w:abstractNumId="15">
    <w:nsid w:val="2F00000F"/>
    <w:multiLevelType w:val="hybridMultilevel"/>
    <w:tmpl w:val="40E7619C"/>
    <w:lvl w:ilvl="0" w:tplc="B4943B8C">
      <w:start w:val="1"/>
      <w:numFmt w:val="bullet"/>
      <w:pStyle w:val="Bullet0"/>
      <w:lvlText w:val="·"/>
      <w:lvlJc w:val="left"/>
      <w:pPr>
        <w:tabs>
          <w:tab w:val="left" w:pos="850"/>
        </w:tabs>
        <w:ind w:left="850" w:hanging="85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400DC5C">
      <w:start w:val="1"/>
      <w:numFmt w:val="bullet"/>
      <w:lvlText w:val="·"/>
      <w:lvlJc w:val="left"/>
      <w:pPr>
        <w:tabs>
          <w:tab w:val="left" w:pos="850"/>
        </w:tabs>
        <w:ind w:left="850" w:hanging="85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43D4ADC6">
      <w:start w:val="1"/>
      <w:numFmt w:val="bullet"/>
      <w:lvlText w:val="·"/>
      <w:lvlJc w:val="left"/>
      <w:pPr>
        <w:tabs>
          <w:tab w:val="left" w:pos="850"/>
        </w:tabs>
        <w:ind w:left="850" w:hanging="85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2E2CB59C">
      <w:start w:val="1"/>
      <w:numFmt w:val="bullet"/>
      <w:lvlText w:val="·"/>
      <w:lvlJc w:val="left"/>
      <w:pPr>
        <w:tabs>
          <w:tab w:val="left" w:pos="850"/>
        </w:tabs>
        <w:ind w:left="850" w:hanging="85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38AFCC4">
      <w:start w:val="1"/>
      <w:numFmt w:val="bullet"/>
      <w:lvlText w:val="·"/>
      <w:lvlJc w:val="left"/>
      <w:pPr>
        <w:tabs>
          <w:tab w:val="left" w:pos="850"/>
        </w:tabs>
        <w:ind w:left="850" w:hanging="85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78523EC2">
      <w:start w:val="1"/>
      <w:numFmt w:val="bullet"/>
      <w:lvlText w:val="·"/>
      <w:lvlJc w:val="left"/>
      <w:pPr>
        <w:tabs>
          <w:tab w:val="left" w:pos="850"/>
        </w:tabs>
        <w:ind w:left="850" w:hanging="85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0672A220">
      <w:start w:val="1"/>
      <w:numFmt w:val="bullet"/>
      <w:lvlText w:val="·"/>
      <w:lvlJc w:val="left"/>
      <w:pPr>
        <w:tabs>
          <w:tab w:val="left" w:pos="850"/>
        </w:tabs>
        <w:ind w:left="850" w:hanging="85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3DE7E9C">
      <w:start w:val="1"/>
      <w:numFmt w:val="bullet"/>
      <w:lvlText w:val="·"/>
      <w:lvlJc w:val="left"/>
      <w:pPr>
        <w:tabs>
          <w:tab w:val="left" w:pos="850"/>
        </w:tabs>
        <w:ind w:left="850" w:hanging="85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CA2C9F54">
      <w:start w:val="1"/>
      <w:numFmt w:val="bullet"/>
      <w:lvlText w:val="·"/>
      <w:lvlJc w:val="left"/>
      <w:pPr>
        <w:tabs>
          <w:tab w:val="left" w:pos="850"/>
        </w:tabs>
        <w:ind w:left="850" w:hanging="85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6">
    <w:nsid w:val="2F000010"/>
    <w:multiLevelType w:val="hybridMultilevel"/>
    <w:tmpl w:val="3CB97AFB"/>
    <w:lvl w:ilvl="0" w:tplc="85466666">
      <w:start w:val="1"/>
      <w:numFmt w:val="decimal"/>
      <w:lvlText w:val="%1."/>
      <w:lvlJc w:val="left"/>
      <w:pPr>
        <w:ind w:left="720" w:hanging="360"/>
        <w:jc w:val="both"/>
      </w:pPr>
    </w:lvl>
    <w:lvl w:ilvl="1" w:tplc="DD7A31E0">
      <w:start w:val="1"/>
      <w:numFmt w:val="lowerLetter"/>
      <w:lvlText w:val="%2."/>
      <w:lvlJc w:val="left"/>
      <w:pPr>
        <w:ind w:left="1440" w:hanging="360"/>
        <w:jc w:val="both"/>
      </w:pPr>
    </w:lvl>
    <w:lvl w:ilvl="2" w:tplc="BB9E2E30">
      <w:start w:val="1"/>
      <w:numFmt w:val="lowerRoman"/>
      <w:lvlText w:val="%3."/>
      <w:lvlJc w:val="right"/>
      <w:pPr>
        <w:ind w:left="2160" w:hanging="180"/>
        <w:jc w:val="both"/>
      </w:pPr>
    </w:lvl>
    <w:lvl w:ilvl="3" w:tplc="359CF7A0">
      <w:start w:val="1"/>
      <w:numFmt w:val="decimal"/>
      <w:lvlText w:val="%4."/>
      <w:lvlJc w:val="left"/>
      <w:pPr>
        <w:ind w:left="2880" w:hanging="360"/>
        <w:jc w:val="both"/>
      </w:pPr>
    </w:lvl>
    <w:lvl w:ilvl="4" w:tplc="7982EBB0">
      <w:start w:val="1"/>
      <w:numFmt w:val="lowerLetter"/>
      <w:lvlText w:val="%5."/>
      <w:lvlJc w:val="left"/>
      <w:pPr>
        <w:ind w:left="3600" w:hanging="360"/>
        <w:jc w:val="both"/>
      </w:pPr>
    </w:lvl>
    <w:lvl w:ilvl="5" w:tplc="7974ECF4">
      <w:start w:val="1"/>
      <w:numFmt w:val="lowerRoman"/>
      <w:lvlText w:val="%6."/>
      <w:lvlJc w:val="right"/>
      <w:pPr>
        <w:ind w:left="4320" w:hanging="180"/>
        <w:jc w:val="both"/>
      </w:pPr>
    </w:lvl>
    <w:lvl w:ilvl="6" w:tplc="DE166C52">
      <w:start w:val="1"/>
      <w:numFmt w:val="decimal"/>
      <w:lvlText w:val="%7."/>
      <w:lvlJc w:val="left"/>
      <w:pPr>
        <w:ind w:left="5040" w:hanging="360"/>
        <w:jc w:val="both"/>
      </w:pPr>
    </w:lvl>
    <w:lvl w:ilvl="7" w:tplc="FE5A4596">
      <w:start w:val="1"/>
      <w:numFmt w:val="lowerLetter"/>
      <w:lvlText w:val="%8."/>
      <w:lvlJc w:val="left"/>
      <w:pPr>
        <w:ind w:left="5760" w:hanging="360"/>
        <w:jc w:val="both"/>
      </w:pPr>
    </w:lvl>
    <w:lvl w:ilvl="8" w:tplc="DBEC897E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7">
    <w:nsid w:val="2F000011"/>
    <w:multiLevelType w:val="hybridMultilevel"/>
    <w:tmpl w:val="5B3903FB"/>
    <w:lvl w:ilvl="0" w:tplc="E5E4ED9C">
      <w:start w:val="1"/>
      <w:numFmt w:val="bullet"/>
      <w:lvlText w:val="-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176AAAE">
      <w:start w:val="1"/>
      <w:numFmt w:val="bullet"/>
      <w:lvlText w:val="-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8506DD88">
      <w:start w:val="1"/>
      <w:numFmt w:val="bullet"/>
      <w:lvlText w:val="-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3B28EE44">
      <w:start w:val="1"/>
      <w:numFmt w:val="bullet"/>
      <w:lvlText w:val="-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3489A54">
      <w:start w:val="1"/>
      <w:numFmt w:val="bullet"/>
      <w:lvlText w:val="-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FFBEE9DC">
      <w:start w:val="1"/>
      <w:numFmt w:val="bullet"/>
      <w:lvlText w:val="-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40882D52">
      <w:start w:val="1"/>
      <w:numFmt w:val="bullet"/>
      <w:lvlText w:val="-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19A4010">
      <w:start w:val="1"/>
      <w:numFmt w:val="bullet"/>
      <w:lvlText w:val="-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20106A46">
      <w:start w:val="1"/>
      <w:numFmt w:val="bullet"/>
      <w:lvlText w:val="-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8">
    <w:nsid w:val="2F000012"/>
    <w:multiLevelType w:val="hybridMultilevel"/>
    <w:tmpl w:val="22349374"/>
    <w:lvl w:ilvl="0" w:tplc="3A9CC2C0">
      <w:start w:val="1"/>
      <w:numFmt w:val="bullet"/>
      <w:pStyle w:val="Bullet4"/>
      <w:lvlText w:val="·"/>
      <w:lvlJc w:val="left"/>
      <w:pPr>
        <w:tabs>
          <w:tab w:val="left" w:pos="3118"/>
        </w:tabs>
        <w:ind w:left="3118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720569C">
      <w:start w:val="1"/>
      <w:numFmt w:val="bullet"/>
      <w:lvlText w:val="·"/>
      <w:lvlJc w:val="left"/>
      <w:pPr>
        <w:tabs>
          <w:tab w:val="left" w:pos="3118"/>
        </w:tabs>
        <w:ind w:left="3118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19CE5B78">
      <w:start w:val="1"/>
      <w:numFmt w:val="bullet"/>
      <w:lvlText w:val="·"/>
      <w:lvlJc w:val="left"/>
      <w:pPr>
        <w:tabs>
          <w:tab w:val="left" w:pos="3118"/>
        </w:tabs>
        <w:ind w:left="3118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95625522">
      <w:start w:val="1"/>
      <w:numFmt w:val="bullet"/>
      <w:lvlText w:val="·"/>
      <w:lvlJc w:val="left"/>
      <w:pPr>
        <w:tabs>
          <w:tab w:val="left" w:pos="3118"/>
        </w:tabs>
        <w:ind w:left="3118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3E411B0">
      <w:start w:val="1"/>
      <w:numFmt w:val="bullet"/>
      <w:lvlText w:val="·"/>
      <w:lvlJc w:val="left"/>
      <w:pPr>
        <w:tabs>
          <w:tab w:val="left" w:pos="3118"/>
        </w:tabs>
        <w:ind w:left="3118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EDD46C9A">
      <w:start w:val="1"/>
      <w:numFmt w:val="bullet"/>
      <w:lvlText w:val="·"/>
      <w:lvlJc w:val="left"/>
      <w:pPr>
        <w:tabs>
          <w:tab w:val="left" w:pos="3118"/>
        </w:tabs>
        <w:ind w:left="3118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DA1E580C">
      <w:start w:val="1"/>
      <w:numFmt w:val="bullet"/>
      <w:lvlText w:val="·"/>
      <w:lvlJc w:val="left"/>
      <w:pPr>
        <w:tabs>
          <w:tab w:val="left" w:pos="3118"/>
        </w:tabs>
        <w:ind w:left="3118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178CEF0">
      <w:start w:val="1"/>
      <w:numFmt w:val="bullet"/>
      <w:lvlText w:val="·"/>
      <w:lvlJc w:val="left"/>
      <w:pPr>
        <w:tabs>
          <w:tab w:val="left" w:pos="3118"/>
        </w:tabs>
        <w:ind w:left="3118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590820D0">
      <w:start w:val="1"/>
      <w:numFmt w:val="bullet"/>
      <w:lvlText w:val="·"/>
      <w:lvlJc w:val="left"/>
      <w:pPr>
        <w:tabs>
          <w:tab w:val="left" w:pos="3118"/>
        </w:tabs>
        <w:ind w:left="3118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9">
    <w:nsid w:val="2F000013"/>
    <w:multiLevelType w:val="hybridMultilevel"/>
    <w:tmpl w:val="4FBCA650"/>
    <w:lvl w:ilvl="0" w:tplc="9668B522">
      <w:start w:val="1"/>
      <w:numFmt w:val="bullet"/>
      <w:pStyle w:val="ListDash2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5BAA2356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E4EAA14E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A0AEC47E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97645622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C67E57F2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2FAA13FE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3A3EA4CE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F4D8B650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20">
    <w:nsid w:val="2F000014"/>
    <w:multiLevelType w:val="hybridMultilevel"/>
    <w:tmpl w:val="504B0802"/>
    <w:lvl w:ilvl="0" w:tplc="160AF9CC">
      <w:start w:val="1"/>
      <w:numFmt w:val="bullet"/>
      <w:pStyle w:val="Bullet1"/>
      <w:lvlText w:val="·"/>
      <w:lvlJc w:val="left"/>
      <w:pPr>
        <w:tabs>
          <w:tab w:val="left" w:pos="1417"/>
        </w:tabs>
        <w:ind w:left="1417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DAAC106">
      <w:start w:val="1"/>
      <w:numFmt w:val="bullet"/>
      <w:lvlText w:val="·"/>
      <w:lvlJc w:val="left"/>
      <w:pPr>
        <w:tabs>
          <w:tab w:val="left" w:pos="1417"/>
        </w:tabs>
        <w:ind w:left="1417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7C426D1A">
      <w:start w:val="1"/>
      <w:numFmt w:val="bullet"/>
      <w:lvlText w:val="·"/>
      <w:lvlJc w:val="left"/>
      <w:pPr>
        <w:tabs>
          <w:tab w:val="left" w:pos="1417"/>
        </w:tabs>
        <w:ind w:left="1417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E8E2B558">
      <w:start w:val="1"/>
      <w:numFmt w:val="bullet"/>
      <w:lvlText w:val="·"/>
      <w:lvlJc w:val="left"/>
      <w:pPr>
        <w:tabs>
          <w:tab w:val="left" w:pos="1417"/>
        </w:tabs>
        <w:ind w:left="1417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344B22">
      <w:start w:val="1"/>
      <w:numFmt w:val="bullet"/>
      <w:lvlText w:val="·"/>
      <w:lvlJc w:val="left"/>
      <w:pPr>
        <w:tabs>
          <w:tab w:val="left" w:pos="1417"/>
        </w:tabs>
        <w:ind w:left="1417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AA02A474">
      <w:start w:val="1"/>
      <w:numFmt w:val="bullet"/>
      <w:lvlText w:val="·"/>
      <w:lvlJc w:val="left"/>
      <w:pPr>
        <w:tabs>
          <w:tab w:val="left" w:pos="1417"/>
        </w:tabs>
        <w:ind w:left="1417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61DA4C44">
      <w:start w:val="1"/>
      <w:numFmt w:val="bullet"/>
      <w:lvlText w:val="·"/>
      <w:lvlJc w:val="left"/>
      <w:pPr>
        <w:tabs>
          <w:tab w:val="left" w:pos="1417"/>
        </w:tabs>
        <w:ind w:left="1417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9BC9B1C">
      <w:start w:val="1"/>
      <w:numFmt w:val="bullet"/>
      <w:lvlText w:val="·"/>
      <w:lvlJc w:val="left"/>
      <w:pPr>
        <w:tabs>
          <w:tab w:val="left" w:pos="1417"/>
        </w:tabs>
        <w:ind w:left="1417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182E0EE6">
      <w:start w:val="1"/>
      <w:numFmt w:val="bullet"/>
      <w:lvlText w:val="·"/>
      <w:lvlJc w:val="left"/>
      <w:pPr>
        <w:tabs>
          <w:tab w:val="left" w:pos="1417"/>
        </w:tabs>
        <w:ind w:left="1417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1">
    <w:nsid w:val="2F000015"/>
    <w:multiLevelType w:val="hybridMultilevel"/>
    <w:tmpl w:val="53FAF569"/>
    <w:lvl w:ilvl="0" w:tplc="4C92FD46">
      <w:start w:val="1"/>
      <w:numFmt w:val="bullet"/>
      <w:pStyle w:val="Bullet2"/>
      <w:lvlText w:val="·"/>
      <w:lvlJc w:val="left"/>
      <w:pPr>
        <w:tabs>
          <w:tab w:val="left" w:pos="1984"/>
        </w:tabs>
        <w:ind w:left="1984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0FAD3F2">
      <w:start w:val="1"/>
      <w:numFmt w:val="bullet"/>
      <w:lvlText w:val="·"/>
      <w:lvlJc w:val="left"/>
      <w:pPr>
        <w:tabs>
          <w:tab w:val="left" w:pos="1984"/>
        </w:tabs>
        <w:ind w:left="1984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63423970">
      <w:start w:val="1"/>
      <w:numFmt w:val="bullet"/>
      <w:lvlText w:val="·"/>
      <w:lvlJc w:val="left"/>
      <w:pPr>
        <w:tabs>
          <w:tab w:val="left" w:pos="1984"/>
        </w:tabs>
        <w:ind w:left="1984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D34496F6">
      <w:start w:val="1"/>
      <w:numFmt w:val="bullet"/>
      <w:lvlText w:val="·"/>
      <w:lvlJc w:val="left"/>
      <w:pPr>
        <w:tabs>
          <w:tab w:val="left" w:pos="1984"/>
        </w:tabs>
        <w:ind w:left="1984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D9668F6">
      <w:start w:val="1"/>
      <w:numFmt w:val="bullet"/>
      <w:lvlText w:val="·"/>
      <w:lvlJc w:val="left"/>
      <w:pPr>
        <w:tabs>
          <w:tab w:val="left" w:pos="1984"/>
        </w:tabs>
        <w:ind w:left="1984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270C6508">
      <w:start w:val="1"/>
      <w:numFmt w:val="bullet"/>
      <w:lvlText w:val="·"/>
      <w:lvlJc w:val="left"/>
      <w:pPr>
        <w:tabs>
          <w:tab w:val="left" w:pos="1984"/>
        </w:tabs>
        <w:ind w:left="1984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6D2A82E2">
      <w:start w:val="1"/>
      <w:numFmt w:val="bullet"/>
      <w:lvlText w:val="·"/>
      <w:lvlJc w:val="left"/>
      <w:pPr>
        <w:tabs>
          <w:tab w:val="left" w:pos="1984"/>
        </w:tabs>
        <w:ind w:left="1984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5E42EEE">
      <w:start w:val="1"/>
      <w:numFmt w:val="bullet"/>
      <w:lvlText w:val="·"/>
      <w:lvlJc w:val="left"/>
      <w:pPr>
        <w:tabs>
          <w:tab w:val="left" w:pos="1984"/>
        </w:tabs>
        <w:ind w:left="1984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AF74662A">
      <w:start w:val="1"/>
      <w:numFmt w:val="bullet"/>
      <w:lvlText w:val="·"/>
      <w:lvlJc w:val="left"/>
      <w:pPr>
        <w:tabs>
          <w:tab w:val="left" w:pos="1984"/>
        </w:tabs>
        <w:ind w:left="1984" w:hanging="567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2">
    <w:nsid w:val="2F000016"/>
    <w:multiLevelType w:val="hybridMultilevel"/>
    <w:tmpl w:val="2705FC7F"/>
    <w:lvl w:ilvl="0" w:tplc="0E1C9378">
      <w:start w:val="1"/>
      <w:numFmt w:val="bullet"/>
      <w:pStyle w:val="Tiret0"/>
      <w:lvlText w:val="–"/>
      <w:lvlJc w:val="left"/>
      <w:pPr>
        <w:tabs>
          <w:tab w:val="left" w:pos="850"/>
        </w:tabs>
        <w:ind w:left="850" w:hanging="850"/>
        <w:jc w:val="both"/>
      </w:pPr>
    </w:lvl>
    <w:lvl w:ilvl="1" w:tplc="01ACA660">
      <w:start w:val="1"/>
      <w:numFmt w:val="bullet"/>
      <w:lvlText w:val="–"/>
      <w:lvlJc w:val="left"/>
      <w:pPr>
        <w:tabs>
          <w:tab w:val="left" w:pos="850"/>
        </w:tabs>
        <w:ind w:left="850" w:hanging="850"/>
        <w:jc w:val="both"/>
      </w:pPr>
    </w:lvl>
    <w:lvl w:ilvl="2" w:tplc="41FCDA5A">
      <w:start w:val="1"/>
      <w:numFmt w:val="bullet"/>
      <w:lvlText w:val="–"/>
      <w:lvlJc w:val="left"/>
      <w:pPr>
        <w:tabs>
          <w:tab w:val="left" w:pos="850"/>
        </w:tabs>
        <w:ind w:left="850" w:hanging="850"/>
        <w:jc w:val="both"/>
      </w:pPr>
    </w:lvl>
    <w:lvl w:ilvl="3" w:tplc="45DA2850">
      <w:start w:val="1"/>
      <w:numFmt w:val="bullet"/>
      <w:lvlText w:val="–"/>
      <w:lvlJc w:val="left"/>
      <w:pPr>
        <w:tabs>
          <w:tab w:val="left" w:pos="850"/>
        </w:tabs>
        <w:ind w:left="850" w:hanging="850"/>
        <w:jc w:val="both"/>
      </w:pPr>
    </w:lvl>
    <w:lvl w:ilvl="4" w:tplc="F36291B2">
      <w:start w:val="1"/>
      <w:numFmt w:val="bullet"/>
      <w:lvlText w:val="–"/>
      <w:lvlJc w:val="left"/>
      <w:pPr>
        <w:tabs>
          <w:tab w:val="left" w:pos="850"/>
        </w:tabs>
        <w:ind w:left="850" w:hanging="850"/>
        <w:jc w:val="both"/>
      </w:pPr>
    </w:lvl>
    <w:lvl w:ilvl="5" w:tplc="EC181856">
      <w:start w:val="1"/>
      <w:numFmt w:val="bullet"/>
      <w:lvlText w:val="–"/>
      <w:lvlJc w:val="left"/>
      <w:pPr>
        <w:tabs>
          <w:tab w:val="left" w:pos="850"/>
        </w:tabs>
        <w:ind w:left="850" w:hanging="850"/>
        <w:jc w:val="both"/>
      </w:pPr>
    </w:lvl>
    <w:lvl w:ilvl="6" w:tplc="ED78CB42">
      <w:start w:val="1"/>
      <w:numFmt w:val="bullet"/>
      <w:lvlText w:val="–"/>
      <w:lvlJc w:val="left"/>
      <w:pPr>
        <w:tabs>
          <w:tab w:val="left" w:pos="850"/>
        </w:tabs>
        <w:ind w:left="850" w:hanging="850"/>
        <w:jc w:val="both"/>
      </w:pPr>
    </w:lvl>
    <w:lvl w:ilvl="7" w:tplc="56B4B51A">
      <w:start w:val="1"/>
      <w:numFmt w:val="bullet"/>
      <w:lvlText w:val="–"/>
      <w:lvlJc w:val="left"/>
      <w:pPr>
        <w:tabs>
          <w:tab w:val="left" w:pos="850"/>
        </w:tabs>
        <w:ind w:left="850" w:hanging="850"/>
        <w:jc w:val="both"/>
      </w:pPr>
    </w:lvl>
    <w:lvl w:ilvl="8" w:tplc="290C378A">
      <w:start w:val="1"/>
      <w:numFmt w:val="bullet"/>
      <w:lvlText w:val="–"/>
      <w:lvlJc w:val="left"/>
      <w:pPr>
        <w:tabs>
          <w:tab w:val="left" w:pos="850"/>
        </w:tabs>
        <w:ind w:left="850" w:hanging="850"/>
        <w:jc w:val="both"/>
      </w:pPr>
    </w:lvl>
  </w:abstractNum>
  <w:abstractNum w:abstractNumId="23">
    <w:nsid w:val="2F000017"/>
    <w:multiLevelType w:val="multilevel"/>
    <w:tmpl w:val="2003F9F6"/>
    <w:lvl w:ilvl="0">
      <w:start w:val="1"/>
      <w:numFmt w:val="decimal"/>
      <w:pStyle w:val="ListNumber"/>
      <w:lvlText w:val="(%1)"/>
      <w:lvlJc w:val="left"/>
      <w:pPr>
        <w:tabs>
          <w:tab w:val="left" w:pos="709"/>
        </w:tabs>
        <w:ind w:left="709" w:hanging="709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left" w:pos="1417"/>
        </w:tabs>
        <w:ind w:left="1417" w:hanging="708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bullet"/>
      <w:pStyle w:val="ListNumberLevel3"/>
      <w:lvlText w:val="–"/>
      <w:lvlJc w:val="left"/>
      <w:pPr>
        <w:tabs>
          <w:tab w:val="left" w:pos="2126"/>
        </w:tabs>
        <w:ind w:left="2126" w:hanging="709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>
      <w:start w:val="1"/>
      <w:numFmt w:val="bullet"/>
      <w:pStyle w:val="ListNumberLevel4"/>
      <w:lvlText w:val="·"/>
      <w:lvlJc w:val="left"/>
      <w:pPr>
        <w:tabs>
          <w:tab w:val="left" w:pos="2835"/>
        </w:tabs>
        <w:ind w:left="2835" w:hanging="709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4">
    <w:nsid w:val="2F000018"/>
    <w:multiLevelType w:val="hybridMultilevel"/>
    <w:tmpl w:val="4B0FA6D2"/>
    <w:lvl w:ilvl="0" w:tplc="05084728">
      <w:start w:val="1"/>
      <w:numFmt w:val="bullet"/>
      <w:pStyle w:val="ListDash1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3230A4C0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E49A8FE0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0D54BEF6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844AA31E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2ED87176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34DE8370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C3041584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CB88B0B4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25">
    <w:nsid w:val="2F000019"/>
    <w:multiLevelType w:val="multilevel"/>
    <w:tmpl w:val="56915C6A"/>
    <w:lvl w:ilvl="0">
      <w:start w:val="1"/>
      <w:numFmt w:val="decimal"/>
      <w:pStyle w:val="Heading1"/>
      <w:lvlText w:val="%1."/>
      <w:lvlJc w:val="left"/>
      <w:pPr>
        <w:tabs>
          <w:tab w:val="left" w:pos="850"/>
        </w:tabs>
        <w:ind w:left="850" w:hanging="85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850"/>
        </w:tabs>
        <w:ind w:left="850" w:hanging="85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850"/>
        </w:tabs>
        <w:ind w:left="850" w:hanging="85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left" w:pos="850"/>
        </w:tabs>
        <w:ind w:left="850" w:hanging="85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6">
    <w:nsid w:val="2F00001A"/>
    <w:multiLevelType w:val="hybridMultilevel"/>
    <w:tmpl w:val="474A7079"/>
    <w:lvl w:ilvl="0" w:tplc="32987F0E">
      <w:start w:val="1"/>
      <w:numFmt w:val="bullet"/>
      <w:pStyle w:val="Tiret2"/>
      <w:lvlText w:val="–"/>
      <w:lvlJc w:val="left"/>
      <w:pPr>
        <w:tabs>
          <w:tab w:val="left" w:pos="1984"/>
        </w:tabs>
        <w:ind w:left="1984" w:hanging="567"/>
        <w:jc w:val="both"/>
      </w:pPr>
    </w:lvl>
    <w:lvl w:ilvl="1" w:tplc="AD02CDEA">
      <w:start w:val="1"/>
      <w:numFmt w:val="bullet"/>
      <w:lvlText w:val="–"/>
      <w:lvlJc w:val="left"/>
      <w:pPr>
        <w:tabs>
          <w:tab w:val="left" w:pos="1984"/>
        </w:tabs>
        <w:ind w:left="1984" w:hanging="567"/>
        <w:jc w:val="both"/>
      </w:pPr>
    </w:lvl>
    <w:lvl w:ilvl="2" w:tplc="222087B4">
      <w:start w:val="1"/>
      <w:numFmt w:val="bullet"/>
      <w:lvlText w:val="–"/>
      <w:lvlJc w:val="left"/>
      <w:pPr>
        <w:tabs>
          <w:tab w:val="left" w:pos="1984"/>
        </w:tabs>
        <w:ind w:left="1984" w:hanging="567"/>
        <w:jc w:val="both"/>
      </w:pPr>
    </w:lvl>
    <w:lvl w:ilvl="3" w:tplc="9D2AF506">
      <w:start w:val="1"/>
      <w:numFmt w:val="bullet"/>
      <w:lvlText w:val="–"/>
      <w:lvlJc w:val="left"/>
      <w:pPr>
        <w:tabs>
          <w:tab w:val="left" w:pos="1984"/>
        </w:tabs>
        <w:ind w:left="1984" w:hanging="567"/>
        <w:jc w:val="both"/>
      </w:pPr>
    </w:lvl>
    <w:lvl w:ilvl="4" w:tplc="9B48A6A8">
      <w:start w:val="1"/>
      <w:numFmt w:val="bullet"/>
      <w:lvlText w:val="–"/>
      <w:lvlJc w:val="left"/>
      <w:pPr>
        <w:tabs>
          <w:tab w:val="left" w:pos="1984"/>
        </w:tabs>
        <w:ind w:left="1984" w:hanging="567"/>
        <w:jc w:val="both"/>
      </w:pPr>
    </w:lvl>
    <w:lvl w:ilvl="5" w:tplc="1472C2D8">
      <w:start w:val="1"/>
      <w:numFmt w:val="bullet"/>
      <w:lvlText w:val="–"/>
      <w:lvlJc w:val="left"/>
      <w:pPr>
        <w:tabs>
          <w:tab w:val="left" w:pos="1984"/>
        </w:tabs>
        <w:ind w:left="1984" w:hanging="567"/>
        <w:jc w:val="both"/>
      </w:pPr>
    </w:lvl>
    <w:lvl w:ilvl="6" w:tplc="6CFC5826">
      <w:start w:val="1"/>
      <w:numFmt w:val="bullet"/>
      <w:lvlText w:val="–"/>
      <w:lvlJc w:val="left"/>
      <w:pPr>
        <w:tabs>
          <w:tab w:val="left" w:pos="1984"/>
        </w:tabs>
        <w:ind w:left="1984" w:hanging="567"/>
        <w:jc w:val="both"/>
      </w:pPr>
    </w:lvl>
    <w:lvl w:ilvl="7" w:tplc="0ABE5CEE">
      <w:start w:val="1"/>
      <w:numFmt w:val="bullet"/>
      <w:lvlText w:val="–"/>
      <w:lvlJc w:val="left"/>
      <w:pPr>
        <w:tabs>
          <w:tab w:val="left" w:pos="1984"/>
        </w:tabs>
        <w:ind w:left="1984" w:hanging="567"/>
        <w:jc w:val="both"/>
      </w:pPr>
    </w:lvl>
    <w:lvl w:ilvl="8" w:tplc="8CFE906C">
      <w:start w:val="1"/>
      <w:numFmt w:val="bullet"/>
      <w:lvlText w:val="–"/>
      <w:lvlJc w:val="left"/>
      <w:pPr>
        <w:tabs>
          <w:tab w:val="left" w:pos="1984"/>
        </w:tabs>
        <w:ind w:left="1984" w:hanging="567"/>
        <w:jc w:val="both"/>
      </w:pPr>
    </w:lvl>
  </w:abstractNum>
  <w:abstractNum w:abstractNumId="27">
    <w:nsid w:val="2F00001B"/>
    <w:multiLevelType w:val="multilevel"/>
    <w:tmpl w:val="8EC8FAB0"/>
    <w:lvl w:ilvl="0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</w:lvl>
    <w:lvl w:ilvl="1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</w:lvl>
    <w:lvl w:ilvl="2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</w:lvl>
    <w:lvl w:ilvl="3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</w:lvl>
    <w:lvl w:ilvl="4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</w:lvl>
    <w:lvl w:ilvl="5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</w:lvl>
    <w:lvl w:ilvl="6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</w:lvl>
    <w:lvl w:ilvl="7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</w:lvl>
    <w:lvl w:ilvl="8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</w:lvl>
  </w:abstractNum>
  <w:abstractNum w:abstractNumId="28">
    <w:nsid w:val="2F00001C"/>
    <w:multiLevelType w:val="hybridMultilevel"/>
    <w:tmpl w:val="4D6D2672"/>
    <w:lvl w:ilvl="0" w:tplc="4EDCD144">
      <w:start w:val="1"/>
      <w:numFmt w:val="bullet"/>
      <w:pStyle w:val="ListBullet1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012EDC2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1E050C0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6D47C08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CFE7568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71E033B0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60CAA8E0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C1E5720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85084A0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9">
    <w:nsid w:val="2F00001D"/>
    <w:multiLevelType w:val="hybridMultilevel"/>
    <w:tmpl w:val="5EF71E2D"/>
    <w:lvl w:ilvl="0" w:tplc="CBECDA2A">
      <w:start w:val="1"/>
      <w:numFmt w:val="bullet"/>
      <w:pStyle w:val="List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F848354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ABF69B58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0E369178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66CEE40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972AA334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A4A6EB12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5783364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550E238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30">
    <w:nsid w:val="2F00001E"/>
    <w:multiLevelType w:val="hybridMultilevel"/>
    <w:tmpl w:val="57DE5DFD"/>
    <w:lvl w:ilvl="0" w:tplc="7CBA824C">
      <w:start w:val="1"/>
      <w:numFmt w:val="lowerLetter"/>
      <w:lvlText w:val="%1."/>
      <w:lvlJc w:val="left"/>
      <w:pPr>
        <w:ind w:left="1080" w:hanging="360"/>
        <w:jc w:val="both"/>
      </w:pPr>
    </w:lvl>
    <w:lvl w:ilvl="1" w:tplc="1BECA3D0">
      <w:start w:val="1"/>
      <w:numFmt w:val="lowerLetter"/>
      <w:lvlText w:val="%2."/>
      <w:lvlJc w:val="left"/>
      <w:pPr>
        <w:ind w:left="1800" w:hanging="360"/>
        <w:jc w:val="both"/>
      </w:pPr>
    </w:lvl>
    <w:lvl w:ilvl="2" w:tplc="D4382826">
      <w:start w:val="1"/>
      <w:numFmt w:val="lowerRoman"/>
      <w:lvlText w:val="%3."/>
      <w:lvlJc w:val="right"/>
      <w:pPr>
        <w:ind w:left="2520" w:hanging="180"/>
        <w:jc w:val="both"/>
      </w:pPr>
    </w:lvl>
    <w:lvl w:ilvl="3" w:tplc="BCD6D61A">
      <w:start w:val="1"/>
      <w:numFmt w:val="decimal"/>
      <w:lvlText w:val="%4."/>
      <w:lvlJc w:val="left"/>
      <w:pPr>
        <w:ind w:left="3240" w:hanging="360"/>
        <w:jc w:val="both"/>
      </w:pPr>
    </w:lvl>
    <w:lvl w:ilvl="4" w:tplc="5F86F88E">
      <w:start w:val="1"/>
      <w:numFmt w:val="lowerLetter"/>
      <w:lvlText w:val="%5."/>
      <w:lvlJc w:val="left"/>
      <w:pPr>
        <w:ind w:left="3960" w:hanging="360"/>
        <w:jc w:val="both"/>
      </w:pPr>
    </w:lvl>
    <w:lvl w:ilvl="5" w:tplc="20548CD0">
      <w:start w:val="1"/>
      <w:numFmt w:val="lowerRoman"/>
      <w:lvlText w:val="%6."/>
      <w:lvlJc w:val="right"/>
      <w:pPr>
        <w:ind w:left="4680" w:hanging="180"/>
        <w:jc w:val="both"/>
      </w:pPr>
    </w:lvl>
    <w:lvl w:ilvl="6" w:tplc="7740545A">
      <w:start w:val="1"/>
      <w:numFmt w:val="decimal"/>
      <w:lvlText w:val="%7."/>
      <w:lvlJc w:val="left"/>
      <w:pPr>
        <w:ind w:left="5400" w:hanging="360"/>
        <w:jc w:val="both"/>
      </w:pPr>
    </w:lvl>
    <w:lvl w:ilvl="7" w:tplc="6DC6D2C2">
      <w:start w:val="1"/>
      <w:numFmt w:val="lowerLetter"/>
      <w:lvlText w:val="%8."/>
      <w:lvlJc w:val="left"/>
      <w:pPr>
        <w:ind w:left="6120" w:hanging="360"/>
        <w:jc w:val="both"/>
      </w:pPr>
    </w:lvl>
    <w:lvl w:ilvl="8" w:tplc="13DE8856">
      <w:start w:val="1"/>
      <w:numFmt w:val="lowerRoman"/>
      <w:lvlText w:val="%9."/>
      <w:lvlJc w:val="right"/>
      <w:pPr>
        <w:ind w:left="6840" w:hanging="180"/>
        <w:jc w:val="both"/>
      </w:pPr>
    </w:lvl>
  </w:abstractNum>
  <w:abstractNum w:abstractNumId="31">
    <w:nsid w:val="2F00001F"/>
    <w:multiLevelType w:val="hybridMultilevel"/>
    <w:tmpl w:val="2DECAA36"/>
    <w:lvl w:ilvl="0" w:tplc="F5C2BA92">
      <w:start w:val="1"/>
      <w:numFmt w:val="bullet"/>
      <w:pStyle w:val="ListDash3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070CC1A6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B7BE929E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4400187C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B11E5F8E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3A5C697A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F6CA67F4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70061FA6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AE00CB22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32">
    <w:nsid w:val="2F000020"/>
    <w:multiLevelType w:val="multilevel"/>
    <w:tmpl w:val="329AC6E1"/>
    <w:lvl w:ilvl="0">
      <w:start w:val="1"/>
      <w:numFmt w:val="decimal"/>
      <w:pStyle w:val="ListNumber1"/>
      <w:lvlText w:val="(%1)"/>
      <w:lvlJc w:val="left"/>
      <w:pPr>
        <w:tabs>
          <w:tab w:val="left" w:pos="1560"/>
        </w:tabs>
        <w:ind w:left="1560" w:hanging="709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left" w:pos="2268"/>
        </w:tabs>
        <w:ind w:left="2268" w:hanging="708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bullet"/>
      <w:pStyle w:val="ListNumber1Level3"/>
      <w:lvlText w:val="–"/>
      <w:lvlJc w:val="left"/>
      <w:pPr>
        <w:tabs>
          <w:tab w:val="left" w:pos="2977"/>
        </w:tabs>
        <w:ind w:left="2977" w:hanging="709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>
      <w:start w:val="1"/>
      <w:numFmt w:val="bullet"/>
      <w:pStyle w:val="ListNumber1Level4"/>
      <w:lvlText w:val="·"/>
      <w:lvlJc w:val="left"/>
      <w:pPr>
        <w:tabs>
          <w:tab w:val="left" w:pos="3686"/>
        </w:tabs>
        <w:ind w:left="3686" w:hanging="709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3">
    <w:nsid w:val="2F000021"/>
    <w:multiLevelType w:val="multilevel"/>
    <w:tmpl w:val="C570F6AA"/>
    <w:lvl w:ilvl="0">
      <w:start w:val="1"/>
      <w:numFmt w:val="decimal"/>
      <w:pStyle w:val="Considrant"/>
      <w:lvlText w:val="(%1)"/>
      <w:lvlJc w:val="left"/>
      <w:pPr>
        <w:tabs>
          <w:tab w:val="left" w:pos="709"/>
        </w:tabs>
        <w:ind w:left="709" w:hanging="709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(%1)"/>
      <w:lvlJc w:val="left"/>
      <w:pPr>
        <w:tabs>
          <w:tab w:val="left" w:pos="709"/>
        </w:tabs>
        <w:ind w:left="709" w:hanging="709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4">
    <w:nsid w:val="2F000022"/>
    <w:multiLevelType w:val="hybridMultilevel"/>
    <w:tmpl w:val="3FD979F1"/>
    <w:lvl w:ilvl="0" w:tplc="78584B84">
      <w:start w:val="1"/>
      <w:numFmt w:val="bullet"/>
      <w:pStyle w:val="ListDash4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8A2C4D06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3986119A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8F923F24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92FC6C90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2730C14A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CAB4DAD6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D15C6930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D61EE618">
      <w:start w:val="1"/>
      <w:numFmt w:val="bullet"/>
      <w:lvlText w:val="–"/>
      <w:lvlJc w:val="left"/>
      <w:pPr>
        <w:tabs>
          <w:tab w:val="left" w:pos="1134"/>
        </w:tabs>
        <w:ind w:left="1134" w:hanging="283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35">
    <w:nsid w:val="2F000023"/>
    <w:multiLevelType w:val="hybridMultilevel"/>
    <w:tmpl w:val="44D4CE10"/>
    <w:lvl w:ilvl="0" w:tplc="FA287910">
      <w:start w:val="1"/>
      <w:numFmt w:val="bullet"/>
      <w:pStyle w:val="ListBullet4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C09A0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64AE676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F8EAEE76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3BE2E14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3F9CA408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53AC5D7A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B7024EE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1EB08F5C">
      <w:start w:val="1"/>
      <w:numFmt w:val="bullet"/>
      <w:lvlText w:val="·"/>
      <w:lvlJc w:val="left"/>
      <w:pPr>
        <w:tabs>
          <w:tab w:val="left" w:pos="1134"/>
        </w:tabs>
        <w:ind w:left="1134" w:hanging="283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9"/>
  </w:num>
  <w:num w:numId="5">
    <w:abstractNumId w:val="14"/>
  </w:num>
  <w:num w:numId="6">
    <w:abstractNumId w:val="6"/>
  </w:num>
  <w:num w:numId="7">
    <w:abstractNumId w:val="25"/>
  </w:num>
  <w:num w:numId="8">
    <w:abstractNumId w:val="5"/>
  </w:num>
  <w:num w:numId="9">
    <w:abstractNumId w:val="15"/>
  </w:num>
  <w:num w:numId="10">
    <w:abstractNumId w:val="20"/>
  </w:num>
  <w:num w:numId="11">
    <w:abstractNumId w:val="21"/>
  </w:num>
  <w:num w:numId="12">
    <w:abstractNumId w:val="8"/>
  </w:num>
  <w:num w:numId="13">
    <w:abstractNumId w:val="18"/>
  </w:num>
  <w:num w:numId="14">
    <w:abstractNumId w:val="33"/>
  </w:num>
  <w:num w:numId="15">
    <w:abstractNumId w:val="23"/>
  </w:num>
  <w:num w:numId="16">
    <w:abstractNumId w:val="32"/>
  </w:num>
  <w:num w:numId="17">
    <w:abstractNumId w:val="7"/>
  </w:num>
  <w:num w:numId="18">
    <w:abstractNumId w:val="2"/>
  </w:num>
  <w:num w:numId="19">
    <w:abstractNumId w:val="1"/>
  </w:num>
  <w:num w:numId="20">
    <w:abstractNumId w:val="29"/>
  </w:num>
  <w:num w:numId="21">
    <w:abstractNumId w:val="28"/>
  </w:num>
  <w:num w:numId="22">
    <w:abstractNumId w:val="3"/>
  </w:num>
  <w:num w:numId="23">
    <w:abstractNumId w:val="11"/>
  </w:num>
  <w:num w:numId="24">
    <w:abstractNumId w:val="35"/>
  </w:num>
  <w:num w:numId="25">
    <w:abstractNumId w:val="12"/>
  </w:num>
  <w:num w:numId="26">
    <w:abstractNumId w:val="24"/>
  </w:num>
  <w:num w:numId="27">
    <w:abstractNumId w:val="19"/>
  </w:num>
  <w:num w:numId="28">
    <w:abstractNumId w:val="31"/>
  </w:num>
  <w:num w:numId="29">
    <w:abstractNumId w:val="34"/>
  </w:num>
  <w:num w:numId="30">
    <w:abstractNumId w:val="30"/>
  </w:num>
  <w:num w:numId="31">
    <w:abstractNumId w:val="16"/>
  </w:num>
  <w:num w:numId="32">
    <w:abstractNumId w:val="0"/>
  </w:num>
  <w:num w:numId="33">
    <w:abstractNumId w:val="27"/>
    <w:lvlOverride w:ilvl="0">
      <w:startOverride w:val="1"/>
    </w:lvlOverride>
  </w:num>
  <w:num w:numId="34">
    <w:abstractNumId w:val="4"/>
  </w:num>
  <w:num w:numId="35">
    <w:abstractNumId w:val="17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DocStatus" w:val="Green"/>
    <w:docVar w:name="LW_CORRIGENDUM" w:val="&lt;UNUSED&gt;"/>
    <w:docVar w:name="LW_COVERPAGE_EXISTS" w:val="True"/>
    <w:docVar w:name="LW_COVERPAGE_GUID" w:val="DB42D22A-49A1-420B-A4DE-BEBA61E5D3C8"/>
    <w:docVar w:name="LW_COVERPAGE_TYPE" w:val="1"/>
    <w:docVar w:name="LW_CROSSREFERENCE" w:val="&lt;UNUSED&gt;"/>
    <w:docVar w:name="LW_DocType" w:val="NORMAL"/>
    <w:docVar w:name="LW_EMISSION" w:val="21.11.2018"/>
    <w:docVar w:name="LW_EMISSION_ISODATE" w:val="2018-11-21"/>
    <w:docVar w:name="LW_EMISSION_LOCATION" w:val="BRX"/>
    <w:docVar w:name="LW_EMISSION_PREFIX" w:val="Brussell, "/>
    <w:docVar w:name="LW_EMISSION_SUFFIX" w:val=" "/>
    <w:docVar w:name="LW_ID_DOCTYPE_NONLW" w:val="CP-003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8) 8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L-Italja_x000b__x000b_Rapport im\u295?ejji skont l-Artikolu 126(3) tat-Trattat dwar il-Funzjonament tal-Unjoni Ewropea_x000b_"/>
    <w:docVar w:name="LW_TYPE.DOC.CP" w:val="RAPPORT TAL-KUMMISSJONI"/>
  </w:docVar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7"/>
    <w:qFormat/>
    <w:pPr>
      <w:keepNext/>
      <w:numPr>
        <w:numId w:val="7"/>
      </w:numPr>
      <w:outlineLvl w:val="0"/>
    </w:pPr>
    <w:rPr>
      <w:b/>
      <w:smallCaps/>
      <w:sz w:val="20"/>
      <w:szCs w:val="20"/>
    </w:rPr>
  </w:style>
  <w:style w:type="paragraph" w:styleId="Heading2">
    <w:name w:val="heading 2"/>
    <w:basedOn w:val="Normal"/>
    <w:link w:val="Heading2Char"/>
    <w:uiPriority w:val="8"/>
    <w:qFormat/>
    <w:pPr>
      <w:keepNext/>
      <w:numPr>
        <w:ilvl w:val="1"/>
        <w:numId w:val="7"/>
      </w:numPr>
      <w:outlineLvl w:val="1"/>
    </w:pPr>
    <w:rPr>
      <w:b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pPr>
      <w:keepNext/>
      <w:numPr>
        <w:ilvl w:val="2"/>
        <w:numId w:val="7"/>
      </w:numPr>
      <w:outlineLvl w:val="2"/>
    </w:pPr>
    <w:rPr>
      <w:i/>
      <w:sz w:val="20"/>
      <w:szCs w:val="20"/>
    </w:rPr>
  </w:style>
  <w:style w:type="paragraph" w:styleId="Heading4">
    <w:name w:val="heading 4"/>
    <w:basedOn w:val="Normal"/>
    <w:link w:val="Heading4Char"/>
    <w:uiPriority w:val="10"/>
    <w:qFormat/>
    <w:pPr>
      <w:keepNext/>
      <w:numPr>
        <w:ilvl w:val="3"/>
        <w:numId w:val="7"/>
      </w:numPr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1"/>
    <w:qFormat/>
    <w:pPr>
      <w:outlineLvl w:val="4"/>
    </w:pPr>
    <w:rPr>
      <w:rFonts w:ascii="Calibri" w:eastAsia="Calibri" w:hAnsi="Calibri"/>
      <w:b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  <w:rPr>
      <w:rFonts w:eastAsia="Calibri"/>
      <w:sz w:val="20"/>
      <w:szCs w:val="20"/>
    </w:rPr>
  </w:style>
  <w:style w:type="paragraph" w:styleId="TOC1">
    <w:name w:val="toc 1"/>
    <w:basedOn w:val="Normal"/>
    <w:next w:val="Normal"/>
    <w:uiPriority w:val="28"/>
    <w:semiHidden/>
    <w:pPr>
      <w:tabs>
        <w:tab w:val="right" w:leader="dot" w:pos="9071"/>
      </w:tabs>
      <w:ind w:left="850" w:hanging="850"/>
    </w:pPr>
  </w:style>
  <w:style w:type="paragraph" w:styleId="TOC2">
    <w:name w:val="toc 2"/>
    <w:basedOn w:val="Normal"/>
    <w:next w:val="Normal"/>
    <w:uiPriority w:val="29"/>
    <w:semiHidden/>
    <w:pPr>
      <w:tabs>
        <w:tab w:val="right" w:leader="dot" w:pos="9071"/>
      </w:tabs>
      <w:ind w:left="850" w:hanging="850"/>
    </w:pPr>
  </w:style>
  <w:style w:type="paragraph" w:styleId="TOC3">
    <w:name w:val="toc 3"/>
    <w:basedOn w:val="Normal"/>
    <w:next w:val="Normal"/>
    <w:uiPriority w:val="30"/>
    <w:semiHidden/>
    <w:pPr>
      <w:tabs>
        <w:tab w:val="right" w:leader="dot" w:pos="9071"/>
      </w:tabs>
      <w:ind w:left="850" w:hanging="850"/>
    </w:pPr>
  </w:style>
  <w:style w:type="paragraph" w:styleId="TOC4">
    <w:name w:val="toc 4"/>
    <w:basedOn w:val="Normal"/>
    <w:next w:val="Normal"/>
    <w:uiPriority w:val="31"/>
    <w:semiHidden/>
    <w:pPr>
      <w:tabs>
        <w:tab w:val="right" w:leader="dot" w:pos="9071"/>
      </w:tabs>
      <w:ind w:left="850" w:hanging="850"/>
    </w:pPr>
  </w:style>
  <w:style w:type="paragraph" w:styleId="TOC5">
    <w:name w:val="toc 5"/>
    <w:basedOn w:val="Normal"/>
    <w:next w:val="Normal"/>
    <w:uiPriority w:val="32"/>
    <w:semiHidden/>
    <w:pPr>
      <w:tabs>
        <w:tab w:val="right" w:leader="dot" w:pos="9071"/>
      </w:tabs>
    </w:pPr>
  </w:style>
  <w:style w:type="paragraph" w:styleId="TOC6">
    <w:name w:val="toc 6"/>
    <w:basedOn w:val="Normal"/>
    <w:next w:val="Normal"/>
    <w:uiPriority w:val="33"/>
    <w:semiHidden/>
    <w:pPr>
      <w:tabs>
        <w:tab w:val="right" w:leader="dot" w:pos="9071"/>
      </w:tabs>
    </w:pPr>
  </w:style>
  <w:style w:type="paragraph" w:styleId="TOC7">
    <w:name w:val="toc 7"/>
    <w:basedOn w:val="Normal"/>
    <w:next w:val="Normal"/>
    <w:uiPriority w:val="34"/>
    <w:semiHidden/>
    <w:pPr>
      <w:tabs>
        <w:tab w:val="right" w:leader="dot" w:pos="9071"/>
      </w:tabs>
    </w:pPr>
  </w:style>
  <w:style w:type="paragraph" w:styleId="TOC8">
    <w:name w:val="toc 8"/>
    <w:basedOn w:val="Normal"/>
    <w:next w:val="Normal"/>
    <w:uiPriority w:val="35"/>
    <w:semiHidden/>
    <w:pPr>
      <w:tabs>
        <w:tab w:val="right" w:leader="dot" w:pos="9071"/>
      </w:tabs>
    </w:pPr>
  </w:style>
  <w:style w:type="paragraph" w:styleId="TOC9">
    <w:name w:val="toc 9"/>
    <w:basedOn w:val="Normal"/>
    <w:next w:val="Normal"/>
    <w:uiPriority w:val="36"/>
    <w:semiHidden/>
    <w:pPr>
      <w:tabs>
        <w:tab w:val="right" w:leader="dot" w:pos="9071"/>
      </w:tabs>
    </w:p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smallCaps/>
      <w:w w:val="100"/>
      <w:sz w:val="24"/>
      <w:szCs w:val="24"/>
      <w:shd w:val="clear" w:color="auto" w:fill="auto"/>
    </w:rPr>
  </w:style>
  <w:style w:type="character" w:customStyle="1" w:styleId="Heading2Char">
    <w:name w:val="Heading 2 Char"/>
    <w:link w:val="Heading2"/>
    <w:uiPriority w:val="8"/>
    <w:rPr>
      <w:rFonts w:ascii="Times New Roman" w:hAnsi="Times New Roman"/>
      <w:b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i/>
      <w:w w:val="100"/>
      <w:sz w:val="24"/>
      <w:szCs w:val="24"/>
      <w:shd w:val="clear" w:color="auto" w:fill="auto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Heading5Char">
    <w:name w:val="Heading 5 Char"/>
    <w:link w:val="Heading5"/>
    <w:semiHidden/>
    <w:rPr>
      <w:rFonts w:ascii="Calibri" w:eastAsia="Times New Roman" w:hAnsi="Calibri"/>
      <w:b/>
      <w:i/>
      <w:w w:val="100"/>
      <w:sz w:val="26"/>
      <w:szCs w:val="26"/>
      <w:shd w:val="clear" w:color="auto" w:fill="auto"/>
    </w:rPr>
  </w:style>
  <w:style w:type="paragraph" w:customStyle="1" w:styleId="Text1">
    <w:name w:val="Text 1"/>
    <w:basedOn w:val="Normal"/>
    <w:pPr>
      <w:ind w:left="850"/>
    </w:pPr>
  </w:style>
  <w:style w:type="paragraph" w:styleId="Header">
    <w:name w:val="header"/>
    <w:basedOn w:val="Normal"/>
    <w:link w:val="HeaderChar"/>
    <w:unhideWhenUsed/>
    <w:pPr>
      <w:tabs>
        <w:tab w:val="center" w:pos="4535"/>
        <w:tab w:val="right" w:pos="9071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535"/>
        <w:tab w:val="right" w:pos="9071"/>
        <w:tab w:val="right" w:pos="9921"/>
      </w:tabs>
      <w:ind w:left="-850" w:right="-850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noteText">
    <w:name w:val="footnote text"/>
    <w:basedOn w:val="Normal"/>
    <w:link w:val="FootnoteTextChar"/>
    <w:uiPriority w:val="99"/>
    <w:qFormat/>
    <w:pPr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</w:pPr>
    <w:rPr>
      <w:rFonts w:eastAsia="Calibri"/>
      <w:sz w:val="20"/>
      <w:szCs w:val="20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ind w:left="-567" w:right="-567"/>
    </w:pPr>
    <w:rPr>
      <w:rFonts w:eastAsia="Calibri"/>
      <w:sz w:val="20"/>
      <w:szCs w:val="20"/>
    </w:rPr>
  </w:style>
  <w:style w:type="character" w:styleId="FootnoteReference">
    <w:name w:val="footnote reference"/>
    <w:uiPriority w:val="99"/>
    <w:qFormat/>
    <w:rPr>
      <w:w w:val="100"/>
      <w:sz w:val="20"/>
      <w:szCs w:val="20"/>
      <w:shd w:val="clear" w:color="auto" w:fill="auto"/>
      <w:vertAlign w:val="superscript"/>
    </w:r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ind w:left="850" w:hanging="850"/>
    </w:pPr>
    <w:rPr>
      <w:b/>
      <w:smallCaps/>
      <w:sz w:val="20"/>
      <w:szCs w:val="20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</w:pPr>
    <w:rPr>
      <w:b/>
      <w:sz w:val="20"/>
      <w:szCs w:val="20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</w:pPr>
    <w:rPr>
      <w:i/>
      <w:sz w:val="20"/>
      <w:szCs w:val="20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</w:pPr>
  </w:style>
  <w:style w:type="paragraph" w:customStyle="1" w:styleId="ChapterTitle">
    <w:name w:val="ChapterTitle"/>
    <w:basedOn w:val="Normal"/>
    <w:next w:val="Normal"/>
    <w:pPr>
      <w:keepNext/>
      <w:jc w:val="center"/>
    </w:pPr>
    <w:rPr>
      <w:b/>
      <w:sz w:val="32"/>
      <w:szCs w:val="32"/>
    </w:rPr>
  </w:style>
  <w:style w:type="paragraph" w:customStyle="1" w:styleId="PartTitle">
    <w:name w:val="PartTitle"/>
    <w:basedOn w:val="Normal"/>
    <w:next w:val="ChapterTitle"/>
    <w:pPr>
      <w:keepNext/>
      <w:pageBreakBefore/>
      <w:jc w:val="center"/>
    </w:pPr>
    <w:rPr>
      <w:b/>
      <w:sz w:val="36"/>
      <w:szCs w:val="36"/>
    </w:rPr>
  </w:style>
  <w:style w:type="paragraph" w:customStyle="1" w:styleId="SectionTitle">
    <w:name w:val="SectionTitle"/>
    <w:basedOn w:val="Normal"/>
    <w:next w:val="Heading1"/>
    <w:pPr>
      <w:keepNext/>
      <w:jc w:val="center"/>
    </w:pPr>
    <w:rPr>
      <w:b/>
      <w:smallCaps/>
      <w:sz w:val="28"/>
      <w:szCs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  <w:sz w:val="20"/>
      <w:szCs w:val="20"/>
    </w:rPr>
  </w:style>
  <w:style w:type="character" w:customStyle="1" w:styleId="Marker">
    <w:name w:val="Marker"/>
    <w:rPr>
      <w:color w:val="0000FF"/>
      <w:w w:val="100"/>
      <w:sz w:val="20"/>
      <w:szCs w:val="20"/>
      <w:shd w:val="clear" w:color="000000" w:fill="auto"/>
    </w:rPr>
  </w:style>
  <w:style w:type="character" w:customStyle="1" w:styleId="Marker1">
    <w:name w:val="Marker1"/>
    <w:rPr>
      <w:color w:val="008000"/>
      <w:w w:val="100"/>
      <w:sz w:val="20"/>
      <w:szCs w:val="20"/>
      <w:shd w:val="clear" w:color="000000" w:fill="auto"/>
    </w:rPr>
  </w:style>
  <w:style w:type="character" w:customStyle="1" w:styleId="Marker2">
    <w:name w:val="Marker2"/>
    <w:rPr>
      <w:color w:val="FF0000"/>
      <w:w w:val="100"/>
      <w:sz w:val="20"/>
      <w:szCs w:val="20"/>
      <w:shd w:val="clear" w:color="000000" w:fill="auto"/>
    </w:rPr>
  </w:style>
  <w:style w:type="paragraph" w:customStyle="1" w:styleId="Titolosommario">
    <w:name w:val="Titolo sommario"/>
    <w:basedOn w:val="Normal"/>
    <w:next w:val="Normal"/>
    <w:qFormat/>
    <w:pPr>
      <w:jc w:val="center"/>
    </w:pPr>
    <w:rPr>
      <w:b/>
      <w:sz w:val="28"/>
      <w:szCs w:val="28"/>
    </w:rPr>
  </w:style>
  <w:style w:type="paragraph" w:customStyle="1" w:styleId="Point0number">
    <w:name w:val="Point 0 (number)"/>
    <w:basedOn w:val="Normal"/>
    <w:pPr>
      <w:numPr>
        <w:numId w:val="8"/>
      </w:numPr>
    </w:pPr>
  </w:style>
  <w:style w:type="paragraph" w:customStyle="1" w:styleId="Point1number">
    <w:name w:val="Point 1 (number)"/>
    <w:basedOn w:val="Normal"/>
    <w:pPr>
      <w:numPr>
        <w:ilvl w:val="2"/>
        <w:numId w:val="8"/>
      </w:numPr>
    </w:pPr>
  </w:style>
  <w:style w:type="paragraph" w:customStyle="1" w:styleId="Point2number">
    <w:name w:val="Point 2 (number)"/>
    <w:basedOn w:val="Normal"/>
    <w:pPr>
      <w:numPr>
        <w:ilvl w:val="4"/>
        <w:numId w:val="8"/>
      </w:numPr>
    </w:pPr>
  </w:style>
  <w:style w:type="paragraph" w:customStyle="1" w:styleId="Point3number">
    <w:name w:val="Point 3 (number)"/>
    <w:basedOn w:val="Normal"/>
    <w:pPr>
      <w:numPr>
        <w:ilvl w:val="6"/>
        <w:numId w:val="8"/>
      </w:numPr>
    </w:pPr>
  </w:style>
  <w:style w:type="paragraph" w:customStyle="1" w:styleId="Point0letter">
    <w:name w:val="Point 0 (letter)"/>
    <w:basedOn w:val="Normal"/>
    <w:pPr>
      <w:numPr>
        <w:ilvl w:val="1"/>
        <w:numId w:val="8"/>
      </w:numPr>
    </w:pPr>
  </w:style>
  <w:style w:type="paragraph" w:customStyle="1" w:styleId="Point1letter">
    <w:name w:val="Point 1 (letter)"/>
    <w:basedOn w:val="Normal"/>
    <w:pPr>
      <w:numPr>
        <w:ilvl w:val="3"/>
        <w:numId w:val="8"/>
      </w:numPr>
    </w:pPr>
  </w:style>
  <w:style w:type="paragraph" w:customStyle="1" w:styleId="Point2letter">
    <w:name w:val="Point 2 (letter)"/>
    <w:basedOn w:val="Normal"/>
    <w:pPr>
      <w:numPr>
        <w:ilvl w:val="5"/>
        <w:numId w:val="8"/>
      </w:numPr>
    </w:pPr>
  </w:style>
  <w:style w:type="paragraph" w:customStyle="1" w:styleId="Point3letter">
    <w:name w:val="Point 3 (letter)"/>
    <w:basedOn w:val="Normal"/>
    <w:pPr>
      <w:numPr>
        <w:ilvl w:val="7"/>
        <w:numId w:val="8"/>
      </w:numPr>
    </w:pPr>
  </w:style>
  <w:style w:type="paragraph" w:customStyle="1" w:styleId="Point4letter">
    <w:name w:val="Point 4 (letter)"/>
    <w:basedOn w:val="Normal"/>
    <w:pPr>
      <w:numPr>
        <w:ilvl w:val="8"/>
        <w:numId w:val="8"/>
      </w:numPr>
    </w:pPr>
  </w:style>
  <w:style w:type="paragraph" w:customStyle="1" w:styleId="Bullet0">
    <w:name w:val="Bullet 0"/>
    <w:basedOn w:val="Normal"/>
    <w:pPr>
      <w:numPr>
        <w:numId w:val="9"/>
      </w:numPr>
    </w:pPr>
  </w:style>
  <w:style w:type="paragraph" w:customStyle="1" w:styleId="Bullet1">
    <w:name w:val="Bullet 1"/>
    <w:basedOn w:val="Normal"/>
    <w:pPr>
      <w:numPr>
        <w:numId w:val="10"/>
      </w:numPr>
    </w:pPr>
  </w:style>
  <w:style w:type="paragraph" w:customStyle="1" w:styleId="Bullet2">
    <w:name w:val="Bullet 2"/>
    <w:basedOn w:val="Normal"/>
    <w:pPr>
      <w:numPr>
        <w:numId w:val="11"/>
      </w:numPr>
    </w:pPr>
  </w:style>
  <w:style w:type="paragraph" w:customStyle="1" w:styleId="Bullet3">
    <w:name w:val="Bullet 3"/>
    <w:basedOn w:val="Normal"/>
    <w:pPr>
      <w:numPr>
        <w:numId w:val="12"/>
      </w:numPr>
    </w:pPr>
  </w:style>
  <w:style w:type="paragraph" w:customStyle="1" w:styleId="Bullet4">
    <w:name w:val="Bullet 4"/>
    <w:basedOn w:val="Normal"/>
    <w:pPr>
      <w:numPr>
        <w:numId w:val="1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sz w:val="20"/>
      <w:szCs w:val="20"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sz w:val="20"/>
      <w:szCs w:val="20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sz w:val="20"/>
      <w:szCs w:val="20"/>
      <w:u w:val="single"/>
    </w:rPr>
  </w:style>
  <w:style w:type="paragraph" w:customStyle="1" w:styleId="Applicationdirecte">
    <w:name w:val="Application directe"/>
    <w:basedOn w:val="Normal"/>
  </w:style>
  <w:style w:type="paragraph" w:customStyle="1" w:styleId="Fait">
    <w:name w:val="Fait à"/>
    <w:basedOn w:val="Normal"/>
    <w:pPr>
      <w:keepNext/>
    </w:pPr>
  </w:style>
  <w:style w:type="paragraph" w:customStyle="1" w:styleId="Institutionquisigne">
    <w:name w:val="Institution qui signe"/>
    <w:basedOn w:val="Normal"/>
    <w:pPr>
      <w:keepNext/>
      <w:tabs>
        <w:tab w:val="left" w:pos="4252"/>
      </w:tabs>
    </w:pPr>
    <w:rPr>
      <w:i/>
      <w:sz w:val="20"/>
      <w:szCs w:val="20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</w:pPr>
    <w:rPr>
      <w:i/>
      <w:sz w:val="20"/>
      <w:szCs w:val="20"/>
    </w:rPr>
  </w:style>
  <w:style w:type="paragraph" w:customStyle="1" w:styleId="Avertissementtitre">
    <w:name w:val="Avertissement titre"/>
    <w:basedOn w:val="Normal"/>
    <w:next w:val="Normal"/>
    <w:pPr>
      <w:keepNext/>
    </w:pPr>
    <w:rPr>
      <w:sz w:val="20"/>
      <w:szCs w:val="20"/>
      <w:u w:val="single"/>
    </w:rPr>
  </w:style>
  <w:style w:type="paragraph" w:customStyle="1" w:styleId="Confidence">
    <w:name w:val="Confidence"/>
    <w:basedOn w:val="Normal"/>
    <w:next w:val="Normal"/>
    <w:pPr>
      <w:jc w:val="center"/>
    </w:pPr>
  </w:style>
  <w:style w:type="paragraph" w:customStyle="1" w:styleId="Confidentialit">
    <w:name w:val="Confidentialité"/>
    <w:basedOn w:val="Normal"/>
    <w:pPr>
      <w:ind w:left="5103"/>
    </w:pPr>
    <w:rPr>
      <w:i/>
      <w:sz w:val="32"/>
      <w:szCs w:val="32"/>
    </w:rPr>
  </w:style>
  <w:style w:type="paragraph" w:customStyle="1" w:styleId="TypedudocumentPagedecouverture">
    <w:name w:val="Type du document (Page de couverture)"/>
  </w:style>
  <w:style w:type="paragraph" w:customStyle="1" w:styleId="Typedudocument">
    <w:name w:val="Type du document"/>
    <w:basedOn w:val="Normal"/>
    <w:link w:val="TypedudocumentChar"/>
    <w:pPr>
      <w:jc w:val="center"/>
    </w:pPr>
    <w:rPr>
      <w:b/>
      <w:sz w:val="20"/>
      <w:szCs w:val="20"/>
    </w:rPr>
  </w:style>
  <w:style w:type="paragraph" w:customStyle="1" w:styleId="Titreobjet">
    <w:name w:val="Titre objet"/>
    <w:basedOn w:val="Normal"/>
    <w:pPr>
      <w:jc w:val="center"/>
    </w:pPr>
    <w:rPr>
      <w:b/>
      <w:sz w:val="20"/>
      <w:szCs w:val="20"/>
    </w:rPr>
  </w:style>
  <w:style w:type="paragraph" w:customStyle="1" w:styleId="Sous-titreobjet">
    <w:name w:val="Sous-titre objet"/>
    <w:basedOn w:val="Normal"/>
    <w:pPr>
      <w:jc w:val="center"/>
    </w:pPr>
    <w:rPr>
      <w:b/>
      <w:sz w:val="20"/>
      <w:szCs w:val="20"/>
    </w:rPr>
  </w:style>
  <w:style w:type="paragraph" w:customStyle="1" w:styleId="TitreobjetPagedecouverture">
    <w:name w:val="Titre objet (Page de couverture)"/>
    <w:basedOn w:val="Titreobje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Considrant">
    <w:name w:val="Considérant"/>
    <w:basedOn w:val="Normal"/>
    <w:pPr>
      <w:numPr>
        <w:numId w:val="14"/>
      </w:numPr>
    </w:pPr>
  </w:style>
  <w:style w:type="paragraph" w:customStyle="1" w:styleId="Corrigendum">
    <w:name w:val="Corrigendum"/>
    <w:basedOn w:val="Normal"/>
    <w:next w:val="Normal"/>
  </w:style>
  <w:style w:type="paragraph" w:customStyle="1" w:styleId="Datedadoption">
    <w:name w:val="Date d'adoption"/>
    <w:basedOn w:val="Normal"/>
    <w:next w:val="Titreobjet"/>
    <w:pPr>
      <w:jc w:val="center"/>
    </w:pPr>
    <w:rPr>
      <w:b/>
      <w:sz w:val="20"/>
      <w:szCs w:val="20"/>
    </w:rPr>
  </w:style>
  <w:style w:type="paragraph" w:customStyle="1" w:styleId="Emission">
    <w:name w:val="Emission"/>
    <w:basedOn w:val="Normal"/>
    <w:pPr>
      <w:ind w:left="5103"/>
    </w:pPr>
  </w:style>
  <w:style w:type="paragraph" w:customStyle="1" w:styleId="Rfrenceinstitutionnelle">
    <w:name w:val="Référence institutionnelle"/>
    <w:basedOn w:val="Normal"/>
    <w:next w:val="Confidentialit"/>
    <w:pPr>
      <w:ind w:left="5103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sz w:val="20"/>
      <w:szCs w:val="20"/>
      <w:u w:val="single"/>
    </w:rPr>
  </w:style>
  <w:style w:type="paragraph" w:customStyle="1" w:styleId="Formuledadoption">
    <w:name w:val="Formule d'adoption"/>
    <w:basedOn w:val="Normal"/>
    <w:pPr>
      <w:keepNext/>
    </w:pPr>
  </w:style>
  <w:style w:type="paragraph" w:customStyle="1" w:styleId="Titrearticle">
    <w:name w:val="Titre article"/>
    <w:basedOn w:val="Normal"/>
    <w:next w:val="Normal"/>
    <w:pPr>
      <w:keepNext/>
      <w:jc w:val="center"/>
    </w:pPr>
    <w:rPr>
      <w:i/>
      <w:sz w:val="20"/>
      <w:szCs w:val="20"/>
    </w:rPr>
  </w:style>
  <w:style w:type="paragraph" w:customStyle="1" w:styleId="Institutionquiagit">
    <w:name w:val="Institution qui agit"/>
    <w:basedOn w:val="Normal"/>
    <w:next w:val="Normal"/>
    <w:pPr>
      <w:keepNext/>
    </w:pPr>
  </w:style>
  <w:style w:type="paragraph" w:customStyle="1" w:styleId="Langue">
    <w:name w:val="Langue"/>
    <w:basedOn w:val="Normal"/>
    <w:pPr>
      <w:jc w:val="center"/>
    </w:pPr>
    <w:rPr>
      <w:b/>
      <w:caps/>
      <w:sz w:val="20"/>
      <w:szCs w:val="20"/>
    </w:rPr>
  </w:style>
  <w:style w:type="paragraph" w:customStyle="1" w:styleId="Rfrenceinterne">
    <w:name w:val="Référence interne"/>
    <w:basedOn w:val="Normal"/>
    <w:pPr>
      <w:ind w:left="5103"/>
    </w:pPr>
  </w:style>
  <w:style w:type="paragraph" w:customStyle="1" w:styleId="Rfrenceinterinstitutionnelle">
    <w:name w:val="Référence interinstitutionnelle"/>
    <w:basedOn w:val="Normal"/>
    <w:pPr>
      <w:ind w:left="5103"/>
    </w:pPr>
  </w:style>
  <w:style w:type="paragraph" w:customStyle="1" w:styleId="Statut">
    <w:name w:val="Statut"/>
    <w:basedOn w:val="Normal"/>
    <w:next w:val="Typedudocument"/>
    <w:pPr>
      <w:jc w:val="center"/>
    </w:p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rPr>
      <w:rFonts w:ascii="Arial" w:eastAsia="Arial" w:hAnsi="Arial"/>
      <w:sz w:val="20"/>
      <w:szCs w:val="20"/>
    </w:rPr>
  </w:style>
  <w:style w:type="character" w:customStyle="1" w:styleId="Added">
    <w:name w:val="Added"/>
    <w:rPr>
      <w:b/>
      <w:w w:val="100"/>
      <w:sz w:val="20"/>
      <w:szCs w:val="20"/>
      <w:u w:val="single"/>
      <w:shd w:val="clear" w:color="000000" w:fill="auto"/>
    </w:rPr>
  </w:style>
  <w:style w:type="character" w:customStyle="1" w:styleId="Deleted">
    <w:name w:val="Deleted"/>
    <w:rPr>
      <w:strike/>
      <w:w w:val="100"/>
      <w:sz w:val="20"/>
      <w:szCs w:val="20"/>
      <w:shd w:val="clear" w:color="000000" w:fill="auto"/>
    </w:rPr>
  </w:style>
  <w:style w:type="paragraph" w:customStyle="1" w:styleId="Address">
    <w:name w:val="Address"/>
    <w:basedOn w:val="Normal"/>
    <w:next w:val="Normal"/>
    <w:pPr>
      <w:keepLines/>
      <w:ind w:left="3402"/>
    </w:pPr>
  </w:style>
  <w:style w:type="paragraph" w:customStyle="1" w:styleId="Objetexterne">
    <w:name w:val="Objet externe"/>
    <w:basedOn w:val="Normal"/>
    <w:next w:val="Normal"/>
    <w:rPr>
      <w:i/>
      <w:caps/>
      <w:sz w:val="20"/>
      <w:szCs w:val="20"/>
    </w:rPr>
  </w:style>
  <w:style w:type="paragraph" w:customStyle="1" w:styleId="Pagedecouverture">
    <w:name w:val="Page de couverture"/>
    <w:basedOn w:val="Normal"/>
    <w:next w:val="Normal"/>
  </w:style>
  <w:style w:type="paragraph" w:customStyle="1" w:styleId="Supertitre">
    <w:name w:val="Supertitre"/>
    <w:basedOn w:val="Normal"/>
    <w:next w:val="Normal"/>
    <w:pPr>
      <w:jc w:val="center"/>
    </w:pPr>
    <w:rPr>
      <w:b/>
      <w:sz w:val="20"/>
      <w:szCs w:val="20"/>
    </w:rPr>
  </w:style>
  <w:style w:type="paragraph" w:customStyle="1" w:styleId="Languesfaisantfoi">
    <w:name w:val="Langues faisant foi"/>
    <w:basedOn w:val="Normal"/>
    <w:next w:val="Normal"/>
    <w:pPr>
      <w:jc w:val="center"/>
    </w:pPr>
  </w:style>
  <w:style w:type="paragraph" w:customStyle="1" w:styleId="Rfrencecroise">
    <w:name w:val="Référence croisée"/>
    <w:basedOn w:val="Normal"/>
    <w:pPr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sz w:val="20"/>
      <w:szCs w:val="20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Volume">
    <w:name w:val="Volume"/>
    <w:basedOn w:val="Normal"/>
    <w:next w:val="Confidentialit"/>
    <w:pPr>
      <w:ind w:left="5103"/>
    </w:pPr>
  </w:style>
  <w:style w:type="paragraph" w:customStyle="1" w:styleId="IntrtEEE">
    <w:name w:val="Intérêt EEE"/>
    <w:basedOn w:val="Languesfaisantfoi"/>
    <w:next w:val="Normal"/>
  </w:style>
  <w:style w:type="paragraph" w:customStyle="1" w:styleId="Accompagnant">
    <w:name w:val="Accompagnant"/>
    <w:basedOn w:val="Normal"/>
    <w:pPr>
      <w:jc w:val="center"/>
    </w:pPr>
    <w:rPr>
      <w:b/>
      <w:i/>
      <w:sz w:val="20"/>
      <w:szCs w:val="20"/>
    </w:rPr>
  </w:style>
  <w:style w:type="paragraph" w:customStyle="1" w:styleId="Typeacteprincipal">
    <w:name w:val="Type acte principal"/>
    <w:basedOn w:val="Normal"/>
    <w:pPr>
      <w:jc w:val="center"/>
    </w:pPr>
    <w:rPr>
      <w:b/>
      <w:sz w:val="20"/>
      <w:szCs w:val="20"/>
    </w:rPr>
  </w:style>
  <w:style w:type="paragraph" w:customStyle="1" w:styleId="Objetacteprincipal">
    <w:name w:val="Objet acte principal"/>
    <w:basedOn w:val="Normal"/>
    <w:next w:val="Titrearticle"/>
    <w:pPr>
      <w:jc w:val="center"/>
    </w:pPr>
    <w:rPr>
      <w:b/>
      <w:sz w:val="20"/>
      <w:szCs w:val="20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</w:style>
  <w:style w:type="paragraph" w:customStyle="1" w:styleId="TypeacteprincipalPagedecouverture">
    <w:name w:val="Type acte principal (Page de couverture)"/>
    <w:basedOn w:val="Typeacteprincipal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jc w:val="center"/>
    </w:pPr>
  </w:style>
  <w:style w:type="paragraph" w:styleId="ListBullet">
    <w:name w:val="List Bullet"/>
    <w:basedOn w:val="Normal"/>
    <w:pPr>
      <w:numPr>
        <w:numId w:val="20"/>
      </w:numPr>
    </w:pPr>
    <w:rPr>
      <w:sz w:val="20"/>
      <w:szCs w:val="20"/>
    </w:rPr>
  </w:style>
  <w:style w:type="character" w:styleId="Hyperlink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styleId="ListNumber">
    <w:name w:val="List Number"/>
    <w:basedOn w:val="Normal"/>
    <w:pPr>
      <w:numPr>
        <w:numId w:val="15"/>
      </w:numPr>
    </w:pPr>
    <w:rPr>
      <w:sz w:val="20"/>
      <w:szCs w:val="20"/>
    </w:rPr>
  </w:style>
  <w:style w:type="paragraph" w:styleId="ListNumber2">
    <w:name w:val="List Number 2"/>
    <w:basedOn w:val="Normal"/>
    <w:pPr>
      <w:numPr>
        <w:numId w:val="17"/>
      </w:numPr>
    </w:pPr>
    <w:rPr>
      <w:sz w:val="20"/>
      <w:szCs w:val="20"/>
    </w:rPr>
  </w:style>
  <w:style w:type="paragraph" w:styleId="ListNumber3">
    <w:name w:val="List Number 3"/>
    <w:basedOn w:val="Normal"/>
    <w:pPr>
      <w:numPr>
        <w:numId w:val="18"/>
      </w:numPr>
    </w:pPr>
    <w:rPr>
      <w:sz w:val="20"/>
      <w:szCs w:val="20"/>
    </w:rPr>
  </w:style>
  <w:style w:type="paragraph" w:styleId="ListNumber4">
    <w:name w:val="List Number 4"/>
    <w:basedOn w:val="Normal"/>
    <w:pPr>
      <w:numPr>
        <w:numId w:val="19"/>
      </w:numPr>
    </w:pPr>
    <w:rPr>
      <w:sz w:val="20"/>
      <w:szCs w:val="20"/>
    </w:rPr>
  </w:style>
  <w:style w:type="paragraph" w:customStyle="1" w:styleId="ListNumber1">
    <w:name w:val="List Number 1"/>
    <w:basedOn w:val="Text1"/>
    <w:pPr>
      <w:numPr>
        <w:numId w:val="16"/>
      </w:numPr>
    </w:pPr>
    <w:rPr>
      <w:sz w:val="20"/>
      <w:szCs w:val="20"/>
    </w:rPr>
  </w:style>
  <w:style w:type="paragraph" w:customStyle="1" w:styleId="ListNumberLevel2">
    <w:name w:val="List Number (Level 2)"/>
    <w:basedOn w:val="Normal"/>
    <w:pPr>
      <w:numPr>
        <w:ilvl w:val="1"/>
        <w:numId w:val="15"/>
      </w:numPr>
    </w:pPr>
    <w:rPr>
      <w:sz w:val="20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16"/>
      </w:numPr>
    </w:pPr>
    <w:rPr>
      <w:sz w:val="20"/>
      <w:szCs w:val="20"/>
    </w:rPr>
  </w:style>
  <w:style w:type="paragraph" w:customStyle="1" w:styleId="ListNumber2Level2">
    <w:name w:val="List Number 2 (Level 2)"/>
    <w:basedOn w:val="Text2"/>
    <w:pPr>
      <w:numPr>
        <w:ilvl w:val="1"/>
        <w:numId w:val="17"/>
      </w:numPr>
    </w:pPr>
    <w:rPr>
      <w:sz w:val="20"/>
      <w:szCs w:val="20"/>
    </w:rPr>
  </w:style>
  <w:style w:type="paragraph" w:customStyle="1" w:styleId="ListNumber3Level2">
    <w:name w:val="List Number 3 (Level 2)"/>
    <w:basedOn w:val="Text3"/>
    <w:pPr>
      <w:numPr>
        <w:ilvl w:val="1"/>
        <w:numId w:val="18"/>
      </w:numPr>
    </w:pPr>
    <w:rPr>
      <w:sz w:val="20"/>
      <w:szCs w:val="20"/>
    </w:rPr>
  </w:style>
  <w:style w:type="paragraph" w:customStyle="1" w:styleId="ListNumber4Level2">
    <w:name w:val="List Number 4 (Level 2)"/>
    <w:basedOn w:val="Text4"/>
    <w:pPr>
      <w:numPr>
        <w:ilvl w:val="1"/>
        <w:numId w:val="19"/>
      </w:numPr>
    </w:pPr>
    <w:rPr>
      <w:sz w:val="20"/>
      <w:szCs w:val="20"/>
    </w:rPr>
  </w:style>
  <w:style w:type="paragraph" w:customStyle="1" w:styleId="ListNumberLevel3">
    <w:name w:val="List Number (Level 3)"/>
    <w:basedOn w:val="Normal"/>
    <w:pPr>
      <w:numPr>
        <w:ilvl w:val="2"/>
        <w:numId w:val="15"/>
      </w:numPr>
    </w:pPr>
    <w:rPr>
      <w:sz w:val="20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16"/>
      </w:numPr>
    </w:pPr>
    <w:rPr>
      <w:sz w:val="20"/>
      <w:szCs w:val="20"/>
    </w:rPr>
  </w:style>
  <w:style w:type="paragraph" w:customStyle="1" w:styleId="ListNumber2Level3">
    <w:name w:val="List Number 2 (Level 3)"/>
    <w:basedOn w:val="Text2"/>
    <w:pPr>
      <w:numPr>
        <w:ilvl w:val="2"/>
        <w:numId w:val="17"/>
      </w:numPr>
    </w:pPr>
    <w:rPr>
      <w:sz w:val="20"/>
      <w:szCs w:val="20"/>
    </w:rPr>
  </w:style>
  <w:style w:type="paragraph" w:customStyle="1" w:styleId="ListNumber3Level3">
    <w:name w:val="List Number 3 (Level 3)"/>
    <w:basedOn w:val="Text3"/>
    <w:pPr>
      <w:numPr>
        <w:ilvl w:val="2"/>
        <w:numId w:val="18"/>
      </w:numPr>
    </w:pPr>
    <w:rPr>
      <w:sz w:val="20"/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19"/>
      </w:numPr>
    </w:pPr>
    <w:rPr>
      <w:sz w:val="20"/>
      <w:szCs w:val="20"/>
    </w:rPr>
  </w:style>
  <w:style w:type="paragraph" w:customStyle="1" w:styleId="ListNumberLevel4">
    <w:name w:val="List Number (Level 4)"/>
    <w:basedOn w:val="Normal"/>
    <w:pPr>
      <w:numPr>
        <w:ilvl w:val="3"/>
        <w:numId w:val="15"/>
      </w:numPr>
    </w:pPr>
    <w:rPr>
      <w:sz w:val="20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16"/>
      </w:numPr>
    </w:pPr>
    <w:rPr>
      <w:sz w:val="20"/>
      <w:szCs w:val="20"/>
    </w:rPr>
  </w:style>
  <w:style w:type="paragraph" w:customStyle="1" w:styleId="ListNumber2Level4">
    <w:name w:val="List Number 2 (Level 4)"/>
    <w:basedOn w:val="Text2"/>
    <w:pPr>
      <w:numPr>
        <w:ilvl w:val="3"/>
        <w:numId w:val="17"/>
      </w:numPr>
    </w:pPr>
    <w:rPr>
      <w:sz w:val="20"/>
      <w:szCs w:val="20"/>
    </w:rPr>
  </w:style>
  <w:style w:type="paragraph" w:customStyle="1" w:styleId="ListNumber3Level4">
    <w:name w:val="List Number 3 (Level 4)"/>
    <w:basedOn w:val="Text3"/>
    <w:pPr>
      <w:numPr>
        <w:ilvl w:val="3"/>
        <w:numId w:val="18"/>
      </w:numPr>
    </w:pPr>
    <w:rPr>
      <w:sz w:val="20"/>
      <w:szCs w:val="20"/>
    </w:rPr>
  </w:style>
  <w:style w:type="paragraph" w:customStyle="1" w:styleId="ListNumber4Level4">
    <w:name w:val="List Number 4 (Level 4)"/>
    <w:basedOn w:val="Text4"/>
    <w:pPr>
      <w:numPr>
        <w:ilvl w:val="3"/>
        <w:numId w:val="19"/>
      </w:numPr>
    </w:pPr>
    <w:rPr>
      <w:sz w:val="20"/>
      <w:szCs w:val="20"/>
    </w:rPr>
  </w:style>
  <w:style w:type="paragraph" w:customStyle="1" w:styleId="ListBullet1">
    <w:name w:val="List Bullet 1"/>
    <w:basedOn w:val="Normal"/>
    <w:pPr>
      <w:numPr>
        <w:numId w:val="21"/>
      </w:numPr>
    </w:pPr>
    <w:rPr>
      <w:sz w:val="20"/>
      <w:szCs w:val="20"/>
    </w:rPr>
  </w:style>
  <w:style w:type="paragraph" w:styleId="ListBullet2">
    <w:name w:val="List Bullet 2"/>
    <w:basedOn w:val="Normal"/>
    <w:pPr>
      <w:numPr>
        <w:numId w:val="22"/>
      </w:numPr>
    </w:pPr>
    <w:rPr>
      <w:sz w:val="20"/>
      <w:szCs w:val="20"/>
    </w:rPr>
  </w:style>
  <w:style w:type="paragraph" w:styleId="ListBullet3">
    <w:name w:val="List Bullet 3"/>
    <w:basedOn w:val="Normal"/>
    <w:pPr>
      <w:numPr>
        <w:numId w:val="23"/>
      </w:numPr>
    </w:pPr>
    <w:rPr>
      <w:sz w:val="20"/>
      <w:szCs w:val="20"/>
    </w:rPr>
  </w:style>
  <w:style w:type="paragraph" w:styleId="ListBullet4">
    <w:name w:val="List Bullet 4"/>
    <w:basedOn w:val="Normal"/>
    <w:pPr>
      <w:numPr>
        <w:numId w:val="24"/>
      </w:numPr>
    </w:pPr>
    <w:rPr>
      <w:sz w:val="20"/>
      <w:szCs w:val="20"/>
    </w:rPr>
  </w:style>
  <w:style w:type="paragraph" w:customStyle="1" w:styleId="ListDash">
    <w:name w:val="List Dash"/>
    <w:basedOn w:val="Normal"/>
    <w:pPr>
      <w:numPr>
        <w:numId w:val="25"/>
      </w:numPr>
    </w:pPr>
    <w:rPr>
      <w:sz w:val="20"/>
      <w:szCs w:val="20"/>
    </w:rPr>
  </w:style>
  <w:style w:type="paragraph" w:customStyle="1" w:styleId="ListDash1">
    <w:name w:val="List Dash 1"/>
    <w:basedOn w:val="Normal"/>
    <w:pPr>
      <w:numPr>
        <w:numId w:val="26"/>
      </w:numPr>
    </w:pPr>
    <w:rPr>
      <w:sz w:val="20"/>
      <w:szCs w:val="20"/>
    </w:rPr>
  </w:style>
  <w:style w:type="paragraph" w:customStyle="1" w:styleId="ListDash2">
    <w:name w:val="List Dash 2"/>
    <w:basedOn w:val="Normal"/>
    <w:pPr>
      <w:numPr>
        <w:numId w:val="27"/>
      </w:numPr>
    </w:pPr>
    <w:rPr>
      <w:sz w:val="20"/>
      <w:szCs w:val="20"/>
    </w:rPr>
  </w:style>
  <w:style w:type="paragraph" w:customStyle="1" w:styleId="ListDash3">
    <w:name w:val="List Dash 3"/>
    <w:basedOn w:val="Normal"/>
    <w:pPr>
      <w:numPr>
        <w:numId w:val="28"/>
      </w:numPr>
    </w:pPr>
    <w:rPr>
      <w:sz w:val="20"/>
      <w:szCs w:val="20"/>
    </w:rPr>
  </w:style>
  <w:style w:type="paragraph" w:customStyle="1" w:styleId="ListDash4">
    <w:name w:val="List Dash 4"/>
    <w:basedOn w:val="Normal"/>
    <w:pPr>
      <w:numPr>
        <w:numId w:val="29"/>
      </w:numPr>
    </w:pPr>
    <w:rPr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CommentReference">
    <w:name w:val="annotation reference"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link w:val="CommentSubject"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paragraph" w:customStyle="1" w:styleId="ColorfulShading-Accent11">
    <w:name w:val="Colorful Shading - Accent 11"/>
    <w:semiHidden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Pr>
      <w:b/>
      <w:sz w:val="20"/>
      <w:szCs w:val="20"/>
    </w:rPr>
  </w:style>
  <w:style w:type="paragraph" w:styleId="TableofFigures">
    <w:name w:val="table of figures"/>
    <w:basedOn w:val="Normal"/>
    <w:next w:val="Normal"/>
  </w:style>
  <w:style w:type="character" w:styleId="FollowedHyperlink">
    <w:name w:val="FollowedHyperlink"/>
    <w:rPr>
      <w:color w:val="800080"/>
      <w:w w:val="100"/>
      <w:sz w:val="20"/>
      <w:szCs w:val="20"/>
      <w:u w:val="single"/>
      <w:shd w:val="clear" w:color="auto" w:fill="auto"/>
    </w:rPr>
  </w:style>
  <w:style w:type="paragraph" w:customStyle="1" w:styleId="FootnotesymbolCarZchn">
    <w:name w:val="Footnote symbol Car Zchn"/>
    <w:basedOn w:val="Normal"/>
    <w:uiPriority w:val="99"/>
    <w:rPr>
      <w:rFonts w:ascii="Calibri" w:eastAsia="Calibri" w:hAnsi="Calibri"/>
      <w:sz w:val="22"/>
      <w:szCs w:val="22"/>
      <w:vertAlign w:val="superscript"/>
    </w:rPr>
  </w:style>
  <w:style w:type="paragraph" w:styleId="EndnoteText">
    <w:name w:val="endnote text"/>
    <w:basedOn w:val="Normal"/>
    <w:link w:val="EndnoteTextChar"/>
    <w:unhideWhenUsed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EndnoteReference">
    <w:name w:val="endnote reference"/>
    <w:unhideWhenUsed/>
    <w:rPr>
      <w:w w:val="100"/>
      <w:sz w:val="20"/>
      <w:szCs w:val="20"/>
      <w:shd w:val="clear" w:color="auto" w:fill="auto"/>
      <w:vertAlign w:val="superscript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  <w:jc w:val="left"/>
    </w:pPr>
  </w:style>
  <w:style w:type="character" w:customStyle="1" w:styleId="TypedudocumentChar">
    <w:name w:val="Type du document Char"/>
    <w:link w:val="Typedudocument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4"/>
    </w:rPr>
  </w:style>
  <w:style w:type="paragraph" w:customStyle="1" w:styleId="BVIfnrCarChar1">
    <w:name w:val="BVI fnr Car Char1"/>
    <w:basedOn w:val="Normal"/>
    <w:rPr>
      <w:sz w:val="20"/>
      <w:szCs w:val="20"/>
      <w:vertAlign w:val="superscript"/>
    </w:rPr>
  </w:style>
  <w:style w:type="paragraph" w:customStyle="1" w:styleId="GraphTitle">
    <w:name w:val="Graph Title"/>
    <w:basedOn w:val="Normal"/>
    <w:next w:val="Normal"/>
    <w:pPr>
      <w:keepNext/>
      <w:ind w:left="935" w:hanging="935"/>
    </w:pPr>
    <w:rPr>
      <w:rFonts w:ascii="Century Gothic" w:eastAsia="Century Gothic" w:hAnsi="Century Gothic"/>
      <w:color w:val="333399"/>
      <w:sz w:val="14"/>
      <w:szCs w:val="14"/>
    </w:rPr>
  </w:style>
  <w:style w:type="paragraph" w:customStyle="1" w:styleId="GraphSource">
    <w:name w:val="Graph Source"/>
    <w:basedOn w:val="Normal"/>
    <w:rPr>
      <w:rFonts w:ascii="Century Gothic" w:eastAsia="Century Gothic" w:hAnsi="Century Gothic"/>
      <w:color w:val="000000"/>
      <w:sz w:val="14"/>
      <w:szCs w:val="14"/>
    </w:rPr>
  </w:style>
  <w:style w:type="paragraph" w:customStyle="1" w:styleId="GraphFootnote">
    <w:name w:val="Graph Footnote"/>
    <w:basedOn w:val="Normal"/>
    <w:rPr>
      <w:rFonts w:ascii="Century Gothic" w:eastAsia="Century Gothic" w:hAnsi="Century Gothic"/>
      <w:color w:val="000000"/>
      <w:sz w:val="14"/>
      <w:szCs w:val="14"/>
    </w:rPr>
  </w:style>
  <w:style w:type="paragraph" w:customStyle="1" w:styleId="GraphShape">
    <w:name w:val="Graph Shape"/>
    <w:basedOn w:val="Normal"/>
    <w:next w:val="Normal"/>
    <w:pPr>
      <w:keepNext/>
      <w:jc w:val="center"/>
    </w:pPr>
    <w:rPr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Franklin Gothic Medium" w:eastAsia="Franklin Gothic Medium" w:hAnsi="Franklin Gothic Medium"/>
      <w:color w:val="000000"/>
      <w:sz w:val="24"/>
      <w:szCs w:val="24"/>
    </w:rPr>
  </w:style>
  <w:style w:type="paragraph" w:customStyle="1" w:styleId="Declassification">
    <w:name w:val="Declassification"/>
    <w:basedOn w:val="Normal"/>
    <w:next w:val="Normal"/>
    <w:rPr>
      <w:rFonts w:eastAsia="Calibri"/>
      <w:sz w:val="20"/>
      <w:szCs w:val="20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7"/>
    <w:qFormat/>
    <w:pPr>
      <w:keepNext/>
      <w:numPr>
        <w:numId w:val="7"/>
      </w:numPr>
      <w:outlineLvl w:val="0"/>
    </w:pPr>
    <w:rPr>
      <w:b/>
      <w:smallCaps/>
      <w:sz w:val="20"/>
      <w:szCs w:val="20"/>
    </w:rPr>
  </w:style>
  <w:style w:type="paragraph" w:styleId="Heading2">
    <w:name w:val="heading 2"/>
    <w:basedOn w:val="Normal"/>
    <w:link w:val="Heading2Char"/>
    <w:uiPriority w:val="8"/>
    <w:qFormat/>
    <w:pPr>
      <w:keepNext/>
      <w:numPr>
        <w:ilvl w:val="1"/>
        <w:numId w:val="7"/>
      </w:numPr>
      <w:outlineLvl w:val="1"/>
    </w:pPr>
    <w:rPr>
      <w:b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pPr>
      <w:keepNext/>
      <w:numPr>
        <w:ilvl w:val="2"/>
        <w:numId w:val="7"/>
      </w:numPr>
      <w:outlineLvl w:val="2"/>
    </w:pPr>
    <w:rPr>
      <w:i/>
      <w:sz w:val="20"/>
      <w:szCs w:val="20"/>
    </w:rPr>
  </w:style>
  <w:style w:type="paragraph" w:styleId="Heading4">
    <w:name w:val="heading 4"/>
    <w:basedOn w:val="Normal"/>
    <w:link w:val="Heading4Char"/>
    <w:uiPriority w:val="10"/>
    <w:qFormat/>
    <w:pPr>
      <w:keepNext/>
      <w:numPr>
        <w:ilvl w:val="3"/>
        <w:numId w:val="7"/>
      </w:numPr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1"/>
    <w:qFormat/>
    <w:pPr>
      <w:outlineLvl w:val="4"/>
    </w:pPr>
    <w:rPr>
      <w:rFonts w:ascii="Calibri" w:eastAsia="Calibri" w:hAnsi="Calibri"/>
      <w:b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  <w:rPr>
      <w:rFonts w:eastAsia="Calibri"/>
      <w:sz w:val="20"/>
      <w:szCs w:val="20"/>
    </w:rPr>
  </w:style>
  <w:style w:type="paragraph" w:styleId="TOC1">
    <w:name w:val="toc 1"/>
    <w:basedOn w:val="Normal"/>
    <w:next w:val="Normal"/>
    <w:uiPriority w:val="28"/>
    <w:semiHidden/>
    <w:pPr>
      <w:tabs>
        <w:tab w:val="right" w:leader="dot" w:pos="9071"/>
      </w:tabs>
      <w:ind w:left="850" w:hanging="850"/>
    </w:pPr>
  </w:style>
  <w:style w:type="paragraph" w:styleId="TOC2">
    <w:name w:val="toc 2"/>
    <w:basedOn w:val="Normal"/>
    <w:next w:val="Normal"/>
    <w:uiPriority w:val="29"/>
    <w:semiHidden/>
    <w:pPr>
      <w:tabs>
        <w:tab w:val="right" w:leader="dot" w:pos="9071"/>
      </w:tabs>
      <w:ind w:left="850" w:hanging="850"/>
    </w:pPr>
  </w:style>
  <w:style w:type="paragraph" w:styleId="TOC3">
    <w:name w:val="toc 3"/>
    <w:basedOn w:val="Normal"/>
    <w:next w:val="Normal"/>
    <w:uiPriority w:val="30"/>
    <w:semiHidden/>
    <w:pPr>
      <w:tabs>
        <w:tab w:val="right" w:leader="dot" w:pos="9071"/>
      </w:tabs>
      <w:ind w:left="850" w:hanging="850"/>
    </w:pPr>
  </w:style>
  <w:style w:type="paragraph" w:styleId="TOC4">
    <w:name w:val="toc 4"/>
    <w:basedOn w:val="Normal"/>
    <w:next w:val="Normal"/>
    <w:uiPriority w:val="31"/>
    <w:semiHidden/>
    <w:pPr>
      <w:tabs>
        <w:tab w:val="right" w:leader="dot" w:pos="9071"/>
      </w:tabs>
      <w:ind w:left="850" w:hanging="850"/>
    </w:pPr>
  </w:style>
  <w:style w:type="paragraph" w:styleId="TOC5">
    <w:name w:val="toc 5"/>
    <w:basedOn w:val="Normal"/>
    <w:next w:val="Normal"/>
    <w:uiPriority w:val="32"/>
    <w:semiHidden/>
    <w:pPr>
      <w:tabs>
        <w:tab w:val="right" w:leader="dot" w:pos="9071"/>
      </w:tabs>
    </w:pPr>
  </w:style>
  <w:style w:type="paragraph" w:styleId="TOC6">
    <w:name w:val="toc 6"/>
    <w:basedOn w:val="Normal"/>
    <w:next w:val="Normal"/>
    <w:uiPriority w:val="33"/>
    <w:semiHidden/>
    <w:pPr>
      <w:tabs>
        <w:tab w:val="right" w:leader="dot" w:pos="9071"/>
      </w:tabs>
    </w:pPr>
  </w:style>
  <w:style w:type="paragraph" w:styleId="TOC7">
    <w:name w:val="toc 7"/>
    <w:basedOn w:val="Normal"/>
    <w:next w:val="Normal"/>
    <w:uiPriority w:val="34"/>
    <w:semiHidden/>
    <w:pPr>
      <w:tabs>
        <w:tab w:val="right" w:leader="dot" w:pos="9071"/>
      </w:tabs>
    </w:pPr>
  </w:style>
  <w:style w:type="paragraph" w:styleId="TOC8">
    <w:name w:val="toc 8"/>
    <w:basedOn w:val="Normal"/>
    <w:next w:val="Normal"/>
    <w:uiPriority w:val="35"/>
    <w:semiHidden/>
    <w:pPr>
      <w:tabs>
        <w:tab w:val="right" w:leader="dot" w:pos="9071"/>
      </w:tabs>
    </w:pPr>
  </w:style>
  <w:style w:type="paragraph" w:styleId="TOC9">
    <w:name w:val="toc 9"/>
    <w:basedOn w:val="Normal"/>
    <w:next w:val="Normal"/>
    <w:uiPriority w:val="36"/>
    <w:semiHidden/>
    <w:pPr>
      <w:tabs>
        <w:tab w:val="right" w:leader="dot" w:pos="9071"/>
      </w:tabs>
    </w:p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smallCaps/>
      <w:w w:val="100"/>
      <w:sz w:val="24"/>
      <w:szCs w:val="24"/>
      <w:shd w:val="clear" w:color="auto" w:fill="auto"/>
    </w:rPr>
  </w:style>
  <w:style w:type="character" w:customStyle="1" w:styleId="Heading2Char">
    <w:name w:val="Heading 2 Char"/>
    <w:link w:val="Heading2"/>
    <w:uiPriority w:val="8"/>
    <w:rPr>
      <w:rFonts w:ascii="Times New Roman" w:hAnsi="Times New Roman"/>
      <w:b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i/>
      <w:w w:val="100"/>
      <w:sz w:val="24"/>
      <w:szCs w:val="24"/>
      <w:shd w:val="clear" w:color="auto" w:fill="auto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Heading5Char">
    <w:name w:val="Heading 5 Char"/>
    <w:link w:val="Heading5"/>
    <w:semiHidden/>
    <w:rPr>
      <w:rFonts w:ascii="Calibri" w:eastAsia="Times New Roman" w:hAnsi="Calibri"/>
      <w:b/>
      <w:i/>
      <w:w w:val="100"/>
      <w:sz w:val="26"/>
      <w:szCs w:val="26"/>
      <w:shd w:val="clear" w:color="auto" w:fill="auto"/>
    </w:rPr>
  </w:style>
  <w:style w:type="paragraph" w:customStyle="1" w:styleId="Text1">
    <w:name w:val="Text 1"/>
    <w:basedOn w:val="Normal"/>
    <w:pPr>
      <w:ind w:left="850"/>
    </w:pPr>
  </w:style>
  <w:style w:type="paragraph" w:styleId="Header">
    <w:name w:val="header"/>
    <w:basedOn w:val="Normal"/>
    <w:link w:val="HeaderChar"/>
    <w:unhideWhenUsed/>
    <w:pPr>
      <w:tabs>
        <w:tab w:val="center" w:pos="4535"/>
        <w:tab w:val="right" w:pos="9071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535"/>
        <w:tab w:val="right" w:pos="9071"/>
        <w:tab w:val="right" w:pos="9921"/>
      </w:tabs>
      <w:ind w:left="-850" w:right="-850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noteText">
    <w:name w:val="footnote text"/>
    <w:basedOn w:val="Normal"/>
    <w:link w:val="FootnoteTextChar"/>
    <w:uiPriority w:val="99"/>
    <w:qFormat/>
    <w:pPr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</w:pPr>
    <w:rPr>
      <w:rFonts w:eastAsia="Calibri"/>
      <w:sz w:val="20"/>
      <w:szCs w:val="20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ind w:left="-567" w:right="-567"/>
    </w:pPr>
    <w:rPr>
      <w:rFonts w:eastAsia="Calibri"/>
      <w:sz w:val="20"/>
      <w:szCs w:val="20"/>
    </w:rPr>
  </w:style>
  <w:style w:type="character" w:styleId="FootnoteReference">
    <w:name w:val="footnote reference"/>
    <w:uiPriority w:val="99"/>
    <w:qFormat/>
    <w:rPr>
      <w:w w:val="100"/>
      <w:sz w:val="20"/>
      <w:szCs w:val="20"/>
      <w:shd w:val="clear" w:color="auto" w:fill="auto"/>
      <w:vertAlign w:val="superscript"/>
    </w:r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ind w:left="850" w:hanging="850"/>
    </w:pPr>
    <w:rPr>
      <w:b/>
      <w:smallCaps/>
      <w:sz w:val="20"/>
      <w:szCs w:val="20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</w:pPr>
    <w:rPr>
      <w:b/>
      <w:sz w:val="20"/>
      <w:szCs w:val="20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</w:pPr>
    <w:rPr>
      <w:i/>
      <w:sz w:val="20"/>
      <w:szCs w:val="20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</w:pPr>
  </w:style>
  <w:style w:type="paragraph" w:customStyle="1" w:styleId="ChapterTitle">
    <w:name w:val="ChapterTitle"/>
    <w:basedOn w:val="Normal"/>
    <w:next w:val="Normal"/>
    <w:pPr>
      <w:keepNext/>
      <w:jc w:val="center"/>
    </w:pPr>
    <w:rPr>
      <w:b/>
      <w:sz w:val="32"/>
      <w:szCs w:val="32"/>
    </w:rPr>
  </w:style>
  <w:style w:type="paragraph" w:customStyle="1" w:styleId="PartTitle">
    <w:name w:val="PartTitle"/>
    <w:basedOn w:val="Normal"/>
    <w:next w:val="ChapterTitle"/>
    <w:pPr>
      <w:keepNext/>
      <w:pageBreakBefore/>
      <w:jc w:val="center"/>
    </w:pPr>
    <w:rPr>
      <w:b/>
      <w:sz w:val="36"/>
      <w:szCs w:val="36"/>
    </w:rPr>
  </w:style>
  <w:style w:type="paragraph" w:customStyle="1" w:styleId="SectionTitle">
    <w:name w:val="SectionTitle"/>
    <w:basedOn w:val="Normal"/>
    <w:next w:val="Heading1"/>
    <w:pPr>
      <w:keepNext/>
      <w:jc w:val="center"/>
    </w:pPr>
    <w:rPr>
      <w:b/>
      <w:smallCaps/>
      <w:sz w:val="28"/>
      <w:szCs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  <w:sz w:val="20"/>
      <w:szCs w:val="20"/>
    </w:rPr>
  </w:style>
  <w:style w:type="character" w:customStyle="1" w:styleId="Marker">
    <w:name w:val="Marker"/>
    <w:rPr>
      <w:color w:val="0000FF"/>
      <w:w w:val="100"/>
      <w:sz w:val="20"/>
      <w:szCs w:val="20"/>
      <w:shd w:val="clear" w:color="000000" w:fill="auto"/>
    </w:rPr>
  </w:style>
  <w:style w:type="character" w:customStyle="1" w:styleId="Marker1">
    <w:name w:val="Marker1"/>
    <w:rPr>
      <w:color w:val="008000"/>
      <w:w w:val="100"/>
      <w:sz w:val="20"/>
      <w:szCs w:val="20"/>
      <w:shd w:val="clear" w:color="000000" w:fill="auto"/>
    </w:rPr>
  </w:style>
  <w:style w:type="character" w:customStyle="1" w:styleId="Marker2">
    <w:name w:val="Marker2"/>
    <w:rPr>
      <w:color w:val="FF0000"/>
      <w:w w:val="100"/>
      <w:sz w:val="20"/>
      <w:szCs w:val="20"/>
      <w:shd w:val="clear" w:color="000000" w:fill="auto"/>
    </w:rPr>
  </w:style>
  <w:style w:type="paragraph" w:customStyle="1" w:styleId="Titolosommario">
    <w:name w:val="Titolo sommario"/>
    <w:basedOn w:val="Normal"/>
    <w:next w:val="Normal"/>
    <w:qFormat/>
    <w:pPr>
      <w:jc w:val="center"/>
    </w:pPr>
    <w:rPr>
      <w:b/>
      <w:sz w:val="28"/>
      <w:szCs w:val="28"/>
    </w:rPr>
  </w:style>
  <w:style w:type="paragraph" w:customStyle="1" w:styleId="Point0number">
    <w:name w:val="Point 0 (number)"/>
    <w:basedOn w:val="Normal"/>
    <w:pPr>
      <w:numPr>
        <w:numId w:val="8"/>
      </w:numPr>
    </w:pPr>
  </w:style>
  <w:style w:type="paragraph" w:customStyle="1" w:styleId="Point1number">
    <w:name w:val="Point 1 (number)"/>
    <w:basedOn w:val="Normal"/>
    <w:pPr>
      <w:numPr>
        <w:ilvl w:val="2"/>
        <w:numId w:val="8"/>
      </w:numPr>
    </w:pPr>
  </w:style>
  <w:style w:type="paragraph" w:customStyle="1" w:styleId="Point2number">
    <w:name w:val="Point 2 (number)"/>
    <w:basedOn w:val="Normal"/>
    <w:pPr>
      <w:numPr>
        <w:ilvl w:val="4"/>
        <w:numId w:val="8"/>
      </w:numPr>
    </w:pPr>
  </w:style>
  <w:style w:type="paragraph" w:customStyle="1" w:styleId="Point3number">
    <w:name w:val="Point 3 (number)"/>
    <w:basedOn w:val="Normal"/>
    <w:pPr>
      <w:numPr>
        <w:ilvl w:val="6"/>
        <w:numId w:val="8"/>
      </w:numPr>
    </w:pPr>
  </w:style>
  <w:style w:type="paragraph" w:customStyle="1" w:styleId="Point0letter">
    <w:name w:val="Point 0 (letter)"/>
    <w:basedOn w:val="Normal"/>
    <w:pPr>
      <w:numPr>
        <w:ilvl w:val="1"/>
        <w:numId w:val="8"/>
      </w:numPr>
    </w:pPr>
  </w:style>
  <w:style w:type="paragraph" w:customStyle="1" w:styleId="Point1letter">
    <w:name w:val="Point 1 (letter)"/>
    <w:basedOn w:val="Normal"/>
    <w:pPr>
      <w:numPr>
        <w:ilvl w:val="3"/>
        <w:numId w:val="8"/>
      </w:numPr>
    </w:pPr>
  </w:style>
  <w:style w:type="paragraph" w:customStyle="1" w:styleId="Point2letter">
    <w:name w:val="Point 2 (letter)"/>
    <w:basedOn w:val="Normal"/>
    <w:pPr>
      <w:numPr>
        <w:ilvl w:val="5"/>
        <w:numId w:val="8"/>
      </w:numPr>
    </w:pPr>
  </w:style>
  <w:style w:type="paragraph" w:customStyle="1" w:styleId="Point3letter">
    <w:name w:val="Point 3 (letter)"/>
    <w:basedOn w:val="Normal"/>
    <w:pPr>
      <w:numPr>
        <w:ilvl w:val="7"/>
        <w:numId w:val="8"/>
      </w:numPr>
    </w:pPr>
  </w:style>
  <w:style w:type="paragraph" w:customStyle="1" w:styleId="Point4letter">
    <w:name w:val="Point 4 (letter)"/>
    <w:basedOn w:val="Normal"/>
    <w:pPr>
      <w:numPr>
        <w:ilvl w:val="8"/>
        <w:numId w:val="8"/>
      </w:numPr>
    </w:pPr>
  </w:style>
  <w:style w:type="paragraph" w:customStyle="1" w:styleId="Bullet0">
    <w:name w:val="Bullet 0"/>
    <w:basedOn w:val="Normal"/>
    <w:pPr>
      <w:numPr>
        <w:numId w:val="9"/>
      </w:numPr>
    </w:pPr>
  </w:style>
  <w:style w:type="paragraph" w:customStyle="1" w:styleId="Bullet1">
    <w:name w:val="Bullet 1"/>
    <w:basedOn w:val="Normal"/>
    <w:pPr>
      <w:numPr>
        <w:numId w:val="10"/>
      </w:numPr>
    </w:pPr>
  </w:style>
  <w:style w:type="paragraph" w:customStyle="1" w:styleId="Bullet2">
    <w:name w:val="Bullet 2"/>
    <w:basedOn w:val="Normal"/>
    <w:pPr>
      <w:numPr>
        <w:numId w:val="11"/>
      </w:numPr>
    </w:pPr>
  </w:style>
  <w:style w:type="paragraph" w:customStyle="1" w:styleId="Bullet3">
    <w:name w:val="Bullet 3"/>
    <w:basedOn w:val="Normal"/>
    <w:pPr>
      <w:numPr>
        <w:numId w:val="12"/>
      </w:numPr>
    </w:pPr>
  </w:style>
  <w:style w:type="paragraph" w:customStyle="1" w:styleId="Bullet4">
    <w:name w:val="Bullet 4"/>
    <w:basedOn w:val="Normal"/>
    <w:pPr>
      <w:numPr>
        <w:numId w:val="1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sz w:val="20"/>
      <w:szCs w:val="20"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sz w:val="20"/>
      <w:szCs w:val="20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sz w:val="20"/>
      <w:szCs w:val="20"/>
      <w:u w:val="single"/>
    </w:rPr>
  </w:style>
  <w:style w:type="paragraph" w:customStyle="1" w:styleId="Applicationdirecte">
    <w:name w:val="Application directe"/>
    <w:basedOn w:val="Normal"/>
  </w:style>
  <w:style w:type="paragraph" w:customStyle="1" w:styleId="Fait">
    <w:name w:val="Fait à"/>
    <w:basedOn w:val="Normal"/>
    <w:pPr>
      <w:keepNext/>
    </w:pPr>
  </w:style>
  <w:style w:type="paragraph" w:customStyle="1" w:styleId="Institutionquisigne">
    <w:name w:val="Institution qui signe"/>
    <w:basedOn w:val="Normal"/>
    <w:pPr>
      <w:keepNext/>
      <w:tabs>
        <w:tab w:val="left" w:pos="4252"/>
      </w:tabs>
    </w:pPr>
    <w:rPr>
      <w:i/>
      <w:sz w:val="20"/>
      <w:szCs w:val="20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</w:pPr>
    <w:rPr>
      <w:i/>
      <w:sz w:val="20"/>
      <w:szCs w:val="20"/>
    </w:rPr>
  </w:style>
  <w:style w:type="paragraph" w:customStyle="1" w:styleId="Avertissementtitre">
    <w:name w:val="Avertissement titre"/>
    <w:basedOn w:val="Normal"/>
    <w:next w:val="Normal"/>
    <w:pPr>
      <w:keepNext/>
    </w:pPr>
    <w:rPr>
      <w:sz w:val="20"/>
      <w:szCs w:val="20"/>
      <w:u w:val="single"/>
    </w:rPr>
  </w:style>
  <w:style w:type="paragraph" w:customStyle="1" w:styleId="Confidence">
    <w:name w:val="Confidence"/>
    <w:basedOn w:val="Normal"/>
    <w:next w:val="Normal"/>
    <w:pPr>
      <w:jc w:val="center"/>
    </w:pPr>
  </w:style>
  <w:style w:type="paragraph" w:customStyle="1" w:styleId="Confidentialit">
    <w:name w:val="Confidentialité"/>
    <w:basedOn w:val="Normal"/>
    <w:pPr>
      <w:ind w:left="5103"/>
    </w:pPr>
    <w:rPr>
      <w:i/>
      <w:sz w:val="32"/>
      <w:szCs w:val="32"/>
    </w:rPr>
  </w:style>
  <w:style w:type="paragraph" w:customStyle="1" w:styleId="TypedudocumentPagedecouverture">
    <w:name w:val="Type du document (Page de couverture)"/>
  </w:style>
  <w:style w:type="paragraph" w:customStyle="1" w:styleId="Typedudocument">
    <w:name w:val="Type du document"/>
    <w:basedOn w:val="Normal"/>
    <w:link w:val="TypedudocumentChar"/>
    <w:pPr>
      <w:jc w:val="center"/>
    </w:pPr>
    <w:rPr>
      <w:b/>
      <w:sz w:val="20"/>
      <w:szCs w:val="20"/>
    </w:rPr>
  </w:style>
  <w:style w:type="paragraph" w:customStyle="1" w:styleId="Titreobjet">
    <w:name w:val="Titre objet"/>
    <w:basedOn w:val="Normal"/>
    <w:pPr>
      <w:jc w:val="center"/>
    </w:pPr>
    <w:rPr>
      <w:b/>
      <w:sz w:val="20"/>
      <w:szCs w:val="20"/>
    </w:rPr>
  </w:style>
  <w:style w:type="paragraph" w:customStyle="1" w:styleId="Sous-titreobjet">
    <w:name w:val="Sous-titre objet"/>
    <w:basedOn w:val="Normal"/>
    <w:pPr>
      <w:jc w:val="center"/>
    </w:pPr>
    <w:rPr>
      <w:b/>
      <w:sz w:val="20"/>
      <w:szCs w:val="20"/>
    </w:rPr>
  </w:style>
  <w:style w:type="paragraph" w:customStyle="1" w:styleId="TitreobjetPagedecouverture">
    <w:name w:val="Titre objet (Page de couverture)"/>
    <w:basedOn w:val="Titreobje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Considrant">
    <w:name w:val="Considérant"/>
    <w:basedOn w:val="Normal"/>
    <w:pPr>
      <w:numPr>
        <w:numId w:val="14"/>
      </w:numPr>
    </w:pPr>
  </w:style>
  <w:style w:type="paragraph" w:customStyle="1" w:styleId="Corrigendum">
    <w:name w:val="Corrigendum"/>
    <w:basedOn w:val="Normal"/>
    <w:next w:val="Normal"/>
  </w:style>
  <w:style w:type="paragraph" w:customStyle="1" w:styleId="Datedadoption">
    <w:name w:val="Date d'adoption"/>
    <w:basedOn w:val="Normal"/>
    <w:next w:val="Titreobjet"/>
    <w:pPr>
      <w:jc w:val="center"/>
    </w:pPr>
    <w:rPr>
      <w:b/>
      <w:sz w:val="20"/>
      <w:szCs w:val="20"/>
    </w:rPr>
  </w:style>
  <w:style w:type="paragraph" w:customStyle="1" w:styleId="Emission">
    <w:name w:val="Emission"/>
    <w:basedOn w:val="Normal"/>
    <w:pPr>
      <w:ind w:left="5103"/>
    </w:pPr>
  </w:style>
  <w:style w:type="paragraph" w:customStyle="1" w:styleId="Rfrenceinstitutionnelle">
    <w:name w:val="Référence institutionnelle"/>
    <w:basedOn w:val="Normal"/>
    <w:next w:val="Confidentialit"/>
    <w:pPr>
      <w:ind w:left="5103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sz w:val="20"/>
      <w:szCs w:val="20"/>
      <w:u w:val="single"/>
    </w:rPr>
  </w:style>
  <w:style w:type="paragraph" w:customStyle="1" w:styleId="Formuledadoption">
    <w:name w:val="Formule d'adoption"/>
    <w:basedOn w:val="Normal"/>
    <w:pPr>
      <w:keepNext/>
    </w:pPr>
  </w:style>
  <w:style w:type="paragraph" w:customStyle="1" w:styleId="Titrearticle">
    <w:name w:val="Titre article"/>
    <w:basedOn w:val="Normal"/>
    <w:next w:val="Normal"/>
    <w:pPr>
      <w:keepNext/>
      <w:jc w:val="center"/>
    </w:pPr>
    <w:rPr>
      <w:i/>
      <w:sz w:val="20"/>
      <w:szCs w:val="20"/>
    </w:rPr>
  </w:style>
  <w:style w:type="paragraph" w:customStyle="1" w:styleId="Institutionquiagit">
    <w:name w:val="Institution qui agit"/>
    <w:basedOn w:val="Normal"/>
    <w:next w:val="Normal"/>
    <w:pPr>
      <w:keepNext/>
    </w:pPr>
  </w:style>
  <w:style w:type="paragraph" w:customStyle="1" w:styleId="Langue">
    <w:name w:val="Langue"/>
    <w:basedOn w:val="Normal"/>
    <w:pPr>
      <w:jc w:val="center"/>
    </w:pPr>
    <w:rPr>
      <w:b/>
      <w:caps/>
      <w:sz w:val="20"/>
      <w:szCs w:val="20"/>
    </w:rPr>
  </w:style>
  <w:style w:type="paragraph" w:customStyle="1" w:styleId="Rfrenceinterne">
    <w:name w:val="Référence interne"/>
    <w:basedOn w:val="Normal"/>
    <w:pPr>
      <w:ind w:left="5103"/>
    </w:pPr>
  </w:style>
  <w:style w:type="paragraph" w:customStyle="1" w:styleId="Rfrenceinterinstitutionnelle">
    <w:name w:val="Référence interinstitutionnelle"/>
    <w:basedOn w:val="Normal"/>
    <w:pPr>
      <w:ind w:left="5103"/>
    </w:pPr>
  </w:style>
  <w:style w:type="paragraph" w:customStyle="1" w:styleId="Statut">
    <w:name w:val="Statut"/>
    <w:basedOn w:val="Normal"/>
    <w:next w:val="Typedudocument"/>
    <w:pPr>
      <w:jc w:val="center"/>
    </w:p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rPr>
      <w:rFonts w:ascii="Arial" w:eastAsia="Arial" w:hAnsi="Arial"/>
      <w:sz w:val="20"/>
      <w:szCs w:val="20"/>
    </w:rPr>
  </w:style>
  <w:style w:type="character" w:customStyle="1" w:styleId="Added">
    <w:name w:val="Added"/>
    <w:rPr>
      <w:b/>
      <w:w w:val="100"/>
      <w:sz w:val="20"/>
      <w:szCs w:val="20"/>
      <w:u w:val="single"/>
      <w:shd w:val="clear" w:color="000000" w:fill="auto"/>
    </w:rPr>
  </w:style>
  <w:style w:type="character" w:customStyle="1" w:styleId="Deleted">
    <w:name w:val="Deleted"/>
    <w:rPr>
      <w:strike/>
      <w:w w:val="100"/>
      <w:sz w:val="20"/>
      <w:szCs w:val="20"/>
      <w:shd w:val="clear" w:color="000000" w:fill="auto"/>
    </w:rPr>
  </w:style>
  <w:style w:type="paragraph" w:customStyle="1" w:styleId="Address">
    <w:name w:val="Address"/>
    <w:basedOn w:val="Normal"/>
    <w:next w:val="Normal"/>
    <w:pPr>
      <w:keepLines/>
      <w:ind w:left="3402"/>
    </w:pPr>
  </w:style>
  <w:style w:type="paragraph" w:customStyle="1" w:styleId="Objetexterne">
    <w:name w:val="Objet externe"/>
    <w:basedOn w:val="Normal"/>
    <w:next w:val="Normal"/>
    <w:rPr>
      <w:i/>
      <w:caps/>
      <w:sz w:val="20"/>
      <w:szCs w:val="20"/>
    </w:rPr>
  </w:style>
  <w:style w:type="paragraph" w:customStyle="1" w:styleId="Pagedecouverture">
    <w:name w:val="Page de couverture"/>
    <w:basedOn w:val="Normal"/>
    <w:next w:val="Normal"/>
  </w:style>
  <w:style w:type="paragraph" w:customStyle="1" w:styleId="Supertitre">
    <w:name w:val="Supertitre"/>
    <w:basedOn w:val="Normal"/>
    <w:next w:val="Normal"/>
    <w:pPr>
      <w:jc w:val="center"/>
    </w:pPr>
    <w:rPr>
      <w:b/>
      <w:sz w:val="20"/>
      <w:szCs w:val="20"/>
    </w:rPr>
  </w:style>
  <w:style w:type="paragraph" w:customStyle="1" w:styleId="Languesfaisantfoi">
    <w:name w:val="Langues faisant foi"/>
    <w:basedOn w:val="Normal"/>
    <w:next w:val="Normal"/>
    <w:pPr>
      <w:jc w:val="center"/>
    </w:pPr>
  </w:style>
  <w:style w:type="paragraph" w:customStyle="1" w:styleId="Rfrencecroise">
    <w:name w:val="Référence croisée"/>
    <w:basedOn w:val="Normal"/>
    <w:pPr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sz w:val="20"/>
      <w:szCs w:val="20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Volume">
    <w:name w:val="Volume"/>
    <w:basedOn w:val="Normal"/>
    <w:next w:val="Confidentialit"/>
    <w:pPr>
      <w:ind w:left="5103"/>
    </w:pPr>
  </w:style>
  <w:style w:type="paragraph" w:customStyle="1" w:styleId="IntrtEEE">
    <w:name w:val="Intérêt EEE"/>
    <w:basedOn w:val="Languesfaisantfoi"/>
    <w:next w:val="Normal"/>
  </w:style>
  <w:style w:type="paragraph" w:customStyle="1" w:styleId="Accompagnant">
    <w:name w:val="Accompagnant"/>
    <w:basedOn w:val="Normal"/>
    <w:pPr>
      <w:jc w:val="center"/>
    </w:pPr>
    <w:rPr>
      <w:b/>
      <w:i/>
      <w:sz w:val="20"/>
      <w:szCs w:val="20"/>
    </w:rPr>
  </w:style>
  <w:style w:type="paragraph" w:customStyle="1" w:styleId="Typeacteprincipal">
    <w:name w:val="Type acte principal"/>
    <w:basedOn w:val="Normal"/>
    <w:pPr>
      <w:jc w:val="center"/>
    </w:pPr>
    <w:rPr>
      <w:b/>
      <w:sz w:val="20"/>
      <w:szCs w:val="20"/>
    </w:rPr>
  </w:style>
  <w:style w:type="paragraph" w:customStyle="1" w:styleId="Objetacteprincipal">
    <w:name w:val="Objet acte principal"/>
    <w:basedOn w:val="Normal"/>
    <w:next w:val="Titrearticle"/>
    <w:pPr>
      <w:jc w:val="center"/>
    </w:pPr>
    <w:rPr>
      <w:b/>
      <w:sz w:val="20"/>
      <w:szCs w:val="20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</w:style>
  <w:style w:type="paragraph" w:customStyle="1" w:styleId="TypeacteprincipalPagedecouverture">
    <w:name w:val="Type acte principal (Page de couverture)"/>
    <w:basedOn w:val="Typeacteprincipal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jc w:val="center"/>
    </w:pPr>
  </w:style>
  <w:style w:type="paragraph" w:styleId="ListBullet">
    <w:name w:val="List Bullet"/>
    <w:basedOn w:val="Normal"/>
    <w:pPr>
      <w:numPr>
        <w:numId w:val="20"/>
      </w:numPr>
    </w:pPr>
    <w:rPr>
      <w:sz w:val="20"/>
      <w:szCs w:val="20"/>
    </w:rPr>
  </w:style>
  <w:style w:type="character" w:styleId="Hyperlink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styleId="ListNumber">
    <w:name w:val="List Number"/>
    <w:basedOn w:val="Normal"/>
    <w:pPr>
      <w:numPr>
        <w:numId w:val="15"/>
      </w:numPr>
    </w:pPr>
    <w:rPr>
      <w:sz w:val="20"/>
      <w:szCs w:val="20"/>
    </w:rPr>
  </w:style>
  <w:style w:type="paragraph" w:styleId="ListNumber2">
    <w:name w:val="List Number 2"/>
    <w:basedOn w:val="Normal"/>
    <w:pPr>
      <w:numPr>
        <w:numId w:val="17"/>
      </w:numPr>
    </w:pPr>
    <w:rPr>
      <w:sz w:val="20"/>
      <w:szCs w:val="20"/>
    </w:rPr>
  </w:style>
  <w:style w:type="paragraph" w:styleId="ListNumber3">
    <w:name w:val="List Number 3"/>
    <w:basedOn w:val="Normal"/>
    <w:pPr>
      <w:numPr>
        <w:numId w:val="18"/>
      </w:numPr>
    </w:pPr>
    <w:rPr>
      <w:sz w:val="20"/>
      <w:szCs w:val="20"/>
    </w:rPr>
  </w:style>
  <w:style w:type="paragraph" w:styleId="ListNumber4">
    <w:name w:val="List Number 4"/>
    <w:basedOn w:val="Normal"/>
    <w:pPr>
      <w:numPr>
        <w:numId w:val="19"/>
      </w:numPr>
    </w:pPr>
    <w:rPr>
      <w:sz w:val="20"/>
      <w:szCs w:val="20"/>
    </w:rPr>
  </w:style>
  <w:style w:type="paragraph" w:customStyle="1" w:styleId="ListNumber1">
    <w:name w:val="List Number 1"/>
    <w:basedOn w:val="Text1"/>
    <w:pPr>
      <w:numPr>
        <w:numId w:val="16"/>
      </w:numPr>
    </w:pPr>
    <w:rPr>
      <w:sz w:val="20"/>
      <w:szCs w:val="20"/>
    </w:rPr>
  </w:style>
  <w:style w:type="paragraph" w:customStyle="1" w:styleId="ListNumberLevel2">
    <w:name w:val="List Number (Level 2)"/>
    <w:basedOn w:val="Normal"/>
    <w:pPr>
      <w:numPr>
        <w:ilvl w:val="1"/>
        <w:numId w:val="15"/>
      </w:numPr>
    </w:pPr>
    <w:rPr>
      <w:sz w:val="20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16"/>
      </w:numPr>
    </w:pPr>
    <w:rPr>
      <w:sz w:val="20"/>
      <w:szCs w:val="20"/>
    </w:rPr>
  </w:style>
  <w:style w:type="paragraph" w:customStyle="1" w:styleId="ListNumber2Level2">
    <w:name w:val="List Number 2 (Level 2)"/>
    <w:basedOn w:val="Text2"/>
    <w:pPr>
      <w:numPr>
        <w:ilvl w:val="1"/>
        <w:numId w:val="17"/>
      </w:numPr>
    </w:pPr>
    <w:rPr>
      <w:sz w:val="20"/>
      <w:szCs w:val="20"/>
    </w:rPr>
  </w:style>
  <w:style w:type="paragraph" w:customStyle="1" w:styleId="ListNumber3Level2">
    <w:name w:val="List Number 3 (Level 2)"/>
    <w:basedOn w:val="Text3"/>
    <w:pPr>
      <w:numPr>
        <w:ilvl w:val="1"/>
        <w:numId w:val="18"/>
      </w:numPr>
    </w:pPr>
    <w:rPr>
      <w:sz w:val="20"/>
      <w:szCs w:val="20"/>
    </w:rPr>
  </w:style>
  <w:style w:type="paragraph" w:customStyle="1" w:styleId="ListNumber4Level2">
    <w:name w:val="List Number 4 (Level 2)"/>
    <w:basedOn w:val="Text4"/>
    <w:pPr>
      <w:numPr>
        <w:ilvl w:val="1"/>
        <w:numId w:val="19"/>
      </w:numPr>
    </w:pPr>
    <w:rPr>
      <w:sz w:val="20"/>
      <w:szCs w:val="20"/>
    </w:rPr>
  </w:style>
  <w:style w:type="paragraph" w:customStyle="1" w:styleId="ListNumberLevel3">
    <w:name w:val="List Number (Level 3)"/>
    <w:basedOn w:val="Normal"/>
    <w:pPr>
      <w:numPr>
        <w:ilvl w:val="2"/>
        <w:numId w:val="15"/>
      </w:numPr>
    </w:pPr>
    <w:rPr>
      <w:sz w:val="20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16"/>
      </w:numPr>
    </w:pPr>
    <w:rPr>
      <w:sz w:val="20"/>
      <w:szCs w:val="20"/>
    </w:rPr>
  </w:style>
  <w:style w:type="paragraph" w:customStyle="1" w:styleId="ListNumber2Level3">
    <w:name w:val="List Number 2 (Level 3)"/>
    <w:basedOn w:val="Text2"/>
    <w:pPr>
      <w:numPr>
        <w:ilvl w:val="2"/>
        <w:numId w:val="17"/>
      </w:numPr>
    </w:pPr>
    <w:rPr>
      <w:sz w:val="20"/>
      <w:szCs w:val="20"/>
    </w:rPr>
  </w:style>
  <w:style w:type="paragraph" w:customStyle="1" w:styleId="ListNumber3Level3">
    <w:name w:val="List Number 3 (Level 3)"/>
    <w:basedOn w:val="Text3"/>
    <w:pPr>
      <w:numPr>
        <w:ilvl w:val="2"/>
        <w:numId w:val="18"/>
      </w:numPr>
    </w:pPr>
    <w:rPr>
      <w:sz w:val="20"/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19"/>
      </w:numPr>
    </w:pPr>
    <w:rPr>
      <w:sz w:val="20"/>
      <w:szCs w:val="20"/>
    </w:rPr>
  </w:style>
  <w:style w:type="paragraph" w:customStyle="1" w:styleId="ListNumberLevel4">
    <w:name w:val="List Number (Level 4)"/>
    <w:basedOn w:val="Normal"/>
    <w:pPr>
      <w:numPr>
        <w:ilvl w:val="3"/>
        <w:numId w:val="15"/>
      </w:numPr>
    </w:pPr>
    <w:rPr>
      <w:sz w:val="20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16"/>
      </w:numPr>
    </w:pPr>
    <w:rPr>
      <w:sz w:val="20"/>
      <w:szCs w:val="20"/>
    </w:rPr>
  </w:style>
  <w:style w:type="paragraph" w:customStyle="1" w:styleId="ListNumber2Level4">
    <w:name w:val="List Number 2 (Level 4)"/>
    <w:basedOn w:val="Text2"/>
    <w:pPr>
      <w:numPr>
        <w:ilvl w:val="3"/>
        <w:numId w:val="17"/>
      </w:numPr>
    </w:pPr>
    <w:rPr>
      <w:sz w:val="20"/>
      <w:szCs w:val="20"/>
    </w:rPr>
  </w:style>
  <w:style w:type="paragraph" w:customStyle="1" w:styleId="ListNumber3Level4">
    <w:name w:val="List Number 3 (Level 4)"/>
    <w:basedOn w:val="Text3"/>
    <w:pPr>
      <w:numPr>
        <w:ilvl w:val="3"/>
        <w:numId w:val="18"/>
      </w:numPr>
    </w:pPr>
    <w:rPr>
      <w:sz w:val="20"/>
      <w:szCs w:val="20"/>
    </w:rPr>
  </w:style>
  <w:style w:type="paragraph" w:customStyle="1" w:styleId="ListNumber4Level4">
    <w:name w:val="List Number 4 (Level 4)"/>
    <w:basedOn w:val="Text4"/>
    <w:pPr>
      <w:numPr>
        <w:ilvl w:val="3"/>
        <w:numId w:val="19"/>
      </w:numPr>
    </w:pPr>
    <w:rPr>
      <w:sz w:val="20"/>
      <w:szCs w:val="20"/>
    </w:rPr>
  </w:style>
  <w:style w:type="paragraph" w:customStyle="1" w:styleId="ListBullet1">
    <w:name w:val="List Bullet 1"/>
    <w:basedOn w:val="Normal"/>
    <w:pPr>
      <w:numPr>
        <w:numId w:val="21"/>
      </w:numPr>
    </w:pPr>
    <w:rPr>
      <w:sz w:val="20"/>
      <w:szCs w:val="20"/>
    </w:rPr>
  </w:style>
  <w:style w:type="paragraph" w:styleId="ListBullet2">
    <w:name w:val="List Bullet 2"/>
    <w:basedOn w:val="Normal"/>
    <w:pPr>
      <w:numPr>
        <w:numId w:val="22"/>
      </w:numPr>
    </w:pPr>
    <w:rPr>
      <w:sz w:val="20"/>
      <w:szCs w:val="20"/>
    </w:rPr>
  </w:style>
  <w:style w:type="paragraph" w:styleId="ListBullet3">
    <w:name w:val="List Bullet 3"/>
    <w:basedOn w:val="Normal"/>
    <w:pPr>
      <w:numPr>
        <w:numId w:val="23"/>
      </w:numPr>
    </w:pPr>
    <w:rPr>
      <w:sz w:val="20"/>
      <w:szCs w:val="20"/>
    </w:rPr>
  </w:style>
  <w:style w:type="paragraph" w:styleId="ListBullet4">
    <w:name w:val="List Bullet 4"/>
    <w:basedOn w:val="Normal"/>
    <w:pPr>
      <w:numPr>
        <w:numId w:val="24"/>
      </w:numPr>
    </w:pPr>
    <w:rPr>
      <w:sz w:val="20"/>
      <w:szCs w:val="20"/>
    </w:rPr>
  </w:style>
  <w:style w:type="paragraph" w:customStyle="1" w:styleId="ListDash">
    <w:name w:val="List Dash"/>
    <w:basedOn w:val="Normal"/>
    <w:pPr>
      <w:numPr>
        <w:numId w:val="25"/>
      </w:numPr>
    </w:pPr>
    <w:rPr>
      <w:sz w:val="20"/>
      <w:szCs w:val="20"/>
    </w:rPr>
  </w:style>
  <w:style w:type="paragraph" w:customStyle="1" w:styleId="ListDash1">
    <w:name w:val="List Dash 1"/>
    <w:basedOn w:val="Normal"/>
    <w:pPr>
      <w:numPr>
        <w:numId w:val="26"/>
      </w:numPr>
    </w:pPr>
    <w:rPr>
      <w:sz w:val="20"/>
      <w:szCs w:val="20"/>
    </w:rPr>
  </w:style>
  <w:style w:type="paragraph" w:customStyle="1" w:styleId="ListDash2">
    <w:name w:val="List Dash 2"/>
    <w:basedOn w:val="Normal"/>
    <w:pPr>
      <w:numPr>
        <w:numId w:val="27"/>
      </w:numPr>
    </w:pPr>
    <w:rPr>
      <w:sz w:val="20"/>
      <w:szCs w:val="20"/>
    </w:rPr>
  </w:style>
  <w:style w:type="paragraph" w:customStyle="1" w:styleId="ListDash3">
    <w:name w:val="List Dash 3"/>
    <w:basedOn w:val="Normal"/>
    <w:pPr>
      <w:numPr>
        <w:numId w:val="28"/>
      </w:numPr>
    </w:pPr>
    <w:rPr>
      <w:sz w:val="20"/>
      <w:szCs w:val="20"/>
    </w:rPr>
  </w:style>
  <w:style w:type="paragraph" w:customStyle="1" w:styleId="ListDash4">
    <w:name w:val="List Dash 4"/>
    <w:basedOn w:val="Normal"/>
    <w:pPr>
      <w:numPr>
        <w:numId w:val="29"/>
      </w:numPr>
    </w:pPr>
    <w:rPr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CommentReference">
    <w:name w:val="annotation reference"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link w:val="CommentSubject"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paragraph" w:customStyle="1" w:styleId="ColorfulShading-Accent11">
    <w:name w:val="Colorful Shading - Accent 11"/>
    <w:semiHidden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Pr>
      <w:b/>
      <w:sz w:val="20"/>
      <w:szCs w:val="20"/>
    </w:rPr>
  </w:style>
  <w:style w:type="paragraph" w:styleId="TableofFigures">
    <w:name w:val="table of figures"/>
    <w:basedOn w:val="Normal"/>
    <w:next w:val="Normal"/>
  </w:style>
  <w:style w:type="character" w:styleId="FollowedHyperlink">
    <w:name w:val="FollowedHyperlink"/>
    <w:rPr>
      <w:color w:val="800080"/>
      <w:w w:val="100"/>
      <w:sz w:val="20"/>
      <w:szCs w:val="20"/>
      <w:u w:val="single"/>
      <w:shd w:val="clear" w:color="auto" w:fill="auto"/>
    </w:rPr>
  </w:style>
  <w:style w:type="paragraph" w:customStyle="1" w:styleId="FootnotesymbolCarZchn">
    <w:name w:val="Footnote symbol Car Zchn"/>
    <w:basedOn w:val="Normal"/>
    <w:uiPriority w:val="99"/>
    <w:rPr>
      <w:rFonts w:ascii="Calibri" w:eastAsia="Calibri" w:hAnsi="Calibri"/>
      <w:sz w:val="22"/>
      <w:szCs w:val="22"/>
      <w:vertAlign w:val="superscript"/>
    </w:rPr>
  </w:style>
  <w:style w:type="paragraph" w:styleId="EndnoteText">
    <w:name w:val="endnote text"/>
    <w:basedOn w:val="Normal"/>
    <w:link w:val="EndnoteTextChar"/>
    <w:unhideWhenUsed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EndnoteReference">
    <w:name w:val="endnote reference"/>
    <w:unhideWhenUsed/>
    <w:rPr>
      <w:w w:val="100"/>
      <w:sz w:val="20"/>
      <w:szCs w:val="20"/>
      <w:shd w:val="clear" w:color="auto" w:fill="auto"/>
      <w:vertAlign w:val="superscript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  <w:jc w:val="left"/>
    </w:pPr>
  </w:style>
  <w:style w:type="character" w:customStyle="1" w:styleId="TypedudocumentChar">
    <w:name w:val="Type du document Char"/>
    <w:link w:val="Typedudocument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4"/>
    </w:rPr>
  </w:style>
  <w:style w:type="paragraph" w:customStyle="1" w:styleId="BVIfnrCarChar1">
    <w:name w:val="BVI fnr Car Char1"/>
    <w:basedOn w:val="Normal"/>
    <w:rPr>
      <w:sz w:val="20"/>
      <w:szCs w:val="20"/>
      <w:vertAlign w:val="superscript"/>
    </w:rPr>
  </w:style>
  <w:style w:type="paragraph" w:customStyle="1" w:styleId="GraphTitle">
    <w:name w:val="Graph Title"/>
    <w:basedOn w:val="Normal"/>
    <w:next w:val="Normal"/>
    <w:pPr>
      <w:keepNext/>
      <w:ind w:left="935" w:hanging="935"/>
    </w:pPr>
    <w:rPr>
      <w:rFonts w:ascii="Century Gothic" w:eastAsia="Century Gothic" w:hAnsi="Century Gothic"/>
      <w:color w:val="333399"/>
      <w:sz w:val="14"/>
      <w:szCs w:val="14"/>
    </w:rPr>
  </w:style>
  <w:style w:type="paragraph" w:customStyle="1" w:styleId="GraphSource">
    <w:name w:val="Graph Source"/>
    <w:basedOn w:val="Normal"/>
    <w:rPr>
      <w:rFonts w:ascii="Century Gothic" w:eastAsia="Century Gothic" w:hAnsi="Century Gothic"/>
      <w:color w:val="000000"/>
      <w:sz w:val="14"/>
      <w:szCs w:val="14"/>
    </w:rPr>
  </w:style>
  <w:style w:type="paragraph" w:customStyle="1" w:styleId="GraphFootnote">
    <w:name w:val="Graph Footnote"/>
    <w:basedOn w:val="Normal"/>
    <w:rPr>
      <w:rFonts w:ascii="Century Gothic" w:eastAsia="Century Gothic" w:hAnsi="Century Gothic"/>
      <w:color w:val="000000"/>
      <w:sz w:val="14"/>
      <w:szCs w:val="14"/>
    </w:rPr>
  </w:style>
  <w:style w:type="paragraph" w:customStyle="1" w:styleId="GraphShape">
    <w:name w:val="Graph Shape"/>
    <w:basedOn w:val="Normal"/>
    <w:next w:val="Normal"/>
    <w:pPr>
      <w:keepNext/>
      <w:jc w:val="center"/>
    </w:pPr>
    <w:rPr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Franklin Gothic Medium" w:eastAsia="Franklin Gothic Medium" w:hAnsi="Franklin Gothic Medium"/>
      <w:color w:val="000000"/>
      <w:sz w:val="24"/>
      <w:szCs w:val="24"/>
    </w:rPr>
  </w:style>
  <w:style w:type="paragraph" w:customStyle="1" w:styleId="Declassification">
    <w:name w:val="Declassification"/>
    <w:basedOn w:val="Normal"/>
    <w:next w:val="Normal"/>
    <w:rPr>
      <w:rFonts w:eastAsia="Calibri"/>
      <w:sz w:val="20"/>
      <w:szCs w:val="20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ites/info/files/2017-european-semester-country-specific-recommendations-commission-recommendations-communication.pdf" TargetMode="External"/><Relationship Id="rId3" Type="http://schemas.openxmlformats.org/officeDocument/2006/relationships/hyperlink" Target="http://ec.europa.eu/eurostat/web/government-finance-statistics/excessive-deficit-procedure/edp-notification-tables" TargetMode="External"/><Relationship Id="rId7" Type="http://schemas.openxmlformats.org/officeDocument/2006/relationships/hyperlink" Target="http://www.dt.mef.gov.it/export/sites/sitodt/modules/documenti_it/analisi_progammazione/documenti_programmatici/def_2018/DEF_2018_-_Sez.3_-_PNR.pdf" TargetMode="External"/><Relationship Id="rId2" Type="http://schemas.openxmlformats.org/officeDocument/2006/relationships/hyperlink" Target="https://ec.europa.eu/info/sites/info/files/economy-finance/2019_dbp_it_en_1.pdf" TargetMode="External"/><Relationship Id="rId1" Type="http://schemas.openxmlformats.org/officeDocument/2006/relationships/hyperlink" Target="http://data.consilium.europa.eu/doc/document/ST-9344-2017-INIT/mt/pdf" TargetMode="External"/><Relationship Id="rId6" Type="http://schemas.openxmlformats.org/officeDocument/2006/relationships/hyperlink" Target="http://www.imf.org/external/pubs/ft/wp/2013/wp1301.pdf" TargetMode="External"/><Relationship Id="rId5" Type="http://schemas.openxmlformats.org/officeDocument/2006/relationships/hyperlink" Target="http://www.dt.tesoro.it/export/sites/sitodt/modules/documenti_it/debito_pubblico/presentazioni_studi_relazioni/Rapporto_sul_Debito_Pubblico_2017.pdf" TargetMode="External"/><Relationship Id="rId4" Type="http://schemas.openxmlformats.org/officeDocument/2006/relationships/hyperlink" Target="https://ec.europa.eu/eurostat/documents/2995521/9328077/2-22102018-AP-EN.pdf/e1b423ef-a337-42ea-90cb-4a6775ba4c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E586-FB52-4C93-9E41-ED7366D4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25</Pages>
  <Words>8956</Words>
  <Characters>64129</Characters>
  <Application>Microsoft Office Word</Application>
  <DocSecurity>0</DocSecurity>
  <Lines>866</Lines>
  <Paragraphs>123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Manager/>
  <Company/>
  <LinksUpToDate>false</LinksUpToDate>
  <CharactersWithSpaces>72962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41</cp:revision>
  <cp:lastPrinted>2018-11-15T14:06:00Z</cp:lastPrinted>
  <dcterms:created xsi:type="dcterms:W3CDTF">2018-11-20T13:47:00Z</dcterms:created>
  <dcterms:modified xsi:type="dcterms:W3CDTF">2019-01-14T10:11:00Z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