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13AAD4F-12B0-46AC-B09A-074230E79219" style="width:450.35pt;height:352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 ciele návrhu</w:t>
      </w:r>
    </w:p>
    <w:p>
      <w:pPr>
        <w:rPr>
          <w:noProof/>
          <w:szCs w:val="24"/>
        </w:rPr>
      </w:pPr>
      <w:r>
        <w:rPr>
          <w:noProof/>
        </w:rPr>
        <w:t>Rada a Európsky parlament prijali v septembri 2018 dva legislatívne akty – nariadenie, ktorým sa zriaďuje Európsky systém pre cestovné informácie a povolenia (ETIAS)</w:t>
      </w:r>
      <w:r>
        <w:rPr>
          <w:rStyle w:val="FootnoteReference0"/>
          <w:noProof/>
        </w:rPr>
        <w:footnoteReference w:id="1"/>
      </w:r>
      <w:r>
        <w:rPr>
          <w:noProof/>
        </w:rPr>
        <w:t xml:space="preserve"> a zmenu nariadenia o Europole na účely zriadenia systému ETIAS</w:t>
      </w:r>
      <w:r>
        <w:rPr>
          <w:rStyle w:val="FootnoteReference0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  <w:szCs w:val="24"/>
        </w:rPr>
      </w:pPr>
      <w:r>
        <w:rPr>
          <w:noProof/>
        </w:rPr>
        <w:t>Zriadenie systému ETIAS patrí medzi snahy vyvíjané v posledných rokoch na úrovni EÚ, aby sa zvýšila bezpečnosť občanov a zabránilo sa neregulárnej migrácii v otvorenej Európe, čím sa zabezpečí a naďalej posilní riadenie vonkajších hraníc</w:t>
      </w:r>
      <w:r>
        <w:rPr>
          <w:rStyle w:val="FootnoteReference0"/>
          <w:noProof/>
        </w:rPr>
        <w:footnoteReference w:id="3"/>
      </w:r>
      <w:r>
        <w:rPr>
          <w:noProof/>
          <w:vertAlign w:val="superscript"/>
        </w:rPr>
        <w:t>,</w:t>
      </w:r>
      <w:r>
        <w:rPr>
          <w:rStyle w:val="FootnoteReference0"/>
          <w:noProof/>
        </w:rPr>
        <w:footnoteReference w:id="4"/>
      </w:r>
      <w:r>
        <w:rPr>
          <w:noProof/>
        </w:rPr>
        <w:t>. Kontext a zriadenie tohto systému boli oznámené v prejave o stave Únie z roku 2016. Predseda Juncker v tejto súvislosti uviedol: „</w:t>
      </w:r>
      <w:r>
        <w:rPr>
          <w:i/>
          <w:noProof/>
        </w:rPr>
        <w:t>Budeme brániť naše hranice a každého, kto ich prekročí, podrobíme prísnym kontrolám […]. Vždy, keď niekto vstúpi do EÚ alebo z nej odíde, urobí sa záznam o tom, kedy, kde a prečo tak urobil. Najneskôr v novembri [2016] predložíme návrh na vytvorenie európskeho systému cestovných informácií – pôjde o automatizovaný systém na určovanie osôb, ktoré môžu pricestovať do Európy. Tak budeme vedieť, kto do Európy cestuje, ešte skôr, ako sem dorazí</w:t>
      </w:r>
      <w:r>
        <w:rPr>
          <w:noProof/>
        </w:rPr>
        <w:t>“.</w:t>
      </w:r>
    </w:p>
    <w:p>
      <w:pPr>
        <w:rPr>
          <w:noProof/>
          <w:szCs w:val="24"/>
        </w:rPr>
      </w:pPr>
      <w:r>
        <w:rPr>
          <w:noProof/>
        </w:rPr>
        <w:t>Systém ETIAS doplní chýbajúce informácie o cestujúcich, ktorí sú oslobodení od vízovej povinnosti pri prekračovaní vonkajších hraníc. Systém ETIAS určí, či sú štátni príslušníci tretích krajín oslobodení od vízovej povinnosti oprávnení na vstup do schengenského priestoru, a to ešte pred ich cestou, a či takáto cesta predstavuje bezpečnostné riziko, riziko z hľadiska neregulárneho prisťahovalectva alebo vysoké epidemiologické riziko. Systém ETIAS takisto poskytne cestujúcim istotu, že budú môcť bez problémov prekročiť hranice. V prípade potreby by národné jednotky ETIAS mohli udelenie cestovného povolenia ETIAS odoprieť.</w:t>
      </w:r>
    </w:p>
    <w:p>
      <w:pPr>
        <w:rPr>
          <w:noProof/>
          <w:szCs w:val="24"/>
        </w:rPr>
      </w:pPr>
      <w:r>
        <w:rPr>
          <w:noProof/>
        </w:rPr>
        <w:t>Posudzovanie takýchto rizík bude zahŕňať automatizované spracovanie osobných údajov uvedených v žiadostiach o cestovné povolenie. V nariadení o ETIAS sa stanovuje, že osobné údaje uvedené v žiadostiach sa porovnajú s údajmi uvedenými v záznamoch, súboroch alebo zápisoch uchovávaných v informačných systémoch alebo databázach EÚ [centrálny systém ETIAS, Schengenský informačný systém (SIS), vízový informačný systém (VIS), systém vstup/výstup (EES) alebo systém Eurodac], v údajoch Europolu alebo v databázach Interpolu [databáza odcudzených a stratených cestovných dokladov Interpolu (SLTD) alebo databáza Interpolu obsahujúca cestovné doklady súvisiace s obežníkmi (TDAWN)]</w:t>
      </w:r>
      <w:r>
        <w:rPr>
          <w:rStyle w:val="FootnoteReference0"/>
          <w:noProof/>
        </w:rPr>
        <w:footnoteReference w:id="5"/>
      </w:r>
      <w:r>
        <w:rPr>
          <w:noProof/>
        </w:rPr>
        <w:t>.</w:t>
      </w:r>
    </w:p>
    <w:p>
      <w:pPr>
        <w:rPr>
          <w:rStyle w:val="Added"/>
          <w:b w:val="0"/>
          <w:noProof/>
        </w:rPr>
      </w:pPr>
      <w:r>
        <w:rPr>
          <w:noProof/>
        </w:rPr>
        <w:t>Hoci sa v článku 20 nariadenia vymedzuje, ktorá skupina údajov zo súborov žiadostí v systéme ETIAS sa môže použiť na vyhľadávanie v iných systémoch, nie všetky tieto údaje sa v iných informačných systémoch EÚ a údajoch Europolu zbierajú alebo zaznamenávajú rovnakým spôsobom. Napríklad v jednom zo systémov sa zaznamenáva „krajina, kde bol cestovný doklad vydaný“, zatiaľ čo v inom systéme sa rovnaký údaj zaznamenáva iným spôsobom, napr. ako „trojmiestny kód krajiny, v ktorej bol cestovný doklad vydaný“. V iných prípadoch sa kategória údajov zaznamenáva v jednom systéme, ale v inom už nie. Napríklad „mená rodičov žiadateľov“ sa zaznamenávajú v systéme ETIAS, ale nie vo väčšine ostatných systémov, v ktorých má systém ETIAS vyhľadávať.</w:t>
      </w:r>
    </w:p>
    <w:p>
      <w:pPr>
        <w:rPr>
          <w:noProof/>
          <w:szCs w:val="24"/>
        </w:rPr>
      </w:pPr>
      <w:r>
        <w:rPr>
          <w:noProof/>
        </w:rPr>
        <w:t>V čase prijatia návrhu systému ETIAS</w:t>
      </w:r>
      <w:r>
        <w:rPr>
          <w:rStyle w:val="FootnoteReference0"/>
          <w:noProof/>
        </w:rPr>
        <w:footnoteReference w:id="6"/>
      </w:r>
      <w:r>
        <w:rPr>
          <w:noProof/>
        </w:rPr>
        <w:t xml:space="preserve"> bola situácia týkajúca sa rôznych informačných systémov EÚ, v ktorých má systém ETIAS vyhľadávať, v porovnaní s dneškom odlišná. V čase prijatia návrhu systému ETIAS sa navrhlo zriadenie ďalších dvoch nových systémov informačných technológií EÚ: diskutovalo sa o nariadení o systéme vstup/výstup (EES)</w:t>
      </w:r>
      <w:r>
        <w:rPr>
          <w:rStyle w:val="FootnoteReference0"/>
          <w:noProof/>
        </w:rPr>
        <w:footnoteReference w:id="7"/>
      </w:r>
      <w:r>
        <w:rPr>
          <w:noProof/>
        </w:rPr>
        <w:t>, zatiaľ čo sa pripravoval návrh Komisie o Európskom informačnom systéme registrov trestov pre štátnych príslušníkov tretích krajín (ECRIS-TCN)</w:t>
      </w:r>
      <w:r>
        <w:rPr>
          <w:rStyle w:val="FootnoteReference0"/>
          <w:noProof/>
        </w:rPr>
        <w:footnoteReference w:id="8"/>
      </w:r>
      <w:r>
        <w:rPr>
          <w:noProof/>
        </w:rPr>
        <w:t>. Pokiaľ ide o existujúce informačné systémy, právne texty SIS sa vyvíjali vďaka navrhovaným revíziám právneho rámca SIS v decembri 2016 a spoluzákonodarcovia ich prijali v novembri 2018</w:t>
      </w:r>
      <w:r>
        <w:rPr>
          <w:rStyle w:val="FootnoteReference0"/>
          <w:noProof/>
        </w:rPr>
        <w:footnoteReference w:id="9"/>
      </w:r>
      <w:r>
        <w:rPr>
          <w:noProof/>
        </w:rPr>
        <w:t>. Komisia v rámci reformy spoločného európskeho azylového systému predložila návrh na prepracované znenie nariadenia Eurodac</w:t>
      </w:r>
      <w:r>
        <w:rPr>
          <w:rStyle w:val="FootnoteReference0"/>
          <w:noProof/>
        </w:rPr>
        <w:footnoteReference w:id="10"/>
      </w:r>
      <w:r>
        <w:rPr>
          <w:noProof/>
        </w:rPr>
        <w:t>, ktorý spoluzákonodarcovia však ešte neprijali</w:t>
      </w:r>
      <w:r>
        <w:rPr>
          <w:rStyle w:val="FootnoteReference0"/>
          <w:noProof/>
        </w:rPr>
        <w:footnoteReference w:id="11"/>
      </w:r>
      <w:r>
        <w:rPr>
          <w:noProof/>
        </w:rPr>
        <w:t>. Prepracované znenie nariadenia Eurodac teda musia ešte prijať spoluzákonodarcovia.</w:t>
      </w:r>
    </w:p>
    <w:p>
      <w:pPr>
        <w:rPr>
          <w:noProof/>
          <w:szCs w:val="24"/>
        </w:rPr>
      </w:pPr>
      <w:r>
        <w:rPr>
          <w:noProof/>
        </w:rPr>
        <w:t>Na základe týchto úvah sa v nariadení o ETIAS v článku 11 ods. 2 stanovuje, že: „Zmeny právnych aktov zriaďujúcich informačné systémy EÚ, ktoré sú potrebné na zaistenie ich interoperability o systémom ETIAS, ako aj doplnenie zodpovedajúcich ustanovení v tomto nariadení sú predmetom samostatného právneho nástroja.“</w:t>
      </w:r>
    </w:p>
    <w:p>
      <w:pPr>
        <w:rPr>
          <w:noProof/>
          <w:szCs w:val="24"/>
        </w:rPr>
      </w:pPr>
      <w:r>
        <w:rPr>
          <w:rStyle w:val="Added"/>
          <w:b w:val="0"/>
          <w:noProof/>
          <w:u w:val="none"/>
        </w:rPr>
        <w:t xml:space="preserve">Cieľom tohto návrhu je preto stanoviť technické zmeny potrebné na plne funkčné zriadenie systému ETIAS prostredníctvom zmeny právnych aktov </w:t>
      </w:r>
      <w:r>
        <w:rPr>
          <w:noProof/>
        </w:rPr>
        <w:t>systémov informačných technológií EÚ</w:t>
      </w:r>
      <w:r>
        <w:rPr>
          <w:rStyle w:val="Added"/>
          <w:b w:val="0"/>
          <w:noProof/>
          <w:u w:val="none"/>
        </w:rPr>
        <w:t>, v ktorých systém ETIAS vyhľadáva. V tomto návrhu sa takisto stanovujú príslušné ustanovenia a zodpovedajúcim spôsobom sa mení nariadenie o ETIAS.</w:t>
      </w:r>
    </w:p>
    <w:p>
      <w:pPr>
        <w:rPr>
          <w:noProof/>
          <w:szCs w:val="24"/>
        </w:rPr>
      </w:pPr>
      <w:r>
        <w:rPr>
          <w:noProof/>
        </w:rPr>
        <w:t>Po prvé, táto iniciatíva stanovuje zmeny nariadenia o systéme ECRIS-TCN, v súvislosti s ktorým spoluzákonodarcovia našli nedávno „dohodu v zásade“. Preto v súlade so zámerom vyjadreným spoluzákonodarcami v nariadení o ETIAS</w:t>
      </w:r>
      <w:r>
        <w:rPr>
          <w:rStyle w:val="FootnoteReference0"/>
          <w:noProof/>
        </w:rPr>
        <w:footnoteReference w:id="12"/>
      </w:r>
      <w:r>
        <w:rPr>
          <w:noProof/>
        </w:rPr>
        <w:t xml:space="preserve"> je teraz možné zahrnúť do systému ETIAS potrebné ustanovenia o spojitosti medzi systémom ETIAS a systémom ECRIS-TCN a zodpovedajúcim spôsobom zmeniť systém ECRIS-TCN.</w:t>
      </w:r>
    </w:p>
    <w:p>
      <w:pPr>
        <w:rPr>
          <w:noProof/>
          <w:szCs w:val="24"/>
        </w:rPr>
      </w:pPr>
      <w:r>
        <w:rPr>
          <w:noProof/>
        </w:rPr>
        <w:t>Po druhé, cieľom tejto iniciatívy je aj vytvorenie spojitosti medzi systémami ETIAS a SIS. Revidovaný právny rámec SIS bol prijatý v novembri 2018. Tento návrh obsahuje zmeny vyplývajúce z prijatia nových nariadení o SIS. V súlade s novým právnym rámcom SIS sa pre posudzovanie žiadostí navrhuje zahrnúť novú kategóriu zápisov – zápis na účely zisťovacej kontroly</w:t>
      </w:r>
      <w:r>
        <w:rPr>
          <w:rStyle w:val="FootnoteReference0"/>
          <w:noProof/>
        </w:rPr>
        <w:footnoteReference w:id="13"/>
      </w:r>
      <w:r>
        <w:rPr>
          <w:noProof/>
        </w:rPr>
        <w:t>. Nenavrhuje sa zahrnúť kategóriu zápisov týkajúcu sa rozhodnutí o návrate, keďže takéto zápisy sa v čase vykonania rozhodnutia o návrate vymazávajú. To znamená, že osoby, ktoré po odchode z EÚ žiadajú o povolenie v systéme ETIAS, nebudú mať – a priori – v SIS záznam o návrate. Po tretie, cieľom tejto iniciatívy je zmeniť nariadenie o systéme vstup/výstup s cieľom stanoviť technicky jeho spojitosť so systémom ETIAS.</w:t>
      </w:r>
    </w:p>
    <w:p>
      <w:pPr>
        <w:rPr>
          <w:noProof/>
          <w:szCs w:val="24"/>
        </w:rPr>
      </w:pPr>
      <w:r>
        <w:rPr>
          <w:noProof/>
        </w:rPr>
        <w:t>Po štvrté, cieľom iniciatívy je aj zmena nariadenia o VIS, aby systém VIS mohol prijímať, spracovávať a reagovať na vyhľadávanie systému ETIAS. Hoci Komisia v máji 2018 predložila návrh na zmenu nariadenia o VIS s cieľom modernizovať túto databázu, v rámci súčasnej iniciatívy sa predkladajú zmeny platného nariadenia o VIS, keďže rokovania o návrhu zmodernizovaného systému VIS ešte dostatočne nepokročili.</w:t>
      </w:r>
      <w:r>
        <w:rPr>
          <w:noProof/>
          <w:color w:val="000000"/>
        </w:rPr>
        <w:t xml:space="preserve"> Ak by však najprv došlo k prijatiu návrhu na zmenu nariadenia o VIS, mohlo by byť potrebné vykonať v tu prezentovanom návrhu niektoré technické zmeny s cieľom zosúladiť ho so zmeneným znením nariadenia o VIS. Ak sa tento návrh prijme ako prvý, mohlo by byť potrebné vykonať v návrhu na zmenu nariadenia o VIS pred jeho prijatím určité technické zmeny.</w:t>
      </w:r>
    </w:p>
    <w:p>
      <w:pPr>
        <w:rPr>
          <w:noProof/>
          <w:szCs w:val="24"/>
        </w:rPr>
      </w:pPr>
      <w:r>
        <w:rPr>
          <w:noProof/>
        </w:rPr>
        <w:t>Okrem toho v nadväznosti na prijatie nariadenia o systéme vstup/výstup a nariadenia o ETIAS je teraz potrebné zosúladiť spôsob, akým systém vstup/výstup a systém ETIAS spoločne fungujú, so spôsobom integrácie systému vstup/výstup a systému VIS na účely procesu hraničnej kontroly a zaznamenávania prekročení hranice v systéme vstup/výstup. Tým sa zracionalizuje a zjednoduší práca príslušníkov pohraničnej stráže prostredníctvom zavedenia jednotnejšieho procesu kontroly hraníc v prípade všetkých štátnych príslušníkov tretích krajín, ktorí vstupujú na krátkodobý pobyt.</w:t>
      </w:r>
    </w:p>
    <w:p>
      <w:pPr>
        <w:rPr>
          <w:noProof/>
          <w:szCs w:val="24"/>
        </w:rPr>
      </w:pPr>
      <w:r>
        <w:rPr>
          <w:noProof/>
        </w:rPr>
        <w:t>Táto iniciatíva však nezahŕňa zmeny týkajúce sa systému Eurodac, databázy EÚ zameranej na oblasť azylu a neregulárnej migrácie, keďže rokovania o legislatívnom návrhu na posilnenie systému Eurodac ešte neboli v máji 2016 ukončené</w:t>
      </w:r>
      <w:r>
        <w:rPr>
          <w:rStyle w:val="FootnoteReference0"/>
          <w:noProof/>
        </w:rPr>
        <w:footnoteReference w:id="14"/>
      </w:r>
      <w:r>
        <w:rPr>
          <w:noProof/>
        </w:rPr>
        <w:t>. Okrem toho, údaje dostupné v súčasnosti v systéme Eurodac nie sú na účely systému ETIAS dostatočné, keďže v existujúcom systéme Eurodac sa spracúvajú len biometrické údaje a referenčné číslo a neuvádzajú sa tu žiadne iné osobné údaje [napr. meno(-á), vek, dátum narodenia], ktoré by mohli prispieť k cieľom systému ETIAS. Cieľom legislatívneho návrhu prepracovaného znenia nariadenia Eurodac z mája 2016 je rozšíriť účel databázy na identifikáciu neoprávnene sa zdržiavajúcich štátnych príslušníkov tretích krajín a osôb, ktoré nelegálne vstúpili na územie EÚ. Návrh zaisťuje predovšetkým uchovávanie osobných údajov, ako napríklad meno(-á), vek, dátum narodenia, štátna príslušnosť a dokladov totožnosti. Tieto údaje o totožnosti sú nevyhnutné na zabezpečenie toho, aby systém Eurodac mohol prispievať k cieľom systému ETIAS.</w:t>
      </w:r>
    </w:p>
    <w:p>
      <w:pPr>
        <w:rPr>
          <w:noProof/>
        </w:rPr>
      </w:pPr>
      <w:r>
        <w:rPr>
          <w:noProof/>
        </w:rPr>
        <w:t>Keď spoluzákonodarcovia dosiahnu politickú dohodu o prepracovanom znení nariadenia Eurodac, bude potrebné prepracované znenie nariadenia Eurodac doplniť o potrebné zmeny na prepojenie systému Eurodac so systémom ETIAS. Keď spoluzákonodarcovia prijmú legislatívne návrhy Komisie</w:t>
      </w:r>
      <w:r>
        <w:rPr>
          <w:rStyle w:val="FootnoteReference0"/>
          <w:noProof/>
        </w:rPr>
        <w:footnoteReference w:id="15"/>
      </w:r>
      <w:r>
        <w:rPr>
          <w:noProof/>
        </w:rPr>
        <w:t xml:space="preserve"> o interoperabilite informačných systémov pre bezpečnosť, riadenie hraníc a riadenie migrácie a keď sa dosiahne politická dohoda o návrhu na prepracované znenie nariadenia Eurodac, Komisia uplatní rovnaký prístup, pokiaľ ide o zmeny potrebné na zaistenie toho, aby sa systém Eurodac stal súčasťou interoperability informačných systémov.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V súlade s oznámením z apríla 2016 s názvom „Silnejšie a inteligentnejšie inteligentnejších systémy pre hranice a bezpečnosť“ má byť systém ETIAS založený na opätovnom použití hardvérových a softvérových komponentov vyvinutých pre systém vstup/výstup</w:t>
      </w:r>
      <w:r>
        <w:rPr>
          <w:rStyle w:val="FootnoteReference0"/>
          <w:noProof/>
        </w:rPr>
        <w:footnoteReference w:id="16"/>
      </w:r>
      <w:r>
        <w:rPr>
          <w:noProof/>
        </w:rPr>
        <w:t>. Tento prístup sa uplatňuje aj v legislatívnych návrhoch o interoperabilite informačných systémov</w:t>
      </w:r>
      <w:r>
        <w:rPr>
          <w:rStyle w:val="FootnoteReference0"/>
          <w:noProof/>
        </w:rPr>
        <w:footnoteReference w:id="17"/>
      </w:r>
      <w:r>
        <w:rPr>
          <w:noProof/>
        </w:rPr>
        <w:t>. Technický vývoj spoločného registra údajov o totožnosti a európskeho vyhľadávacieho portálu podľa legislatívnych návrhov týkajúcich sa interoperability informačných systémov bude založený na komponentoch systému vstup/výstup/ETIAS.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V tomto návrhu sú preto predkladané zmeny nariadenia o ETIAS s cieľom špecifikovať, že centrálny systém ETIAS bude založený na hardvérových a softvérových komponentoch centrálneho systému vstup/výstup s cieľom zriadiť zdieľaný register údajov o totožnosti na účely uchovávania alfanumerických údajov o totožnosti žiadateľov uvedených v systéme ETIAS, ako aj štátnych príslušníkov tretích krajín registrovaných v EES. Keď spoluzákonodarcovia prijmú legislatívne návrhy o interoperabilite informačných systémov, tento zdieľaný register údajov o totožnosti bude základom pre zavedenie spoločného registra údajov o totožnosti. Počas prechodného obdobia pred sprístupnením európskeho vyhľadávacieho portálu by sa pri automatizovanom spracúvaní žiadostí v systéme ETIAS uplatňoval nástroj, ktorý by sa použil ako základ pre vytvorenie a implementáciu európskeho vyhľadávacieho portálu.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Vzhľadom na variabilnú geometriu účasti členských štátov na politikách EÚ v rámci priestoru slobody, bezpečnosti a spravodlivosti je potrebné prijať dva samostatné právne nástroje, ktoré však budú plynulo spoločne fungovať s cieľom umožniť komplexnú prevádzku a komplexné používanie systému.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Existujúce ustanovenia v oblasti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Systém ETIAS bol zriadený nariadením (EÚ) 2018/1240</w:t>
      </w:r>
      <w:r>
        <w:rPr>
          <w:rStyle w:val="FootnoteReference0"/>
          <w:noProof/>
        </w:rPr>
        <w:footnoteReference w:id="18"/>
      </w:r>
      <w:r>
        <w:rPr>
          <w:noProof/>
        </w:rPr>
        <w:t>. V nariadení sa špecifikujú ciele systému ETIAS, je tu vymedzená jeho technická a organizačná architektúra, stanovené pravidlá týkajúce sa prevádzky a používania údajov, ktoré má žiadateľ zadávať do systému, a pravidlá týkajúce sa udeľovania alebo zamietania cestovných povolení, ďalej sú tu stanovené účely, na ktoré sa údaje majú spracúvať, určené orgány oprávnené na prístup k údajom a špecifikované pravidlá na zabezpečenie ochrany osobných údajov.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súlade s nariadením o ETIAS sa týmto návrhom zavádzajú zmeny právnych aktov, ktorými sa zriaďujú informačné systémy EÚ, potrebné na vytvorenie ich spojitosti so systémom ETIAS. Takisto sa v ňom dopĺňajú zodpovedajúce ustanovenia do samotného nariadenia o ETIAS.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Týmto návrhom nie je dotknutá smernica 2004/38/ES</w:t>
      </w:r>
      <w:r>
        <w:rPr>
          <w:rStyle w:val="FootnoteReference0"/>
          <w:noProof/>
        </w:rPr>
        <w:footnoteReference w:id="19"/>
      </w:r>
      <w:r>
        <w:rPr>
          <w:noProof/>
        </w:rPr>
        <w:t>. Týmto návrhom sa nijako nemení smernica 2004/38/ES.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 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je v súlade s európskou migračnou agendou a následnými oznámeniami vrátane oznámenia zo 14. septembra 2016 s názvom „Posilnenie bezpečnosti vo svete mobility: lepšia výmena informácií v boji proti terorizmu a lepšie chránené vonkajšie hranice“, ako aj s Európskym programom v oblasti bezpečnosti</w:t>
      </w:r>
      <w:r>
        <w:rPr>
          <w:rStyle w:val="FootnoteReference0"/>
          <w:noProof/>
        </w:rPr>
        <w:footnoteReference w:id="20"/>
      </w:r>
      <w:r>
        <w:rPr>
          <w:noProof/>
        </w:rPr>
        <w:t xml:space="preserve"> a správami Komisie o práci a pokroku dosiahnutom pri budovaní účinnej a skutočnej bezpečnostnej únii</w:t>
      </w:r>
      <w:r>
        <w:rPr>
          <w:rStyle w:val="FootnoteReference0"/>
          <w:noProof/>
        </w:rPr>
        <w:footnoteReference w:id="2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Právny základ tohto návrhu sa skladá z článku 82 ods. 1 písm. d) a článku 87 ods. 2 písm. a) Zmluvy o fungovaní Európskej únie (ZFEÚ).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Článok 82 ods. 1 písm. d) ZFEÚ umožňuje Európskemu parlamentu a Rade prijímať opatrenia na uľahčovanie spolupráce medzi justičnými orgánmi alebo rovnocennými orgánmi členských štátov v rámci trestného stíhania a výkonu rozhodnutí.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Článok 87 ods. 2 písm. a) ZFEÚ umožňuje Európskemu parlamentu a Rade prijímať opatrenia, ktoré sa týkajú zhromažďovania, uchovávania, spracúvania, analýzy a výmeny informácií, ktoré sú relevantné pre policajnú spoluprácu v súvislosti s predchádzaním trestným činom, ich odhaľovaním a vyšetrovaním.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Tieto dve ustanovenia zmluvy slúžili ako právny základ pre prijatie nariadenia (EÚ) 2018/1862, ktorým sa zriaďuje Schengenský informačný systém (SIS) v oblasti policajnej spolupráce a justičnej spolupráce v trestných veciach. Zároveň slúžia ako právny základ pre tento návrh na zmenu uvedeného nariadenia.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Predpokladá sa, že článok 82 ods. 1 písm. d) ZFEÚ o justičnej spolupráci v trestných veciach a výkone rozhodnutí bude slúžiť ako právny základ aj pre návrh o systéme ECRIS-TCN, v súvislosti s ktorým sa medzi spoluzákonodarcami dosiahla politická dohoda. Preto je aj právnym základom tohto návrhu na zmenu nariadenia o systéme ECRIS-TCN za predpokladu, že tento návrh bude prijatý.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Subsidiarita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Návrh obsahuje zmeny nariadení, ktorými sa zavádzajú celoeurópske informačné systémy na riadenie vonkajších hraníc a bezpečnosti priestoru bez kontrol na vnútorných hraniciach. Takéto systémy informačných technológií môžu byť vzhľadom na ich povahu zriadené len na úrovni EÚ a nie na úrovni členských štátov konajúcich samostatne.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 tomto návrhu sa ďalej rozvádzajú zásady, ktoré už zákonodarca stanovil v nariadení o ETIAS.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Vyplýva z nasledujúcich prvkov.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Špecifikácie týkajúce sa výmeny údajov medzi systémom ETIAS a každým z iných informačných systémov EÚ sú v súlade s výmenou údajov podľa článkov 20 a 23 nariadenia o ETIAS.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Udeľovanie prístupových práv k údajom o totožnosti v informačných systémoch EÚ (EES, VIS, SIS, ECRIS-TCN) centrálnou jednotkou ETIAS patrí do rozsahu povinností pridelených centrálnej jednotke ETIAS podľa článkov 7, 22 a 75 nariadenia o ETIAS.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Udeľovanie prístupových práv k údajom z iných informačných systémov EÚ na účely manuálneho spracovania žiadosti zo strany národnej jednotky ETIAS patrí do rozsahu povinností pridelených národným jednotkám ETIAS podľa článku 8 a kapitoly IV nariadenia o ETIAS.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Zahrnutie zápisov na účely zisťovacej kontroly do tohto návrhu je v súlade s ustanoveniami o podpore cieľov SIS v článku 23 nariadenia o ETIAS.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je primeraný, pretože neprekračuje rámec toho, čo je potrebné na dosiahnutie cieľov na úrovni EÚ.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Navrhuje sa nariadenie Európskeho parlamentu a Rady. V navrhovanom právnom predpise sa rieši priamo prevádzka centrálnych informačných systémov EÚ pre hranice a bezpečnosť, ktoré boli všetky zriadené nariadeniami alebo sa ich zriadenie na základe nariadení navrhuje. Preto môže byť zvoleným právnym nástrojom iba nariadenie.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o zriadení systému ETIAS sa vypracoval na základe štúdie uskutočniteľnosti. Komisia v rámci tejto štúdie zhromaždila stanoviská expertov z členských štátov ku kontrole hraníc a bezpečnosti. Hlavné prvky návrhu o zriadení systému ETIAS sa okrem toho prediskutovali v rámci skupiny expertov na vysokej úrovni pre interoperabilitu, ktorá bola zriadená v nadväznosti na oznámenie o silnejších a inteligentnejších hraniciach zo 6. apríla 2016. Konzultácie sa uskutočnili aj so zástupcami leteckých, námorných a železničných dopravcov, ako aj so zástupcami členských štátov EÚ s vonkajšími pozemnými hranicami. V rámci štúdie uskutočniteľnosti sa viedli aj konzultácie s Agentúrou pre základné práva.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Týmto návrhom sa zavádzajú len obmedzené technické zmeny, v ktorých sa odzrkadľujú ustanovenia, ktoré sú už uvedené v nariadení o ETIAS. Tieto obmedzené technické úpravy nie sú dôvodom na to, aby sa uskutočnili samostatné konzultácie so zainteresovanými stranami.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sa neopiera o posúdenie vplyvu. Návrh je v súlade s nariadením o ETIAS, ktorého návrh bol založený na výsledkoch štúdie uskutočniteľnosti vykonanej od júna do októbra 2016.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Keďže tento návrh neobsahuje nové politické prvky, ale zavádzajú sa ním len obmedzené technické zmeny, v ktorých sa odzrkadľujú ustanovenia, ktoré sú už uvedené v nariadení o ETIAS, posúdenie vplyvu nie je potrebné.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porovnaní s nariadením o ETIAS sa v tomto návrhu uvádzajú len podrobnejšie údaje o tom, ktoré údaje sa majú porovnávať s ktorými údajmi v iných informačných systémoch EÚ, a stanovujú sa tu potrebné zmeny, pokiaľ ide o udelenie prístupových práv do týchto iných systémov centrálnej jednotke ETIAS a národným jednotkám ETIAS. Z toho dôvodu je tento návrh v súlade s Chartou základných práv Európskej únie, a to najmä pokiaľ ide o právo na ochranu osobných údajov, a je takisto v súlade s článkom 16 ZFEÚ, ktorý každej osobe zaručuje právo na ochranu osobných údajov, ktoré sa jej týkajú.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nemá vplyv na rozpočet.</w:t>
      </w:r>
    </w:p>
    <w:p>
      <w:pPr>
        <w:pStyle w:val="ManualHeading2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Účasť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 Keďže cieľom tohto návrhu je zmeniť nariadenie, ktorým sa zriaďuje Schengenský informačný systém (SIS) v oblasti policajnej spolupráce a justičnej spolupráce v trestných veciach, vychádza tento návrh z ustanovení schengenského </w:t>
      </w:r>
      <w:r>
        <w:rPr>
          <w:i/>
          <w:noProof/>
        </w:rPr>
        <w:t>acquis</w:t>
      </w:r>
      <w:r>
        <w:rPr>
          <w:noProof/>
        </w:rPr>
        <w:t>, ktoré sa týkajú policajnej spolupráce a justičnej spolupráce v trestných veciach, s dôsledkami, pokiaľ ide o uplatňovanie protokolov (č. 19) a (č. 22) k ZEÚ a ZFEÚ, ako aj dohôd s pridruženými krajinami.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Keďže je zameraný na zmenu navrhovaného nariadenia, ktorým sa zriaďuje centralizovaný systém na identifikáciu členských štátov, ktoré disponujú informáciami o odsúdeniach štátnych príslušníkov tretích krajín a osôb bez štátnej príslušnosti (ECRIS-TCN), existujú dôsledky, pokiaľ ide o uplatňovanie protokolov (č. 21) a (č. 22); v tejto oblasti neexistujú dohody s pridruženými krajinami.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Z toho vyplývajú tieto dôsledky, prezentované podľa jednotlivých krajín.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Dánsko: Pokiaľ ide o SIS (policajná spolupráca), Dánsko sa v súlade s článkom 4 Protokolu č. 22 o postavení Dánska, ktorý je pripojený k zmluvám, rozhodne do šiestich mesiacov po rozhodnutí Rady o tomto nariadení, či tento návrh bude transponovať do svojho vnútroštátneho práva. Pokiaľ ide o systém ECRIS-TCN, tento návrh sa vzhľadom na článok 1 protokolu 22 nevzťahuje na Dánsko.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Spojené kráľovstvo: Pokiaľ ide o SIS (policajná spolupráca), v súlade s článkom 5 Protokolu (č. 19) a s článkom 8 ods. 2 rozhodnutia Rady 2000/365/ES z 29. mája 2000, ktoré sa týka požiadavky Spojeného kráľovstva Veľkej Británie a Severného Írska zúčastňovať sa na niektorých ustanoveniach schengenského </w:t>
      </w:r>
      <w:r>
        <w:rPr>
          <w:i/>
          <w:noProof/>
        </w:rPr>
        <w:t>acquis</w:t>
      </w:r>
      <w:r>
        <w:rPr>
          <w:noProof/>
        </w:rPr>
        <w:t>, je Spojené kráľovstvo viazané týmto nariadením. Pokiaľ ide o systém ECRIS-TCN, článok 3 a 4a protokolu (č. 21) dávajú Spojenému kráľovstvu možnosť rozhodnúť sa zúčastniť na navrhovanom opatrení.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Írsko: Pokiaľ ide o SIS (policajná spolupráca), v súlade s článkom 5 Protokolu (č. 19) a s článkom 6 ods. 2 rozhodnutia Rady 2002/192/ES z 28. februára 2002, ktoré sa týka požiadavky Írska zúčastňovať sa na niektorých ustanoveniach schengenského </w:t>
      </w:r>
      <w:r>
        <w:rPr>
          <w:i/>
          <w:noProof/>
        </w:rPr>
        <w:t>acquis</w:t>
      </w:r>
      <w:r>
        <w:rPr>
          <w:noProof/>
        </w:rPr>
        <w:t xml:space="preserve">, je Írsko viazané týmto nariadením. Pokiaľ ide o systém ECRIS-TCN, článok 3 a 4a protokolu (č. 21) dávajú Írsku možnosť rozhodnúť sa zúčastniť na navrhovanom opatrení; to by si vyžadovalo, aby Írsko pristúpilo k nariadeniu o systéme ECRIS-TCN, ktorého zmena sa navrhuje, ako aj k celému </w:t>
      </w:r>
      <w:r>
        <w:rPr>
          <w:i/>
          <w:noProof/>
        </w:rPr>
        <w:t>acquis</w:t>
      </w:r>
      <w:r>
        <w:rPr>
          <w:noProof/>
        </w:rPr>
        <w:t xml:space="preserve"> v oblasti systému ECRIS.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Bulharsko a Rumunsko: Pokiaľ ide o SIS (policajná spolupráca), toto navrhované nariadenie predstavuje akt, ktorý je založený na schengenskom </w:t>
      </w:r>
      <w:r>
        <w:rPr>
          <w:i/>
          <w:noProof/>
        </w:rPr>
        <w:t>acquis</w:t>
      </w:r>
      <w:r>
        <w:rPr>
          <w:noProof/>
        </w:rPr>
        <w:t xml:space="preserve"> alebo s ním inak súvisí v zmysle článku 4 ods. 2 Aktu o pristúpení z roku 2005. Toto navrhované nariadenie sa má vykladať v spojení s rozhodnutím Rady 2010/365/EÚ z 29. júna 2010, podľa ktorého sa majú ustanovenia schengenského </w:t>
      </w:r>
      <w:r>
        <w:rPr>
          <w:i/>
          <w:noProof/>
        </w:rPr>
        <w:t>acquis</w:t>
      </w:r>
      <w:r>
        <w:rPr>
          <w:noProof/>
        </w:rPr>
        <w:t xml:space="preserve"> týkajúce sa Schengenského informačného systému s určitými obmedzeniami uplatňovať v Bulharsku a Rumunsku. Pokiaľ ide o systém ECRIS-TCN, Bulharsko a Rumunsko sa nelíšia od iných členských štátov.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Cyprus a Chorvátsko: Pokiaľ ide o SIS (policajná spolupráca), toto navrhované nariadenie predstavuje akt, ktorý je založený na schengenskom </w:t>
      </w:r>
      <w:r>
        <w:rPr>
          <w:i/>
          <w:noProof/>
        </w:rPr>
        <w:t>acquis</w:t>
      </w:r>
      <w:r>
        <w:rPr>
          <w:noProof/>
        </w:rPr>
        <w:t xml:space="preserve"> alebo s ním inak súvisí v zmysle článku 3 ods. 2 Aktu o pristúpení z roku 2003 a článku 4 ods. 2 Aktu o pristúpení z roku 2011. Pokiaľ ide o Chorvátsko, malo by sa toto navrhované nariadenie vykladať v spojení s rozhodnutím Rady (EÚ) 2017/733 z 25. apríla 2017 o uplatňovaní ustanovení schengenského </w:t>
      </w:r>
      <w:r>
        <w:rPr>
          <w:i/>
          <w:noProof/>
        </w:rPr>
        <w:t>acquis</w:t>
      </w:r>
      <w:r>
        <w:rPr>
          <w:noProof/>
        </w:rPr>
        <w:t xml:space="preserve"> týkajúcich sa Schengenského informačného systému v Chorvátskej republike</w:t>
      </w:r>
      <w:r>
        <w:rPr>
          <w:rStyle w:val="FootnoteReference0"/>
          <w:noProof/>
        </w:rPr>
        <w:footnoteReference w:id="22"/>
      </w:r>
      <w:r>
        <w:rPr>
          <w:noProof/>
        </w:rPr>
        <w:t>. Pokiaľ ide o systém ECRIS-TCN, Cyprus a Chorvátsko sa nelíšia od iných členských štátov.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Pridružené krajiny: Na základe príslušných dohôd o pridružení týchto krajín pri vykonávaní, uplatňovaní a vývoji schengenského </w:t>
      </w:r>
      <w:r>
        <w:rPr>
          <w:i/>
          <w:noProof/>
        </w:rPr>
        <w:t>acquis</w:t>
      </w:r>
      <w:r>
        <w:rPr>
          <w:noProof/>
        </w:rPr>
        <w:t>, je Island, Nórsko, Švajčiarsko a Lichtenštajnsko viazané navrhovaným nariadením v rozsahu, v akom sa týka nariadenia o SIS (policajná spolupráca).</w:t>
      </w:r>
    </w:p>
    <w:p>
      <w:pPr>
        <w:autoSpaceDE w:val="0"/>
        <w:autoSpaceDN w:val="0"/>
        <w:adjustRightInd w:val="0"/>
        <w:spacing w:after="0"/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2019/0001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EURÓPSKEHO PARLAMENTU A RADY,</w:t>
      </w:r>
    </w:p>
    <w:p>
      <w:pPr>
        <w:pStyle w:val="Titreobjet"/>
        <w:rPr>
          <w:noProof/>
        </w:rPr>
      </w:pPr>
      <w:r>
        <w:rPr>
          <w:noProof/>
        </w:rPr>
        <w:t>ktorým sa stanovujú podmienky prístupu do iných informačných systémov EÚ a ktorým sa mení nariadenie (EÚ) 2018/1862 a nariadenie (EÚ) rrrr/xxx [ECRIS-TCN]</w:t>
      </w:r>
    </w:p>
    <w:p>
      <w:pPr>
        <w:pStyle w:val="Institutionquiagit"/>
        <w:rPr>
          <w:noProof/>
        </w:rPr>
      </w:pPr>
      <w:r>
        <w:rPr>
          <w:noProof/>
        </w:rPr>
        <w:t>EURÓPSKY PARLAMENT A 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 82 ods. 1 písm. d) a článok 87 ods. 2 písm. a),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Európskeho hospodárskeho a sociálneho výboru</w:t>
      </w:r>
      <w:r>
        <w:rPr>
          <w:rStyle w:val="FootnoteReference0"/>
          <w:noProof/>
        </w:rPr>
        <w:footnoteReference w:id="23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so zreteľom na stanovisko Výboru regiónov</w:t>
      </w:r>
      <w:r>
        <w:rPr>
          <w:rStyle w:val="FootnoteReference0"/>
          <w:noProof/>
        </w:rPr>
        <w:footnoteReference w:id="24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konajúc v súlade s 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bookmarkStart w:id="1" w:name="_Ref531358769"/>
      <w:r>
        <w:t>(1)</w:t>
      </w:r>
      <w:r>
        <w:tab/>
      </w:r>
      <w:r>
        <w:rPr>
          <w:noProof/>
        </w:rPr>
        <w:t>Nariadením Európskeho parlamentu a Rady (EÚ) 2018/1240</w:t>
      </w:r>
      <w:r>
        <w:rPr>
          <w:rStyle w:val="FootnoteReference0"/>
          <w:noProof/>
        </w:rPr>
        <w:footnoteReference w:id="25"/>
      </w:r>
      <w:r>
        <w:rPr>
          <w:noProof/>
        </w:rPr>
        <w:t xml:space="preserve"> sa zriadil Európsky systém pre cestovné informácie a povolenia (ETIAS) pre štátnych príslušníkov tretích krajín, ktorí sú oslobodení od povinnosti mať pri prekračovaní vonkajších hraníc víza. Stanovujú sa v ňom podmienky a postupy udelenia alebo zamietnutia cestovného povolenia.</w:t>
      </w:r>
      <w:bookmarkEnd w:id="1"/>
    </w:p>
    <w:p>
      <w:pPr>
        <w:pStyle w:val="ManualConsidrant"/>
        <w:rPr>
          <w:noProof/>
          <w:sz w:val="22"/>
        </w:rPr>
      </w:pPr>
      <w:r>
        <w:t>(2)</w:t>
      </w:r>
      <w:r>
        <w:tab/>
      </w:r>
      <w:r>
        <w:rPr>
          <w:noProof/>
        </w:rPr>
        <w:t>Systém ETIAS umožňuje zvážiť, či by prítomnosť týchto štátnych príslušníkov tretích krajín na území členských štátov predstavovala bezpečnostné riziko, riziko z hľadiska nelegálneho prisťahovalectva alebo vysoké epidemiologické riziko.</w:t>
      </w:r>
    </w:p>
    <w:p>
      <w:pPr>
        <w:pStyle w:val="ManualConsidrant"/>
        <w:rPr>
          <w:noProof/>
        </w:rPr>
      </w:pPr>
      <w:bookmarkStart w:id="2" w:name="_DV_M31"/>
      <w:bookmarkEnd w:id="2"/>
      <w:r>
        <w:t>(3)</w:t>
      </w:r>
      <w:r>
        <w:tab/>
      </w:r>
      <w:r>
        <w:rPr>
          <w:noProof/>
        </w:rPr>
        <w:t>Aby bolo možné vykonať overenie uvedené v článku 20 nariadenia (EÚ) 2018/1240, je potrebné dosiahnuť interoperabilitu uvedenú v článku 11 uvedeného nariadenia. Bez tejto interoperability systém ETIAS nemôže začať funkčne pracovať.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V tomto nariadení sa stanovuje, ako sa má táto interoperabilita realizovať a podmienky pre nahliadanie do údajov uložených v iných informačných systémoch EÚ a do údajov Europolu prostredníctvom automatizovaného postupu ETIAS na účely identifikácie pozitívnych lustrácií. V dôsledku toho je potrebné zmeniť nariadenie Európskeho parlamentu a Rady (EÚ) 2018/1862 (systém SIS v oblasti policajnej spolupráce)</w:t>
      </w:r>
      <w:r>
        <w:rPr>
          <w:rStyle w:val="FootnoteReference0"/>
          <w:noProof/>
        </w:rPr>
        <w:footnoteReference w:id="26"/>
      </w:r>
      <w:r>
        <w:rPr>
          <w:noProof/>
        </w:rPr>
        <w:t xml:space="preserve"> a nariadenie (EÚ) rrrr/xxxx (ECRIS-TCN)</w:t>
      </w:r>
      <w:r>
        <w:rPr>
          <w:rStyle w:val="FootnoteReference0"/>
          <w:noProof/>
        </w:rPr>
        <w:footnoteReference w:id="27"/>
      </w:r>
      <w:r>
        <w:rPr>
          <w:noProof/>
        </w:rPr>
        <w:t>, s cieľom prepojiť centrálny systém ETIAS s inými informačnými systémami EÚ a údajmi Europolu a vymedziť údaje, ktoré sa budú zasielať do a z uvedených informačných systémov EÚ a údajov Europolu.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 súlade s článkom 96 nariadenia (EÚ) 2018/1240, po prijatí prepracovaného znenia nariadenia Európskeho parlamentu a Rady (EÚ) č. 603/2013</w:t>
      </w:r>
      <w:r>
        <w:rPr>
          <w:rStyle w:val="FootnoteReference0"/>
          <w:noProof/>
        </w:rPr>
        <w:footnoteReference w:id="28"/>
      </w:r>
      <w:r>
        <w:rPr>
          <w:noProof/>
        </w:rPr>
        <w:t>, sa prijmú potrebné následné zmeny.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Z dôvodov efektívnosti a s cieľom znížiť náklady by systém ETIAS mal v súlade s článkom 6 ods. 3 nariadenia (EÚ) 2018/1240 na rozvoj zdieľaného registra údajov o totožnosti opätovne použiť hardvérové a softvérové komponenty vyvinuté pre systém vstup/výstup (EES). Tento register používaný na uchovávanie alfanumerických údajov o totožnosti žiadateľov uvedených v systéme ETIAS a štátnych príslušníkov tretích krajín registrovaných v systéme vstup/výstup by sa mal vytvoriť tak, aby ho bolo možné rozšíriť s cieľom urobiť z neho v budúcnosti spoločný register údajov o totožnosti. V rovnakom duchu by sa mal vytvoriť nástroj, ktorý systému ETIAS umožní porovnávať jeho údaje s údajmi každého iného systému, do ktorých sa nahliada prostredníctvom jediného vyhľadávania, a to takým spôsobom, ktorý umožní, aby sa z neho v budúcnosti vyvinul európsky vyhľadávací portál.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Mali by sa vymedziť technické postupy, ktoré systému ETIAS umožnia pravidelne a automaticky overovať v iných systémoch, či sú naďalej splnené podmienky na uchovávanie súborov žiadostí v zmysle nariadenia (EÚ) 2018/1240.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Na účely zabezpečenia úplného dosiahnutia cieľov systému ETIAS, ako aj cieľov Schengenského informačného systému (SIS), je potrebné zahrnúť do rozsahu automatizovaného overovania novú kategóriu zápisov zavedenú v rámci nedávnej revízie SIS, a to zápisy o osobách, ktoré podliehajú zisťovacím kontrolám.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Cestovné povolenie zo systému ETIAS možno odvolať po zaznamenaní nových zápisov do SIS na účely odopretia vstupu a pobytu alebo v súvislosti s cestovným dokladom, ktorý bol nahlásený ako stratený, odcudzený, zneužitý alebo neplatný. Medzi systémami SIS a ETIAS by sa mal zaviesť automatizovaný proces, ktorý zaistí, aby bol centrálny systém ETIAS automaticky informovaný o takýchto nových zápisoch.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V súlade s nariadením Európskeho parlamentu a Rady (EÚ) 2018/xxxx</w:t>
      </w:r>
      <w:r>
        <w:rPr>
          <w:rStyle w:val="FootnoteReference0"/>
          <w:noProof/>
        </w:rPr>
        <w:footnoteReference w:id="29"/>
      </w:r>
      <w:r>
        <w:rPr>
          <w:noProof/>
        </w:rPr>
        <w:t xml:space="preserve"> [ECRIS-TCN] a v súlade so zámerom vyjadreným v nariadení (EÚ) 2018/1240 by systém ETIAS mal byť schopný overiť, či existujú zhody medzi údajmi v súboroch žiadostí v systéme ETIAS a údajmi Európskeho informačného systému registrov trestov pre štátnych príslušníkov tretích krajín („ECRIS-TCN“) v spoločnom registri údajov o totožnosti („CIR“), pokiaľ ide o to, ktoré členské štáty majú k dispozícii informácie o odsúdeniach štátnych príslušníkov tretích krajín a osôb bez štátnej príslušnosti za trestný čin terorizmu alebo iný závažný trestný čin.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Podmienky, za ktorých môže centrálna jednotka a národné jednotky ETIAS nahliadať do údajov uložených v iných informačných systémoch EÚ na účely systému ETIAS, by mali byť chránené jasnými a presnými pravidlami týkajúcimi sa prístupu centrálnej jednotky a národných jednotiek ETIAS k údajom uloženým v iných informačných systémoch EÚ, druhu vyhľadávania a kategórií údajov, ktoré by sa mali všetky obmedziť na to, čo je nevyhnutne potrebné na plnenie ich povinností. Rovnako by údaje uchovávané v súbore žiadosti v systéme ETIAS mali byť viditeľné len pre tie členské štáty, ktoré prevádzkujú podkladové informačné systémy v súlade s modalitami ich účasti.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Podľa článku 73 nariadenia (EÚ) 2018/1240 Európska agentúra na prevádzkové riadenie rozsiahlych informačných systémov v priestore slobody, bezpečnosti a spravodlivosti (eu-LISA) zriadená nariadením Európskeho parlamentu a Rady (EÚ) 2018/1726</w:t>
      </w:r>
      <w:r>
        <w:rPr>
          <w:rStyle w:val="FootnoteReference0"/>
          <w:noProof/>
        </w:rPr>
        <w:footnoteReference w:id="30"/>
      </w:r>
      <w:r>
        <w:rPr>
          <w:noProof/>
        </w:rPr>
        <w:t xml:space="preserve"> by mala byť zodpovedná za realizáciu fázy návrhu a vývoja informačného systému ETIAS.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Týmto nariadením nie je dotknutá smernica 2004/38/ES</w:t>
      </w:r>
      <w:r>
        <w:rPr>
          <w:rStyle w:val="FootnoteReference0"/>
          <w:noProof/>
        </w:rPr>
        <w:footnoteReference w:id="3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V rozsahu, v akom ustanovenia tohto nariadenia súvisia so systémom SIS, ktorý upravuje nariadenie (EÚ) 2018/1862, sa Dánsko v súlade s článkom 4 Protokolu č. 22 o postavení Dánska, ktorý je pripojený k Zmluve o Európskej únii a k Zmluve o fungovaní Európskej únie, rozhodne do šiestich mesiacov po rozhodnutí Rady o tomto nariadení, či tento návrh, ktorý je založený na schengenskom </w:t>
      </w:r>
      <w:r>
        <w:rPr>
          <w:i/>
          <w:noProof/>
        </w:rPr>
        <w:t>acquis</w:t>
      </w:r>
      <w:r>
        <w:rPr>
          <w:noProof/>
        </w:rPr>
        <w:t>, bude transponovať do svojho vnútroštátneho práva. V rozsahu, v akom jeho ustanovenia súvisia so systémom ECRIS-TCN, sa Dánsko v súlade s článkami 1 a 2 Protokolu č. 22 nezúčastňuje na prijatí tohto nariadenia, nie je ním viazané ani nepodlieha jeho uplatňovaniu.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V rozsahu, v akom jeho ustanovenia súvisia so systémom SIS, ktorý upravuje nariadenie (EÚ) 2018/1862, je Spojené kráľovstvo viazané týmto nariadením v súlade s článkom 5 Protokolu o schengenskom </w:t>
      </w:r>
      <w:r>
        <w:rPr>
          <w:i/>
          <w:noProof/>
        </w:rPr>
        <w:t>acquis</w:t>
      </w:r>
      <w:r>
        <w:rPr>
          <w:noProof/>
        </w:rPr>
        <w:t xml:space="preserve"> začlenenom do rámca Európskej únie, ktorý je pripojený k Zmluve o Európskej únii a Zmluve o fungovaní Európskej únie, a v súlade s článkom 8 ods. 2 rozhodnutia Rady 2000/365/ES z 29. mája 2000, ktoré sa týka požiadavky Spojeného kráľovstva Veľkej Británie a Severného Írska zúčastňovať sa na niektorých ustanoveniach schengenského </w:t>
      </w:r>
      <w:r>
        <w:rPr>
          <w:i/>
          <w:noProof/>
        </w:rPr>
        <w:t>acquis</w:t>
      </w:r>
      <w:r>
        <w:rPr>
          <w:rStyle w:val="FootnoteReference0"/>
          <w:noProof/>
        </w:rPr>
        <w:footnoteReference w:id="32"/>
      </w:r>
      <w:r>
        <w:rPr>
          <w:noProof/>
        </w:rPr>
        <w:t>. V rozsahu, v akom jeho ustanovenia súvisia so systémom ECRIS-TCN, Spojené kráľovstvo môže oznámiť predsedovi Rady svoje želanie zúčastniť sa na prijatí a uplatňovaní tohto nariadenia v súlade s článkom 3 Protokolu č. 21 o postavení Spojeného kráľovstva a Írska s ohľadom na priestor slobody, bezpečnosti a spravodlivosti, ktorý je pripojený k ZEÚ a ZFEÚ.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V rozsahu, v akom jeho ustanovenia súvisia so systémom SIS, ktorý upravuje nariadenie (EÚ) 2018/1862, je Írsko viazané týmto nariadením v súlade s článkom 5 Protokolu o schengenskom </w:t>
      </w:r>
      <w:r>
        <w:rPr>
          <w:i/>
          <w:noProof/>
        </w:rPr>
        <w:t>acquis</w:t>
      </w:r>
      <w:r>
        <w:rPr>
          <w:noProof/>
        </w:rPr>
        <w:t xml:space="preserve"> začlenenom do rámca Európskej únie, ktorý je pripojený k Zmluve o Európskej únii a Zmluve o fungovaní Európskej únie, a v súlade s článkom 6 ods. 2 rozhodnutia Rady 2002/192/ES z 28. februára 2002, ktoré sa týka požiadavky Írska zúčastňovať sa na niektorých ustanoveniach schengenského </w:t>
      </w:r>
      <w:r>
        <w:rPr>
          <w:i/>
          <w:noProof/>
        </w:rPr>
        <w:t>acquis</w:t>
      </w:r>
      <w:r>
        <w:rPr>
          <w:rStyle w:val="FootnoteReference0"/>
          <w:noProof/>
        </w:rPr>
        <w:footnoteReference w:id="33"/>
      </w:r>
      <w:r>
        <w:rPr>
          <w:noProof/>
        </w:rPr>
        <w:t>. V rozsahu, v akom jeho ustanovenia súvisia so systémom ECRIS-TCN, Írsko môže oznámiť predsedovi Rady svoje želanie zúčastniť sa na prijatí a uplatňovaní tohto nariadenia v súlade s článkom 3 Protokolu č. 21 o postavení Spojeného kráľovstva a Írska s ohľadom na priestor slobody, bezpečnosti a spravodlivosti, ktorý je pripojený k ZEÚ a ZFEÚ.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V rozsahu, v akom jeho ustanovenia súvisia so systémom SIS, ktorý upravuje nariadenie (EÚ) 2018/1862, toto nariadenie predstavuje akt, ktorý je založený na schengenskom </w:t>
      </w:r>
      <w:r>
        <w:rPr>
          <w:i/>
          <w:noProof/>
        </w:rPr>
        <w:t>acquis</w:t>
      </w:r>
      <w:r>
        <w:rPr>
          <w:noProof/>
        </w:rPr>
        <w:t xml:space="preserve"> alebo s ním inak súvisí v zmysle článku 4 ods. 2 Aktu o pristúpení z roku 2005. V tejto súvislosti sa toto nariadenie má vykladať v spojení s rozhodnutím Rady 2010/365/EÚ</w:t>
      </w:r>
      <w:r>
        <w:rPr>
          <w:rStyle w:val="FootnoteReference0"/>
          <w:noProof/>
        </w:rPr>
        <w:footnoteReference w:id="34"/>
      </w:r>
      <w:r>
        <w:rPr>
          <w:noProof/>
        </w:rPr>
        <w:t xml:space="preserve"> a rozhodnutím Rady (EÚ) 2018/934</w:t>
      </w:r>
      <w:r>
        <w:rPr>
          <w:rStyle w:val="FootnoteReference0"/>
          <w:noProof/>
        </w:rPr>
        <w:footnoteReference w:id="35"/>
      </w:r>
      <w:r>
        <w:rPr>
          <w:noProof/>
        </w:rPr>
        <w:t xml:space="preserve">, podľa ktorého sa majú ustanovenia schengenského </w:t>
      </w:r>
      <w:r>
        <w:rPr>
          <w:i/>
          <w:noProof/>
        </w:rPr>
        <w:t>acquis</w:t>
      </w:r>
      <w:r>
        <w:rPr>
          <w:noProof/>
        </w:rPr>
        <w:t xml:space="preserve"> týkajúce sa Schengenského informačného systému s určitými obmedzeniami uplatňovať v Bulharsku a Rumunsku.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Pokiaľ ide o Cyprus a Chorvátsko, v rozsahu, v akom ustanovenia tohto nariadenia súvisia so systémom SIS, ktorý upravuje nariadenie (EÚ) 2018/1862, predstavuje toto nariadenie akt, ktorý je založený na schengenskom </w:t>
      </w:r>
      <w:r>
        <w:rPr>
          <w:i/>
          <w:noProof/>
        </w:rPr>
        <w:t>acquis</w:t>
      </w:r>
      <w:r>
        <w:rPr>
          <w:noProof/>
        </w:rPr>
        <w:t xml:space="preserve"> alebo s ním inak súvisí v zmysle článku 3 ods. 2 Aktu o pristúpení z roku 2003 a v zmysle článku 4 ods. 2 Aktu o pristúpení z roku 2011. V súvislosti s Chorvátskom sa toto nariadenie má vykladať v spojení s rozhodnutím Rady (EÚ) 2017/733</w:t>
      </w:r>
      <w:r>
        <w:rPr>
          <w:rStyle w:val="FootnoteReference0"/>
          <w:noProof/>
        </w:rPr>
        <w:footnoteReference w:id="36"/>
      </w:r>
      <w:r>
        <w:rPr>
          <w:noProof/>
        </w:rPr>
        <w:t xml:space="preserve">, podľa ktorého sa majú ustanovenia schengenského </w:t>
      </w:r>
      <w:r>
        <w:rPr>
          <w:i/>
          <w:noProof/>
        </w:rPr>
        <w:t>acquis</w:t>
      </w:r>
      <w:r>
        <w:rPr>
          <w:noProof/>
        </w:rPr>
        <w:t xml:space="preserve"> týkajúce sa Schengenského informačného systému s určitými obmedzeniami uplatňovať v Chorvátsku.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Pokiaľ ide o Island a Nórsko, toto nariadenie predstavuje, v rozsahu, v akom ustanovenia tohto nariadenia súvisia so systémom SIS, ktorý upravuje nariadenie (EÚ) 2018/1862, vývoj ustanovení schengenského </w:t>
      </w:r>
      <w:r>
        <w:rPr>
          <w:i/>
          <w:noProof/>
        </w:rPr>
        <w:t>acquis</w:t>
      </w:r>
      <w:r>
        <w:rPr>
          <w:noProof/>
        </w:rPr>
        <w:t xml:space="preserve"> v zmysle Dohody uzavretej medzi Radou Európskej únie a Islandskou republikou a Nórskym kráľovstvom o pridružení Islandskej republiky a Nórskeho kráľovstva pri vykonávaní, uplatňovaní a rozvoji schengenského </w:t>
      </w:r>
      <w:r>
        <w:rPr>
          <w:i/>
          <w:noProof/>
        </w:rPr>
        <w:t>acquis</w:t>
      </w:r>
      <w:r>
        <w:rPr>
          <w:rStyle w:val="FootnoteReference0"/>
          <w:i/>
          <w:noProof/>
        </w:rPr>
        <w:footnoteReference w:id="37"/>
      </w:r>
      <w:r>
        <w:rPr>
          <w:noProof/>
        </w:rPr>
        <w:t>, ktoré patria do oblasti uvedenej v článku 1 bode G rozhodnutia Rady 1999/437/ES</w:t>
      </w:r>
      <w:r>
        <w:rPr>
          <w:rStyle w:val="FootnoteReference0"/>
          <w:noProof/>
        </w:rPr>
        <w:footnoteReference w:id="3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Pokiaľ ide o Švajčiarsko, toto nariadenie predstavuje, v rozsahu, v akom ustanovenia tohto nariadenia súvisia so systémom SIS, ktorý upravuje nariadenie (EÚ) 2018/1862, vývoj ustanovení schengenského </w:t>
      </w:r>
      <w:r>
        <w:rPr>
          <w:i/>
          <w:noProof/>
        </w:rPr>
        <w:t>acquis</w:t>
      </w:r>
      <w:r>
        <w:rPr>
          <w:noProof/>
        </w:rPr>
        <w:t xml:space="preserve"> v zmysle Dohody medzi Európskou úniou, Európskym spoločenstvom a Švajčiarskou konfederáciou o pridružení Švajčiarskej konfederácie k vykonávaniu, uplatňovaniu a vývoju schengenského </w:t>
      </w:r>
      <w:r>
        <w:rPr>
          <w:i/>
          <w:noProof/>
        </w:rPr>
        <w:t>acquis</w:t>
      </w:r>
      <w:r>
        <w:rPr>
          <w:rStyle w:val="FootnoteReference0"/>
          <w:i/>
          <w:noProof/>
        </w:rPr>
        <w:footnoteReference w:id="39"/>
      </w:r>
      <w:r>
        <w:rPr>
          <w:noProof/>
        </w:rPr>
        <w:t>, ktoré patria do oblasti uvedenej v článku 1 bode G rozhodnutia 1999/437/ES v spojení s článkom 3 rozhodnutia Rady 2008/146/ES</w:t>
      </w:r>
      <w:r>
        <w:rPr>
          <w:rStyle w:val="FootnoteReference0"/>
          <w:noProof/>
        </w:rPr>
        <w:footnoteReference w:id="40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Pokiaľ ide o Lichtenštajnsko, toto nariadenie predstavuje, v rozsahu, v akom ustanovenia tohto nariadenia súvisia so systémom SIS, ktorý upravuje nariadenie (EÚ) 2018/1862, vývoj ustanovení schengenského </w:t>
      </w:r>
      <w:r>
        <w:rPr>
          <w:i/>
          <w:noProof/>
        </w:rPr>
        <w:t>acquis</w:t>
      </w:r>
      <w:r>
        <w:rPr>
          <w:noProof/>
        </w:rPr>
        <w:t xml:space="preserve"> v zmysle Protokolu medzi Európskou úniou, Európskym spoločenstvom, Švajčiarskou konfederáciou a Lichtenštajnským kniežatstvom o pristúpení Lichtenštajnského kniežatstva k Dohode medzi Európskou úniou, Európskym spoločenstvom a Švajčiarskou konfederáciou o pridružení Švajčiarskej konfederácie k vykonávaniu, uplatňovaniu a vývoju schengenského </w:t>
      </w:r>
      <w:r>
        <w:rPr>
          <w:i/>
          <w:noProof/>
        </w:rPr>
        <w:t>acquis</w:t>
      </w:r>
      <w:r>
        <w:rPr>
          <w:rStyle w:val="FootnoteReference0"/>
          <w:i/>
          <w:noProof/>
        </w:rPr>
        <w:footnoteReference w:id="41"/>
      </w:r>
      <w:r>
        <w:rPr>
          <w:noProof/>
        </w:rPr>
        <w:t>, ktoré patria do oblasti uvedenej v článku 1 bode G rozhodnutia 1999/437/ES v spojení s článkom 3 rozhodnutia Rady 2011/350/EÚ</w:t>
      </w:r>
      <w:r>
        <w:rPr>
          <w:rStyle w:val="FootnoteReference0"/>
          <w:noProof/>
        </w:rPr>
        <w:footnoteReference w:id="42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Nariadenie Európskeho parlamentu a Rady (EÚ) 2018/1862 (systém SIS v oblasti policajnej spolupráce) a nariadenie (EÚ) rrrr/xxxx [ECRIS-TCN] by sa preto mali zmeniť.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V súlade s článkom 41 ods. 2 nariadenia Európskeho parlamentu a Rady (EÚ) 2018/1725 sa vykonala konzultácia s európskym dozorným úradníkom pre ochranu údajov</w:t>
      </w:r>
      <w:r>
        <w:rPr>
          <w:rStyle w:val="FootnoteReference0"/>
          <w:noProof/>
        </w:rPr>
        <w:footnoteReference w:id="43"/>
      </w:r>
      <w:r>
        <w:rPr>
          <w:noProof/>
        </w:rPr>
        <w:t>,</w:t>
      </w:r>
    </w:p>
    <w:p>
      <w:pPr>
        <w:pStyle w:val="Formuledadoption"/>
        <w:rPr>
          <w:noProof/>
        </w:rPr>
      </w:pPr>
      <w:r>
        <w:rPr>
          <w:noProof/>
        </w:rPr>
        <w:t>PRIJALI TOTO NARIADENIE: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pStyle w:val="Titrearticle"/>
        <w:rPr>
          <w:b/>
          <w:bCs/>
          <w:noProof/>
        </w:rPr>
      </w:pPr>
      <w:r>
        <w:rPr>
          <w:b/>
          <w:noProof/>
        </w:rPr>
        <w:t>Zmeny nariadenia (EÚ) 2018/1862 [SIS v oblasti policajnej spolupráce]</w:t>
      </w:r>
    </w:p>
    <w:p>
      <w:pPr>
        <w:spacing w:before="0" w:after="0"/>
        <w:rPr>
          <w:noProof/>
        </w:rPr>
      </w:pP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v kapitole III sa dopĺňa tento článok:</w:t>
      </w:r>
    </w:p>
    <w:p>
      <w:pPr>
        <w:pStyle w:val="Titrearticle"/>
        <w:rPr>
          <w:b/>
          <w:bCs/>
          <w:noProof/>
        </w:rPr>
      </w:pPr>
      <w:r>
        <w:rPr>
          <w:noProof/>
        </w:rPr>
        <w:t>„Článok 18a</w:t>
      </w:r>
      <w:r>
        <w:rPr>
          <w:noProof/>
        </w:rPr>
        <w:br/>
      </w:r>
      <w:r>
        <w:rPr>
          <w:b/>
          <w:noProof/>
        </w:rPr>
        <w:t>Uchovávanie logov na účely interoperability so systémom ETIAS</w:t>
      </w:r>
    </w:p>
    <w:p>
      <w:pPr>
        <w:pStyle w:val="Point1"/>
        <w:ind w:left="142" w:hanging="1"/>
        <w:rPr>
          <w:noProof/>
        </w:rPr>
      </w:pPr>
      <w:r>
        <w:rPr>
          <w:noProof/>
        </w:rPr>
        <w:t>O každej operácii spracúvania údajov v systémoch SIS a ETIAS podľa článku 50a a 50b sa v súlade s článkom 18 tohto nariadenia a článkom 69 nariadenia Európskeho parlamentu a Rady (EÚ) 2018/1240* uchovávajú logy.</w:t>
      </w:r>
    </w:p>
    <w:p>
      <w:pPr>
        <w:pStyle w:val="Point1"/>
        <w:rPr>
          <w:noProof/>
        </w:rPr>
      </w:pPr>
      <w:r>
        <w:rPr>
          <w:noProof/>
        </w:rPr>
        <w:t>_____________</w:t>
      </w:r>
    </w:p>
    <w:p>
      <w:pPr>
        <w:autoSpaceDE w:val="0"/>
        <w:autoSpaceDN w:val="0"/>
        <w:adjustRightInd w:val="0"/>
        <w:spacing w:before="0" w:after="0"/>
        <w:ind w:left="284"/>
        <w:rPr>
          <w:noProof/>
        </w:rPr>
      </w:pPr>
      <w:r>
        <w:rPr>
          <w:noProof/>
        </w:rPr>
        <w:t>* Nariadenie Európskeho parlamentu a Rady (EÚ) 2018/1240 z 12. septembra 2018, ktorým sa zriaďuje Európsky systém pre cestovné informácie a povolenia (ETIAS) a ktorým sa menia nariadenia (EÚ) č. 1077/2011, (EÚ) č. 515/2014, (EÚ) 2016/399, (EÚ) 2016/1624 a (EÚ) 2017/2226 (Ú. v. EÚ L 236, 19.9.2018, s. 1).“;</w:t>
      </w:r>
    </w:p>
    <w:p>
      <w:pPr>
        <w:autoSpaceDE w:val="0"/>
        <w:autoSpaceDN w:val="0"/>
        <w:adjustRightInd w:val="0"/>
        <w:spacing w:before="0" w:after="0"/>
        <w:ind w:left="284"/>
        <w:rPr>
          <w:noProof/>
          <w:color w:val="000000"/>
        </w:rPr>
      </w:pPr>
    </w:p>
    <w:p>
      <w:pPr>
        <w:pStyle w:val="Point0number"/>
        <w:numPr>
          <w:ilvl w:val="0"/>
          <w:numId w:val="6"/>
        </w:numPr>
        <w:spacing w:before="0"/>
        <w:rPr>
          <w:noProof/>
        </w:rPr>
      </w:pPr>
      <w:r>
        <w:rPr>
          <w:noProof/>
        </w:rPr>
        <w:t>V článku 44 ods. 1 sa dopĺňa toto písmeno:</w:t>
      </w:r>
    </w:p>
    <w:p>
      <w:pPr>
        <w:pStyle w:val="Point1"/>
        <w:spacing w:before="0" w:after="0"/>
        <w:ind w:left="1418" w:hanging="568"/>
        <w:rPr>
          <w:noProof/>
        </w:rPr>
      </w:pPr>
      <w:r>
        <w:rPr>
          <w:noProof/>
        </w:rPr>
        <w:t>„f) manuálneho spracúvania žiadostí uvedených v systéme ETIAS národnými jednotkami ETIAS podľa článku 8 nariadenia (EÚ) 2018/1240.“;</w:t>
      </w:r>
    </w:p>
    <w:p>
      <w:pPr>
        <w:pStyle w:val="Point1"/>
        <w:spacing w:before="0" w:after="0"/>
        <w:ind w:left="1276" w:hanging="426"/>
        <w:rPr>
          <w:noProof/>
        </w:rPr>
      </w:pPr>
    </w:p>
    <w:p>
      <w:pPr>
        <w:pStyle w:val="Point0number"/>
        <w:spacing w:before="0" w:after="0"/>
        <w:rPr>
          <w:noProof/>
        </w:rPr>
      </w:pPr>
      <w:r>
        <w:rPr>
          <w:noProof/>
        </w:rPr>
        <w:t>vkladajú sa tieto články:</w:t>
      </w:r>
    </w:p>
    <w:p>
      <w:pPr>
        <w:pStyle w:val="Titrearticle"/>
        <w:rPr>
          <w:b/>
          <w:noProof/>
        </w:rPr>
      </w:pPr>
      <w:r>
        <w:rPr>
          <w:noProof/>
        </w:rPr>
        <w:t>„Článok 50a</w:t>
      </w:r>
      <w:r>
        <w:rPr>
          <w:noProof/>
        </w:rPr>
        <w:br/>
      </w:r>
      <w:r>
        <w:rPr>
          <w:b/>
          <w:noProof/>
        </w:rPr>
        <w:t>Prístup centrálnej jednotky ETIAS k údajom v systéme SIS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Centrálna jednotka ETIAS zriadená v rámci Európskej agentúry pre pohraničnú a pobrežnú stráž v súlade s článkom 7 nariadenia (EÚ) 2018/1240 má na účely plnenia svojich úloh, ktoré jej boli zverené nariadením (EÚ) 2018/1240, právo na prístup k príslušným údajom v systéme SIS a na vyhľadávanie v týchto údajoch. V prípade tohto prístupu a vyhľadávania sa uplatňujú ustanovenia článku 50 ods. 4 až 8.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Ak overenie centrálnou jednotkou ETIAS potvrdí zhodu údajov zaznamenaných v súboroch žiadostí v systéme ETIAS so zápisom v systéme SIS, uplatňujú sa články 23, 24 a 26 nariadenia (EÚ) 2018/1240.</w:t>
      </w:r>
    </w:p>
    <w:p>
      <w:pPr>
        <w:pStyle w:val="Titrearticle"/>
        <w:rPr>
          <w:b/>
          <w:bCs/>
          <w:noProof/>
        </w:rPr>
      </w:pPr>
      <w:r>
        <w:rPr>
          <w:noProof/>
        </w:rPr>
        <w:t>Článok 50b</w:t>
      </w:r>
      <w:r>
        <w:rPr>
          <w:noProof/>
        </w:rPr>
        <w:br/>
      </w:r>
      <w:r>
        <w:rPr>
          <w:b/>
          <w:noProof/>
        </w:rPr>
        <w:t>Interoperabilita so systémom ETIAS v zmysle článku 11 nariadenia (EÚ) 2018/1240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Od uvedenia systému ETIAS do prevádzky, ako sa uvádza v článku 88 ods. 1 nariadenia (EÚ) 2018/1240, je centrálny systém SIS prepojený s nástrojom uvedeným v článku 11 nariadenia (EÚ) 2018/1240 s cieľom umožniť automatizované spracovanie podľa uvedeného článku.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Automatizované spracovanie uvedené v článku 11 nariadenia (EÚ) 2018/1240 umožní overenia stanovené v článku 20 a 23, článku 24 ods. 6 písm. c) bode ii), článku 41 a článku 54 ods. 1 písm. b) a následné overenia podľa článkov 22, 23 a 26 uvedeného nariadenia.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Na účely overení uvedených v článku 20 ods. 2 písm. a), d) a písm. m) bode ii) a článku 23 nariadenia (EÚ) 2018/1240 centrálny systém ETIAS využíva nástroj uvedený v článku 11 uvedeného nariadenia na porovnanie údajov uvedených v článku 11 ods. 5 nariadenia (EÚ) 2018/1240 s údajmi v systéme SIS v súlade s článkom 11 ods. 8 uvedeného nariadenia.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Ak vyhľadávanie systémom ETIAS vedie k jednej alebo viacerým pozitívnym lustráciám podľa článku 23 ods. 1 nariadenia (EÚ) 2018/1240, centrálny systém ETIAS v súlade s článkom 23 ods. 2 a 3 uvedeného nariadenia zašle automatické oznámenie útvaru SIRENE toho členského štátu, ktorý zápis vložil.</w:t>
      </w:r>
    </w:p>
    <w:p>
      <w:pPr>
        <w:pStyle w:val="Text1"/>
        <w:rPr>
          <w:noProof/>
        </w:rPr>
      </w:pPr>
      <w:r>
        <w:rPr>
          <w:noProof/>
        </w:rPr>
        <w:t>Ak je do systému SIS vložený nový zápis uvedený v článku 41 ods. 3 nariadenia (EÚ) 2018/1240 týkajúci sa cestovných dokladov, ktoré sú nahlásené ako odcudzené, stratené, zneužité alebo neplatné, systém SIS prostredníctvom automatizovaného spracovania a nástroja uvedeného v článku 11 uvedeného nariadenia prenesie informácie o tomto zápise do centrálneho systému ETIAS s cieľom overiť, či tento nový zápis zodpovedá existujúcemu cestovnému povoleniu.“</w:t>
      </w:r>
    </w:p>
    <w:p>
      <w:pPr>
        <w:pStyle w:val="Titrearticle"/>
        <w:rPr>
          <w:noProof/>
        </w:rPr>
      </w:pPr>
      <w:r>
        <w:rPr>
          <w:noProof/>
        </w:rPr>
        <w:t xml:space="preserve"> Článok 2</w:t>
      </w:r>
    </w:p>
    <w:p>
      <w:pPr>
        <w:pStyle w:val="Titrearticle"/>
        <w:rPr>
          <w:b/>
          <w:bCs/>
          <w:noProof/>
        </w:rPr>
      </w:pPr>
      <w:r>
        <w:rPr>
          <w:b/>
          <w:noProof/>
        </w:rPr>
        <w:t>Zmeny nariadenia (EÚ) yyyy/xxxx [ECRIS-TCN]</w:t>
      </w:r>
    </w:p>
    <w:p>
      <w:pPr>
        <w:spacing w:before="0" w:after="0"/>
        <w:rPr>
          <w:noProof/>
        </w:rPr>
      </w:pPr>
    </w:p>
    <w:p>
      <w:pPr>
        <w:spacing w:before="0" w:after="0"/>
        <w:rPr>
          <w:noProof/>
        </w:rPr>
      </w:pPr>
      <w:r>
        <w:rPr>
          <w:noProof/>
        </w:rPr>
        <w:t>Nariadenie yyyy/xxxx (nariadenie o ECRIS-TCN) sa mení takto</w:t>
      </w:r>
      <w:r>
        <w:rPr>
          <w:rStyle w:val="FootnoteReference0"/>
          <w:noProof/>
        </w:rPr>
        <w:footnoteReference w:id="44"/>
      </w:r>
      <w:r>
        <w:rPr>
          <w:rStyle w:val="FootnoteReference0"/>
          <w:noProof/>
        </w:rPr>
        <w:footnoteReference w:id="45"/>
      </w:r>
      <w:r>
        <w:rPr>
          <w:noProof/>
        </w:rPr>
        <w:t>:</w:t>
      </w:r>
    </w:p>
    <w:p>
      <w:pPr>
        <w:spacing w:before="0" w:after="0"/>
        <w:rPr>
          <w:noProof/>
        </w:rPr>
      </w:pPr>
    </w:p>
    <w:p>
      <w:pPr>
        <w:pStyle w:val="Point0number"/>
        <w:numPr>
          <w:ilvl w:val="0"/>
          <w:numId w:val="13"/>
        </w:numPr>
        <w:spacing w:before="0"/>
        <w:rPr>
          <w:noProof/>
        </w:rPr>
      </w:pPr>
      <w:r>
        <w:rPr>
          <w:noProof/>
        </w:rPr>
        <w:t>v článku 1 sa dopĺňa toto písmeno:</w:t>
      </w:r>
    </w:p>
    <w:p>
      <w:pPr>
        <w:spacing w:after="0"/>
        <w:ind w:left="1418" w:hanging="567"/>
        <w:rPr>
          <w:noProof/>
        </w:rPr>
      </w:pPr>
      <w:r>
        <w:rPr>
          <w:noProof/>
        </w:rPr>
        <w:t xml:space="preserve">„d) </w:t>
      </w:r>
      <w:r>
        <w:rPr>
          <w:noProof/>
        </w:rPr>
        <w:tab/>
        <w:t>stanovujú podmienky, za ktorých sa údaje zahrnuté do systému ECRIS-TCN môžu použiť na účely riadenia hraníc v súlade s nariadením Európskeho parlamentu a Rady (EÚ) 2018/1240*.</w:t>
      </w:r>
    </w:p>
    <w:p>
      <w:pPr>
        <w:pStyle w:val="Point1"/>
        <w:rPr>
          <w:noProof/>
        </w:rPr>
      </w:pPr>
      <w:r>
        <w:rPr>
          <w:noProof/>
        </w:rPr>
        <w:t>_____________</w:t>
      </w:r>
    </w:p>
    <w:p>
      <w:pPr>
        <w:spacing w:before="0" w:after="0"/>
        <w:ind w:left="1145" w:hanging="425"/>
        <w:rPr>
          <w:noProof/>
        </w:rPr>
      </w:pPr>
      <w:r>
        <w:rPr>
          <w:noProof/>
        </w:rPr>
        <w:t>* Nariadenie Európskeho parlamentu a Rady (EÚ) 2018/1240 z 12. septembra 2018, ktorým sa zriaďuje Európsky systém pre cestovné informácie a povolenia (ETIAS) a ktorým sa menia nariadenia (EÚ) č. 1077/2011, (EÚ) č. 515/2014, (EÚ) 2016/399, (EÚ) 2016/1624 a (EÚ) 2017/2226 (Ú. v. EÚ L 236, 19.9.2018, s. 1).“;</w:t>
      </w:r>
    </w:p>
    <w:p>
      <w:pPr>
        <w:spacing w:before="0" w:after="0"/>
        <w:ind w:left="1145" w:hanging="425"/>
        <w:rPr>
          <w:noProof/>
        </w:rPr>
      </w:pPr>
    </w:p>
    <w:p>
      <w:pPr>
        <w:pStyle w:val="Point0number"/>
        <w:tabs>
          <w:tab w:val="clear" w:pos="850"/>
          <w:tab w:val="num" w:pos="567"/>
        </w:tabs>
        <w:spacing w:before="0"/>
        <w:rPr>
          <w:noProof/>
        </w:rPr>
      </w:pPr>
      <w:r>
        <w:rPr>
          <w:noProof/>
        </w:rPr>
        <w:t>Článok 2 sa nahrádza takto:</w:t>
      </w:r>
    </w:p>
    <w:p>
      <w:pPr>
        <w:pStyle w:val="Titrearticle"/>
        <w:rPr>
          <w:b/>
          <w:noProof/>
        </w:rPr>
      </w:pPr>
      <w:r>
        <w:rPr>
          <w:noProof/>
        </w:rPr>
        <w:t>„Článok 2</w:t>
      </w:r>
      <w:r>
        <w:rPr>
          <w:noProof/>
        </w:rPr>
        <w:br/>
      </w:r>
      <w:r>
        <w:rPr>
          <w:b/>
          <w:noProof/>
        </w:rPr>
        <w:t>Rozsah pôsobnosti</w:t>
      </w:r>
    </w:p>
    <w:p>
      <w:pPr>
        <w:pStyle w:val="Point1"/>
        <w:ind w:left="851" w:hanging="1"/>
        <w:rPr>
          <w:noProof/>
        </w:rPr>
      </w:pPr>
      <w:r>
        <w:rPr>
          <w:noProof/>
        </w:rPr>
        <w:t>Toto nariadenie sa uplatňuje na spracúvanie informácií o totožnosti štátnych príslušníkov tretích krajín, ktorí boli odsúdení v členských štátoch, na účely identifikácie členského(-ých) štátu(-ov), v ktorom(-ých) boli tieto odsudzujúce rozsudky vynesené, ako aj na účely riadenia hraníc [a uľahčenia a podpory správnej identifikácie osôb].</w:t>
      </w:r>
    </w:p>
    <w:p>
      <w:pPr>
        <w:pStyle w:val="Point1"/>
        <w:spacing w:before="0" w:after="0"/>
        <w:ind w:left="851" w:hanging="1"/>
        <w:rPr>
          <w:noProof/>
        </w:rPr>
      </w:pPr>
      <w:r>
        <w:rPr>
          <w:noProof/>
        </w:rPr>
        <w:t>S výnimkou článku 5 ods. 1 písm. b) bodu ii) sa ustanovenia tohto nariadenia, ktoré sa uplatňujú na štátnych príslušníkov tretích krajín, uplatňujú aj na občanov Únie, ktorí sú aj štátnymi príslušníkmi tretej krajiny a ktorí boli odsúdení v členských štátoch.“;</w:t>
      </w:r>
    </w:p>
    <w:p>
      <w:pPr>
        <w:pStyle w:val="Point1"/>
        <w:spacing w:before="0" w:after="0"/>
        <w:ind w:left="851" w:hanging="1"/>
        <w:rPr>
          <w:noProof/>
        </w:rPr>
      </w:pPr>
    </w:p>
    <w:p>
      <w:pPr>
        <w:pStyle w:val="Point0number"/>
        <w:tabs>
          <w:tab w:val="clear" w:pos="850"/>
          <w:tab w:val="num" w:pos="567"/>
        </w:tabs>
        <w:rPr>
          <w:noProof/>
        </w:rPr>
      </w:pPr>
      <w:r>
        <w:rPr>
          <w:noProof/>
        </w:rPr>
        <w:t>Článok 3 sa mení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písmeno f) sa nahrádza takto:</w:t>
      </w:r>
    </w:p>
    <w:p>
      <w:pPr>
        <w:pStyle w:val="Point2"/>
        <w:ind w:left="1418"/>
        <w:rPr>
          <w:noProof/>
        </w:rPr>
      </w:pPr>
      <w:r>
        <w:rPr>
          <w:noProof/>
        </w:rPr>
        <w:t>„f)</w:t>
      </w:r>
      <w:r>
        <w:rPr>
          <w:noProof/>
        </w:rPr>
        <w:tab/>
        <w:t>„príslušné orgány“ sú ústredné orgány a orgány Únie (Eurojust, Europol, Európska prokuratúra, centrálna jednotka ETIAS zriadená v rámci Európskej agentúry pre pohraničnú a pobrežnú stráž), ktoré majú oprávnenie na prístup do systému ECRIS-TCN a vyhľadávanie v ňom v súlade s týmto nariadením;“;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dopĺňajú sa tieto písmená:</w:t>
      </w:r>
    </w:p>
    <w:p>
      <w:pPr>
        <w:pStyle w:val="Point2"/>
        <w:ind w:left="1418"/>
        <w:rPr>
          <w:noProof/>
        </w:rPr>
      </w:pPr>
      <w:r>
        <w:rPr>
          <w:noProof/>
        </w:rPr>
        <w:t>„t) „trestný čin terorizmu“ je trestný čin, ktorý zodpovedá alebo je rovnocenný jednému z trestných činov uvedených v smernici Európskeho parlamentu a Rady (EÚ) 2017/541*;</w:t>
      </w:r>
    </w:p>
    <w:p>
      <w:pPr>
        <w:pStyle w:val="Point2"/>
        <w:ind w:left="1418"/>
        <w:rPr>
          <w:noProof/>
        </w:rPr>
      </w:pPr>
      <w:r>
        <w:rPr>
          <w:noProof/>
        </w:rPr>
        <w:t>u)</w:t>
      </w:r>
      <w:r>
        <w:rPr>
          <w:noProof/>
        </w:rPr>
        <w:tab/>
        <w:t>„závažný trestný čin“ je čin, ktorý zodpovedá alebo je rovnocenný jednému z trestných činov uvedených v článku 2 ods. 2 rámcového rozhodnutia Rady 2002/584/SVV**, za ktorý možno na základe vnútroštátneho práva uložiť trest odňatia slobody alebo ochranné opatrenie s hornou hranicou najmenej tri roky;</w:t>
      </w:r>
    </w:p>
    <w:p>
      <w:pPr>
        <w:pStyle w:val="Point1"/>
        <w:rPr>
          <w:noProof/>
        </w:rPr>
      </w:pPr>
      <w:r>
        <w:rPr>
          <w:noProof/>
        </w:rPr>
        <w:t>_____________</w:t>
      </w:r>
    </w:p>
    <w:p>
      <w:pPr>
        <w:pStyle w:val="Point2"/>
        <w:ind w:left="1418" w:hanging="1"/>
        <w:rPr>
          <w:noProof/>
        </w:rPr>
      </w:pPr>
      <w:r>
        <w:rPr>
          <w:noProof/>
        </w:rPr>
        <w:t>* Smernica Európskeho parlamentu a Rady (EÚ) 2017/541 z 15. marca 2017 o boji proti terorizmu, ktorou sa nahrádza rámcové rozhodnutie Rady 2002/475/SVV a mení rozhodnutie Rady 2005/671/SVV (Ú. v. EÚ L 88, 31.3.2017, s. 6).</w:t>
      </w:r>
    </w:p>
    <w:p>
      <w:pPr>
        <w:pStyle w:val="Point2"/>
        <w:spacing w:before="0" w:after="0"/>
        <w:ind w:left="1418" w:hanging="1"/>
        <w:rPr>
          <w:noProof/>
        </w:rPr>
      </w:pPr>
      <w:r>
        <w:rPr>
          <w:noProof/>
        </w:rPr>
        <w:t>** Rámcové rozhodnutie Rady 2002/584/SVV z 13. júna 2002 o európskom zatykači a postupoch odovzdávania osôb medzi členskými štátmi (Ú. v. ES L 190, 18.7.2002, s. 1)“;</w:t>
      </w:r>
    </w:p>
    <w:p>
      <w:pPr>
        <w:pStyle w:val="Point2"/>
        <w:spacing w:before="0" w:after="0"/>
        <w:ind w:left="1418" w:hanging="1"/>
        <w:rPr>
          <w:noProof/>
        </w:rPr>
      </w:pPr>
    </w:p>
    <w:p>
      <w:pPr>
        <w:pStyle w:val="Point0number"/>
        <w:spacing w:before="0"/>
        <w:rPr>
          <w:noProof/>
        </w:rPr>
      </w:pPr>
      <w:r>
        <w:rPr>
          <w:noProof/>
        </w:rPr>
        <w:t>Článok 5 sa mení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 odseku 1 sa dopĺňa toto písmeno:</w:t>
      </w:r>
    </w:p>
    <w:p>
      <w:pPr>
        <w:pStyle w:val="Point2"/>
        <w:ind w:left="1418"/>
        <w:rPr>
          <w:noProof/>
        </w:rPr>
      </w:pPr>
      <w:r>
        <w:rPr>
          <w:noProof/>
        </w:rPr>
        <w:t>„c)</w:t>
      </w:r>
      <w:r>
        <w:rPr>
          <w:noProof/>
        </w:rPr>
        <w:tab/>
        <w:t>prípadné označenie, ktoré uvádza, že dotknutá osoba bola odsúdená za trestný čin terorizmu alebo iný závažný trestný čin, pričom v takýchto prípadoch sa uvedie kód odsudzujúceho(-ich) členského(-ých) štátu(-ov).“;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Odsek 1a sa nahrádza takto:</w:t>
      </w:r>
    </w:p>
    <w:p>
      <w:pPr>
        <w:pStyle w:val="Point2"/>
        <w:spacing w:before="0" w:after="0"/>
        <w:ind w:left="1418"/>
        <w:rPr>
          <w:noProof/>
        </w:rPr>
      </w:pPr>
      <w:r>
        <w:rPr>
          <w:noProof/>
        </w:rPr>
        <w:t>„1a.</w:t>
      </w:r>
      <w:r>
        <w:rPr>
          <w:noProof/>
        </w:rPr>
        <w:tab/>
        <w:t>[Register CIR obsahuje údaje uvedené v odseku 1 písm. b) a (c) a odseku 2, ako aj nasledujúce údaje uvedené v odseku 1 písm. a): priezvisko; meno (mená); dátum narodenia; miesto narodenia (obec a štát); štátna príslušnosť alebo štátne príslušnosti; pohlavie; druh a číslo cestovného dokladu osoby, ako aj názov orgánu, ktorý ho vydal, a prípadné predchádzajúce mená, pseudonym (pseudonymy) a/alebo prezývku (prezývky) a v prípadoch uvedených v odseku 1 písm. c) kód odsudzujúceho členského štátu. Ostatné údaje v systéme ECRIS-TCN sú uchovávané v centrálnom systéme ECRIS-TCN.]“;</w:t>
      </w:r>
    </w:p>
    <w:p>
      <w:pPr>
        <w:pStyle w:val="Point2"/>
        <w:spacing w:before="0" w:after="0"/>
        <w:rPr>
          <w:noProof/>
        </w:rPr>
      </w:pPr>
    </w:p>
    <w:p>
      <w:pPr>
        <w:pStyle w:val="Point0number"/>
        <w:spacing w:before="0"/>
        <w:rPr>
          <w:rFonts w:eastAsia="Times New Roman"/>
          <w:noProof/>
        </w:rPr>
      </w:pPr>
      <w:r>
        <w:rPr>
          <w:noProof/>
        </w:rPr>
        <w:t>v článku 7 sa odsek 5 nahrádza takto:</w:t>
      </w:r>
    </w:p>
    <w:p>
      <w:pPr>
        <w:pStyle w:val="Point1"/>
        <w:spacing w:before="0" w:after="0"/>
        <w:rPr>
          <w:noProof/>
        </w:rPr>
      </w:pPr>
      <w:r>
        <w:rPr>
          <w:noProof/>
        </w:rPr>
        <w:t>„5.</w:t>
      </w:r>
      <w:r>
        <w:rPr>
          <w:noProof/>
        </w:rPr>
        <w:tab/>
        <w:t>V prípade pozitívnej lustrácie centrálny systém [alebo register CIR] automaticky poskytne príslušnému orgánu informácie o členských štátoch, ktoré majú k dispozícii informácie z registrov trestov o štátnom príslušníkovi tretej krajiny, spolu so súvisiacimi referenčnými číslami uvedenými v článku 5 ods. 1 a všetkými zodpovedajúcimi informáciami o totožnosti. Tieto informácie o totožnosti sa využijú iba na účely overenia totožnosti dotknutého štátneho príslušníka tretej krajiny. Výsledky vyhľadávania v centrálnom systéme možno použiť len na účely podania žiadosti podľa článku 6 rámcového rozhodnutia 2009/315/SVV a žiadosti uvedenej v článku 16 ods. 4 tohto nariadenia, alebo na účely riadenia hraníc [a uľahčenia a podpory správnej identifikácie osôb vedených v systéme ECRIS-TCN].“;</w:t>
      </w:r>
    </w:p>
    <w:p>
      <w:pPr>
        <w:pStyle w:val="Point1"/>
        <w:spacing w:before="0" w:after="0"/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v kapitole II sa dopĺňa tento článok:</w:t>
      </w:r>
    </w:p>
    <w:p>
      <w:pPr>
        <w:pStyle w:val="Titrearticle"/>
        <w:rPr>
          <w:rFonts w:eastAsia="Times New Roman"/>
          <w:b/>
          <w:noProof/>
        </w:rPr>
      </w:pPr>
      <w:r>
        <w:rPr>
          <w:noProof/>
        </w:rPr>
        <w:t>„Článok 7a</w:t>
      </w:r>
      <w:r>
        <w:rPr>
          <w:noProof/>
        </w:rPr>
        <w:br/>
      </w:r>
      <w:r>
        <w:rPr>
          <w:b/>
          <w:noProof/>
        </w:rPr>
        <w:t>Využívanie systému ECRIS-TCN na účely overovaní v systéme ETIAS</w:t>
      </w:r>
    </w:p>
    <w:p>
      <w:pPr>
        <w:pStyle w:val="ManualNumPar1"/>
        <w:rPr>
          <w:rFonts w:eastAsia="Times New Roman"/>
          <w:noProof/>
        </w:rPr>
      </w:pPr>
      <w:r>
        <w:t>1.</w:t>
      </w:r>
      <w:r>
        <w:tab/>
      </w:r>
      <w:r>
        <w:rPr>
          <w:noProof/>
        </w:rPr>
        <w:t>Centrálna jednotka ETIAS zriadená v rámci Európskej agentúry pre pohraničnú a pobrežnú stráž v súlade s článkom 7 nariadenia (EÚ) 2018/1240 má na účely plnenia svojich úloh, ktoré jej boli zverené nariadením (EÚ) 2018/1240, právo na prístup k údajom v systéme ECRIS-TCN v [registri CIR] a na vyhľadávanie v týchto údajoch. Prístup má však len k tým údajovým záznamom, do ktorých bolo vložené označenie v súlade s článkom 5 ods. 1 písm. c) tohto nariadenia.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[Register CIR] je prepojený s nástrojom uvedeným v článku 11 nariadenia (EÚ) 2018/1240 s cieľom umožniť automatizované spracovanie podľa uvedeného článku.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Bez toho, aby bol dotknutý článok 24 nariadenia (EÚ) 2018/1240, automatizované spracovanie uvedené v článku 11 nariadenia (EÚ) 2018/1240 umožní overenia stanovené v článku 20 uvedeného nariadenia a následné overenia podľa článkov 22 a 26 uvedeného nariadenia.</w:t>
      </w:r>
    </w:p>
    <w:p>
      <w:pPr>
        <w:pStyle w:val="Point1"/>
        <w:spacing w:before="0" w:after="0"/>
        <w:ind w:left="851" w:firstLine="1"/>
        <w:rPr>
          <w:noProof/>
        </w:rPr>
      </w:pPr>
      <w:r>
        <w:rPr>
          <w:noProof/>
        </w:rPr>
        <w:t>Na účely overení uvedených v článku 20 ods. 2 písm. n) nariadenia (EÚ) 2018/1240 centrálny systém ETIAS využíva nástroj uvedený v článku 11 nariadenia (EÚ) 2018/1240 na porovnanie údajov v systéme ETIAS s údajmi v systéme ECRIS-TCN [v registri CIR] označenými podľa článku 5 ods. 1 písm. c) tohto nariadenia, pričom koná v súlade s článkom 11 ods. 8 nariadenia 2018/1240 a využíva zhody uvedené v tabuľke v prílohe II.“;</w:t>
      </w:r>
    </w:p>
    <w:p>
      <w:pPr>
        <w:pStyle w:val="Point1"/>
        <w:spacing w:before="0" w:after="0"/>
        <w:ind w:left="851" w:firstLine="1"/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článok 8 ods. 2 sa nahrádza takto:</w:t>
      </w:r>
    </w:p>
    <w:p>
      <w:pPr>
        <w:pStyle w:val="Point1"/>
        <w:spacing w:before="0" w:after="0"/>
        <w:rPr>
          <w:noProof/>
        </w:rPr>
      </w:pPr>
      <w:r>
        <w:rPr>
          <w:noProof/>
        </w:rPr>
        <w:t xml:space="preserve">„2. </w:t>
      </w:r>
      <w:r>
        <w:rPr>
          <w:noProof/>
        </w:rPr>
        <w:tab/>
        <w:t>Po uplynutí obdobia uchovávania údajov uvedeného v odseku 1 ústredný orgán odsudzujúceho členského štátu vymaže z centrálneho systému [a registra CIR] údajové záznamy vrátane odtlačkov prstov, podôb tváre alebo označení uvedených v článku 5 ods. 1 písm. c). Ak sú údaje týkajúce sa odsúdenia za trestný čin terorizmu alebo inú formu závažného trestného činu, ako sa uvádza v článku 5 ods. 1 písm. c), z vnútroštátneho registra trestov vymazané, ale informácie o odsúdení tej istej osoby v iných veciach sú uchované, z údajového záznamu sa odstráni len označenie uvedené v článku 5 ods. 1 písm. c). K tomuto vymazaniu dôjde, pokiaľ možno, automaticky, v každom prípade však najneskôr jeden mesiac po uplynutí obdobia uchovávania údajov.“;</w:t>
      </w:r>
    </w:p>
    <w:p>
      <w:pPr>
        <w:pStyle w:val="Point1"/>
        <w:spacing w:before="0" w:after="0"/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v článku 22 sa odsek 1 nahrádza takto:</w:t>
      </w:r>
    </w:p>
    <w:p>
      <w:pPr>
        <w:pStyle w:val="Point1"/>
        <w:spacing w:before="0" w:after="0"/>
        <w:rPr>
          <w:noProof/>
        </w:rPr>
      </w:pPr>
      <w:r>
        <w:rPr>
          <w:noProof/>
        </w:rPr>
        <w:t xml:space="preserve">„1. </w:t>
      </w:r>
      <w:r>
        <w:rPr>
          <w:noProof/>
        </w:rPr>
        <w:tab/>
        <w:t>Údaje vložené do centrálneho systému [a registra CIR] sa spracúvajú iba na účely identifikácie členských štátov, ktoré majú k dispozícii informácie z registrov trestov o štátnych príslušníkoch tretích krajín, ako aj na účely riadenia hraníc [a uľahčenia a podpory správnej identifikácie osôb vedených v systéme ECRIS-TCN].“;</w:t>
      </w:r>
    </w:p>
    <w:p>
      <w:pPr>
        <w:pStyle w:val="Point1"/>
        <w:spacing w:before="0" w:after="0"/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v článku 30 ods. 4 sa druhý pododsek nahrádza takto:</w:t>
      </w:r>
    </w:p>
    <w:p>
      <w:pPr>
        <w:pStyle w:val="Point1"/>
        <w:spacing w:before="0" w:after="0"/>
        <w:ind w:left="993" w:hanging="143"/>
        <w:rPr>
          <w:noProof/>
        </w:rPr>
      </w:pPr>
      <w:r>
        <w:rPr>
          <w:noProof/>
        </w:rPr>
        <w:t>„Agentúra eu-LISA predkladá Komisii každý mesiac štatistiky, ktoré neumožňujú identifikáciu jednotlivcov a ktoré sa týkajú zaznamenávania, uchovávania a výmeny informácií získaných z registrov trestov prostredníctvom systému ECRIS-TCN a referenčného vykonávania systému ECRIS, a to aj o údajových záznamoch, ktoré obsahujú označenie v súlade s článkom 5 ods. 1 písm. c).“</w:t>
      </w:r>
    </w:p>
    <w:p>
      <w:pPr>
        <w:pStyle w:val="Point1"/>
        <w:spacing w:before="0" w:after="0"/>
        <w:ind w:left="851" w:hanging="1"/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vkladá sa tento článok:</w:t>
      </w:r>
    </w:p>
    <w:p>
      <w:pPr>
        <w:pStyle w:val="Titrearticle"/>
        <w:rPr>
          <w:b/>
          <w:bCs/>
          <w:noProof/>
        </w:rPr>
      </w:pPr>
      <w:r>
        <w:rPr>
          <w:noProof/>
        </w:rPr>
        <w:t>„Článok 29a</w:t>
      </w:r>
      <w:r>
        <w:rPr>
          <w:noProof/>
        </w:rPr>
        <w:br/>
      </w:r>
      <w:r>
        <w:rPr>
          <w:b/>
          <w:noProof/>
        </w:rPr>
        <w:t>Vedenie záznamov na účely systému ETIAS</w:t>
      </w:r>
    </w:p>
    <w:p>
      <w:pPr>
        <w:autoSpaceDE w:val="0"/>
        <w:autoSpaceDN w:val="0"/>
        <w:adjustRightInd w:val="0"/>
        <w:ind w:left="284"/>
        <w:rPr>
          <w:noProof/>
        </w:rPr>
      </w:pPr>
      <w:r>
        <w:rPr>
          <w:noProof/>
        </w:rPr>
        <w:t>Na účely nahliadania do údajov, ako sa uvádza v článku 7a tohto nariadenia, sa v súlade s článkom 69 nariadenia (EÚ) 2018/1240 vedú záznamy o každej operácii spracovania údajov ECRIS-TCN vykonanej v [registri CIR] a systéme ETIAS.“;</w:t>
      </w:r>
    </w:p>
    <w:p>
      <w:pPr>
        <w:autoSpaceDE w:val="0"/>
        <w:autoSpaceDN w:val="0"/>
        <w:adjustRightInd w:val="0"/>
        <w:spacing w:before="0" w:after="0"/>
        <w:ind w:left="284"/>
        <w:rPr>
          <w:noProof/>
        </w:rPr>
      </w:pPr>
    </w:p>
    <w:p>
      <w:pPr>
        <w:pStyle w:val="Point0number"/>
        <w:spacing w:before="0"/>
        <w:rPr>
          <w:noProof/>
        </w:rPr>
      </w:pPr>
      <w:r>
        <w:rPr>
          <w:noProof/>
        </w:rPr>
        <w:t>dopĺňa sa táto príloha: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„Príloha II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Tabuľka zhôd uvedených v článku 7a</w:t>
      </w:r>
    </w:p>
    <w:tbl>
      <w:tblPr>
        <w:tblStyle w:val="TableGrid"/>
        <w:tblW w:w="8224" w:type="dxa"/>
        <w:tblLook w:val="04A0" w:firstRow="1" w:lastRow="0" w:firstColumn="1" w:lastColumn="0" w:noHBand="0" w:noVBand="1"/>
      </w:tblPr>
      <w:tblGrid>
        <w:gridCol w:w="4208"/>
        <w:gridCol w:w="4016"/>
      </w:tblGrid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jc w:val="center"/>
              <w:rPr>
                <w:rFonts w:eastAsia="Calibri"/>
                <w:b/>
                <w:bCs/>
                <w:i/>
                <w:iCs/>
                <w:noProof/>
              </w:rPr>
            </w:pPr>
            <w:r>
              <w:rPr>
                <w:b/>
                <w:i/>
                <w:noProof/>
              </w:rPr>
              <w:t>Údaje uvedené v článku 17 ods. 2 nariadenia 2018/1240 zasielané centrálnym systémom ETIAS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jc w:val="center"/>
              <w:rPr>
                <w:rFonts w:eastAsia="Calibri"/>
                <w:b/>
                <w:bCs/>
                <w:i/>
                <w:iCs/>
                <w:noProof/>
              </w:rPr>
            </w:pPr>
            <w:r>
              <w:rPr>
                <w:b/>
                <w:i/>
                <w:noProof/>
              </w:rPr>
              <w:t>Zodpovedajúce údaje v systéme ECRIS-TCN uvedené v článku 5 ods. 1 tohto nariadenia v [registri CIR], na základe ktorých by sa mali kontrolovať údaje v systéme ETIAS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priezvisko;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priezvisko;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rodné priezvisko;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predchádzajúce meno (mená);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meno (mená);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meno (mená);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ďalšie mená [prezývka (prezývky), umelecké meno (mená), zvyčajne používané meno (mená)];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pseudonym (pseudonymy) a/alebo prezývka (prezývky);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dátum narodenia;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dátum narodenia;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 xml:space="preserve">miesto narodenia; 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miesto narodenia (obec a štát);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krajina narodenia;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miesto narodenia (obec a štát);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pohlavie;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pohlavie;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súčasná štátna príslušnosť;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štátna príslušnosť alebo štátne príslušnosti;</w:t>
            </w:r>
          </w:p>
        </w:tc>
      </w:tr>
      <w:tr>
        <w:trPr>
          <w:trHeight w:val="74"/>
        </w:trP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prípadná iná štátna príslušnosť;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štátna príslušnosť alebo štátne príslušnosti;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druh cestovného dokladu;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druh dokladov totožnosti osoby;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číslo cestovného dokladu;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druh dokladov totožnosti osoby;</w:t>
            </w:r>
          </w:p>
        </w:tc>
      </w:tr>
      <w:tr>
        <w:tc>
          <w:tcPr>
            <w:tcW w:w="4208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krajina, kde bol cestovný doklad vydaný;</w:t>
            </w:r>
          </w:p>
        </w:tc>
        <w:tc>
          <w:tcPr>
            <w:tcW w:w="4016" w:type="dxa"/>
            <w:hideMark/>
          </w:tcPr>
          <w:p>
            <w:pPr>
              <w:autoSpaceDE w:val="0"/>
              <w:autoSpaceDN w:val="0"/>
              <w:spacing w:before="0" w:after="0"/>
              <w:rPr>
                <w:rFonts w:eastAsia="Calibri"/>
                <w:noProof/>
              </w:rPr>
            </w:pPr>
            <w:r>
              <w:rPr>
                <w:noProof/>
              </w:rPr>
              <w:t>názov vydávajúceho orgánu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”]</w:t>
      </w:r>
    </w:p>
    <w:p>
      <w:pPr>
        <w:pStyle w:val="Titrearticle"/>
        <w:rPr>
          <w:noProof/>
        </w:rPr>
      </w:pPr>
      <w:r>
        <w:rPr>
          <w:noProof/>
        </w:rPr>
        <w:t>Článok 3</w:t>
      </w:r>
    </w:p>
    <w:p>
      <w:pPr>
        <w:pStyle w:val="Titrearticle"/>
        <w:rPr>
          <w:noProof/>
        </w:rPr>
      </w:pPr>
      <w:r>
        <w:rPr>
          <w:b/>
          <w:noProof/>
        </w:rPr>
        <w:t>Nadobudnutie účinnosti</w:t>
      </w:r>
    </w:p>
    <w:p>
      <w:pPr>
        <w:rPr>
          <w:noProof/>
        </w:rPr>
      </w:pPr>
      <w:r>
        <w:rPr>
          <w:noProof/>
        </w:rPr>
        <w:t>Toto nariadenie nadobúda účinnosť dvadsiatym dňom po jeho uverejnení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Uplatňuje sa od dátumu stanoveného v súlade s druhým odsekom článku 96 </w:t>
      </w:r>
      <w:r>
        <w:rPr>
          <w:noProof/>
          <w:color w:val="000000"/>
        </w:rPr>
        <w:t>nariadenia (EÚ) 2018/1240.</w:t>
      </w:r>
    </w:p>
    <w:p>
      <w:pPr>
        <w:rPr>
          <w:noProof/>
        </w:rPr>
      </w:pPr>
    </w:p>
    <w:p>
      <w:pPr>
        <w:pStyle w:val="Applicationdirecte"/>
        <w:rPr>
          <w:noProof/>
        </w:rPr>
      </w:pPr>
      <w:r>
        <w:rPr>
          <w:noProof/>
        </w:rPr>
        <w:t>Toto nariadenie je záväzné v celom rozsahu a priamo uplatniteľné v členských štátoch v súlade so zmluvami.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2018/1240 z 12. septembra 2018, ktorým sa zriaďuje Európsky systém pre cestovné informácie a povolenia (ETIAS) a ktorým sa menia nariadenia (EÚ) č. 1077/2011, (EÚ) č. 515/2014, (EÚ) 2016/399, (EÚ) 2016/1624 a (EÚ) 2017/2226 (Ú. v. EÚ L 236, 19.9.2018, s. 1).</w:t>
      </w:r>
    </w:p>
  </w:footnote>
  <w:footnote w:id="2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2018/1241 z 12. septembra 2018, ktorým sa mení nariadenie (EÚ) 2016/794 na účely zriadenia Európskeho systému cestovných informácií a povolení (ETIAS) (Ú. v. EÚ L 236, 19.9.2018, s. 72).</w:t>
      </w:r>
    </w:p>
  </w:footnote>
  <w:footnote w:id="3">
    <w:p>
      <w:pPr>
        <w:pStyle w:val="FootnoteText"/>
      </w:pPr>
      <w:r>
        <w:rPr>
          <w:rStyle w:val="FootnoteReference0"/>
        </w:rPr>
        <w:footnoteRef/>
      </w:r>
      <w:r>
        <w:tab/>
        <w:t>COM(2016) 602 final.</w:t>
      </w:r>
    </w:p>
  </w:footnote>
  <w:footnote w:id="4">
    <w:p>
      <w:pPr>
        <w:pStyle w:val="FootnoteText"/>
      </w:pPr>
      <w:r>
        <w:rPr>
          <w:rStyle w:val="FootnoteReference0"/>
        </w:rPr>
        <w:footnoteRef/>
      </w:r>
      <w:r>
        <w:tab/>
        <w:t>COM(2016) 205 final.</w:t>
      </w:r>
    </w:p>
  </w:footnote>
  <w:footnote w:id="5">
    <w:p>
      <w:pPr>
        <w:pStyle w:val="FootnoteText"/>
      </w:pPr>
      <w:r>
        <w:rPr>
          <w:rStyle w:val="FootnoteReference0"/>
        </w:rPr>
        <w:footnoteRef/>
      </w:r>
      <w:r>
        <w:tab/>
        <w:t>Článok 20 ods. 2 a článok 23 ods. 1 nariadenia (EÚ) 2018/1240 uvedeného v poznámke pod čiarou č. 1.</w:t>
      </w:r>
    </w:p>
  </w:footnote>
  <w:footnote w:id="6">
    <w:p>
      <w:pPr>
        <w:pStyle w:val="FootnoteText"/>
      </w:pPr>
      <w:r>
        <w:rPr>
          <w:rStyle w:val="FootnoteReference0"/>
        </w:rPr>
        <w:footnoteRef/>
      </w:r>
      <w:r>
        <w:tab/>
        <w:t>COM(2016) 731 final.</w:t>
      </w:r>
    </w:p>
  </w:footnote>
  <w:footnote w:id="7">
    <w:p>
      <w:pPr>
        <w:pStyle w:val="FootnoteText"/>
      </w:pPr>
      <w:r>
        <w:rPr>
          <w:rStyle w:val="FootnoteReference0"/>
        </w:rPr>
        <w:footnoteRef/>
      </w:r>
      <w:r>
        <w:tab/>
        <w:t>Nariadenie (EÚ) 2017/2226 z 9. decembra 2017, ktorým sa zriaďuje systém vstup/výstup (EES), Ú. v. EÚ L 327, s. 20.</w:t>
      </w:r>
    </w:p>
  </w:footnote>
  <w:footnote w:id="8">
    <w:p>
      <w:pPr>
        <w:pStyle w:val="FootnoteText"/>
      </w:pPr>
      <w:r>
        <w:rPr>
          <w:rStyle w:val="FootnoteReference0"/>
        </w:rPr>
        <w:footnoteRef/>
      </w:r>
      <w:r>
        <w:tab/>
        <w:t>COM(2017) 344 final.</w:t>
      </w:r>
    </w:p>
  </w:footnote>
  <w:footnote w:id="9">
    <w:p>
      <w:pPr>
        <w:pStyle w:val="FootnoteText"/>
      </w:pPr>
      <w:r>
        <w:rPr>
          <w:rStyle w:val="FootnoteReference0"/>
        </w:rPr>
        <w:footnoteRef/>
      </w:r>
      <w:r>
        <w:tab/>
        <w:t>COM(2016) 883 final, COM(2016) 882 final, COM(2016) 881 final.</w:t>
      </w:r>
    </w:p>
  </w:footnote>
  <w:footnote w:id="10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č. 603/2013 z 26. júna 2013 o zriadení systému Eurodac na porovnávanie odtlačkov prstov pre účinné uplatňovanie nariadenia (EÚ) č. 604/2013, ktorým sa ustanovujú kritériá a mechanizmy na určenie členského štátu zodpovedného za posúdenie žiadosti o medzinárodnú ochranu podanej štátnym príslušníkom tretej krajiny alebo osobou bez štátnej príslušnosti v jednom z členských štátov, a o žiadostiach orgánov členských štátov na presadzovanie práva a Europolu o porovnanie s údajmi v systéme Eurodac na účely presadzovania práva a o zmene nariadenia (EÚ) č. 1077/2011, ktorým sa zriaďuje Európska agentúra na prevádzkové riadenie rozsiahlych informačných systémov v priestore slobody, bezpečnosti a spravodlivosti (Ú. v. EÚ L 180, 29.6.2013, s. 1).</w:t>
      </w:r>
    </w:p>
  </w:footnote>
  <w:footnote w:id="11">
    <w:p>
      <w:pPr>
        <w:pStyle w:val="FootnoteText"/>
      </w:pPr>
      <w:r>
        <w:rPr>
          <w:rStyle w:val="FootnoteReference0"/>
        </w:rPr>
        <w:footnoteRef/>
      </w:r>
      <w:r>
        <w:tab/>
        <w:t>V nariadení o ETIAS zostali odkazy na systém Eurodac, ktoré boli súčasťou návrhu Komisie na nariadenie o ETIAS, pričom v článku 97 nariadenia (EÚ) 2018/1240 o ETIAS sa bližšie špecifikuje, že ustanovenia týkajúce sa nahliadania do údajov systému Eurodac sa budú uplatňovať až po prepracovaní nariadenia o systéme Eurodac.</w:t>
      </w:r>
    </w:p>
  </w:footnote>
  <w:footnote w:id="12">
    <w:p>
      <w:pPr>
        <w:pStyle w:val="FootnoteText"/>
      </w:pPr>
      <w:r>
        <w:rPr>
          <w:rStyle w:val="FootnoteReference0"/>
        </w:rPr>
        <w:footnoteRef/>
      </w:r>
      <w:r>
        <w:tab/>
        <w:t>Odôvodnenie 58 nariadenia (EÚ) 2018/1240 uvedené v poznámke pod čiarou 1.</w:t>
      </w:r>
    </w:p>
  </w:footnote>
  <w:footnote w:id="13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2018/1862 z 28. novembra 2018 o zriadení, prevádzke a využívaní Schengenského informačného systému (SIS) v oblasti policajnej spolupráce a justičnej spolupráce v trestných veciach, o zmene a zrušení rozhodnutia Rady 2007/533/SVV a o zrušení nariadenia Európskeho parlamentu a Rady (ES) č. 1986/2006 a rozhodnutie Komisie 2010/261/EÚ.</w:t>
      </w:r>
    </w:p>
  </w:footnote>
  <w:footnote w:id="14">
    <w:p>
      <w:pPr>
        <w:pStyle w:val="FootnoteText"/>
      </w:pPr>
      <w:r>
        <w:rPr>
          <w:rStyle w:val="FootnoteReference0"/>
        </w:rPr>
        <w:footnoteRef/>
      </w:r>
      <w:r>
        <w:tab/>
        <w:t>COM(2016) 272 final.</w:t>
      </w:r>
    </w:p>
  </w:footnote>
  <w:footnote w:id="15">
    <w:p>
      <w:pPr>
        <w:pStyle w:val="FootnoteText"/>
      </w:pPr>
      <w:r>
        <w:rPr>
          <w:rStyle w:val="FootnoteReference0"/>
        </w:rPr>
        <w:footnoteRef/>
      </w:r>
      <w:r>
        <w:tab/>
        <w:t>COM(2018) 478 final a COM(2018) 480 final.</w:t>
      </w:r>
    </w:p>
  </w:footnote>
  <w:footnote w:id="16">
    <w:p>
      <w:pPr>
        <w:pStyle w:val="FootnoteText"/>
      </w:pPr>
      <w:r>
        <w:rPr>
          <w:rStyle w:val="FootnoteReference0"/>
        </w:rPr>
        <w:footnoteRef/>
      </w:r>
      <w:r>
        <w:tab/>
        <w:t>Nariadenie (EÚ) 2226/2017 z 9. decembra 2017, ktorým sa zriaďuje systém vstup/výstup, Ú. v. EÚ L 327, s. 20.</w:t>
      </w:r>
    </w:p>
  </w:footnote>
  <w:footnote w:id="17">
    <w:p>
      <w:pPr>
        <w:pStyle w:val="FootnoteText"/>
      </w:pPr>
      <w:r>
        <w:rPr>
          <w:rStyle w:val="FootnoteReference0"/>
        </w:rPr>
        <w:footnoteRef/>
      </w:r>
      <w:r>
        <w:tab/>
        <w:t>COM(2018) 478 final a COM(2018) 480 final.</w:t>
      </w:r>
    </w:p>
  </w:footnote>
  <w:footnote w:id="18">
    <w:p>
      <w:pPr>
        <w:pStyle w:val="FootnoteText"/>
      </w:pPr>
      <w:r>
        <w:rPr>
          <w:rStyle w:val="FootnoteReference0"/>
        </w:rPr>
        <w:footnoteRef/>
      </w:r>
      <w:r>
        <w:tab/>
        <w:t>Pozri poznámku pod čiarou č. 1.</w:t>
      </w:r>
    </w:p>
  </w:footnote>
  <w:footnote w:id="19">
    <w:p>
      <w:pPr>
        <w:pStyle w:val="FootnoteText"/>
      </w:pPr>
      <w:r>
        <w:rPr>
          <w:rStyle w:val="FootnoteReference0"/>
        </w:rPr>
        <w:footnoteRef/>
      </w:r>
      <w:r>
        <w:tab/>
        <w:t>Smernica Európskeho parlamentu a Rady 2004/38/ES z 29. apríla 2004 o práve občanov Únie a ich rodinných príslušníkov voľne sa pohybovať a zdržiavať sa v rámci územia členských štátov, ktorá mení a dopĺňa nariadenie (EHS) 1612/68 a ruší smernice 64/221/EHS, 68/360/EHS, 72/194/EHS, 73/148/EHS, 75/34/EHS, 75/35/EHS, 90/364/EHS, 90/365/EHS a 93/96/EHS (Ú. v. EÚ L 158, 30.4.2004, s. 77).</w:t>
      </w:r>
    </w:p>
  </w:footnote>
  <w:footnote w:id="20">
    <w:p>
      <w:pPr>
        <w:pStyle w:val="FootnoteText"/>
      </w:pPr>
      <w:r>
        <w:rPr>
          <w:rStyle w:val="FootnoteReference0"/>
        </w:rPr>
        <w:footnoteRef/>
      </w:r>
      <w:r>
        <w:tab/>
        <w:t>COM(2015) 185 final.</w:t>
      </w:r>
    </w:p>
  </w:footnote>
  <w:footnote w:id="21">
    <w:p>
      <w:pPr>
        <w:pStyle w:val="FootnoteText"/>
      </w:pPr>
      <w:r>
        <w:rPr>
          <w:rStyle w:val="FootnoteReference0"/>
        </w:rPr>
        <w:footnoteRef/>
      </w:r>
      <w:r>
        <w:tab/>
        <w:t>COM(2018) 470 final.</w:t>
      </w:r>
    </w:p>
  </w:footnote>
  <w:footnote w:id="22">
    <w:p>
      <w:pPr>
        <w:pStyle w:val="FootnoteText"/>
      </w:pPr>
      <w:r>
        <w:rPr>
          <w:rStyle w:val="FootnoteReference0"/>
        </w:rPr>
        <w:footnoteRef/>
      </w:r>
      <w:r>
        <w:tab/>
        <w:t>Ú. v. EÚ L 108, 26.4.2017, s. 31.</w:t>
      </w:r>
    </w:p>
  </w:footnote>
  <w:footnote w:id="23">
    <w:p>
      <w:pPr>
        <w:pStyle w:val="FootnoteText"/>
      </w:pPr>
      <w:r>
        <w:rPr>
          <w:rStyle w:val="FootnoteReference0"/>
        </w:rPr>
        <w:footnoteRef/>
      </w:r>
      <w:r>
        <w:tab/>
        <w:t>Ú. v. EÚ C , , s. .</w:t>
      </w:r>
    </w:p>
  </w:footnote>
  <w:footnote w:id="24">
    <w:p>
      <w:pPr>
        <w:pStyle w:val="FootnoteText"/>
      </w:pPr>
      <w:r>
        <w:rPr>
          <w:rStyle w:val="FootnoteReference0"/>
        </w:rPr>
        <w:footnoteRef/>
      </w:r>
      <w:r>
        <w:tab/>
        <w:t>Ú. v. EÚ C , , s. .</w:t>
      </w:r>
    </w:p>
  </w:footnote>
  <w:footnote w:id="25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2018/1240 z 12. septembra 2018, ktorým sa zriaďuje Európsky systém pre cestovné informácie a povolenia (ETIAS) a ktorým sa menia nariadenia (EÚ) č. 1077/2011, (EÚ) č. 515/2014, (EÚ) 2016/399, (EÚ) 2016/1624 a (EÚ) 2017/2226 (Ú. v. EÚ L 236, 19.9.2018, s. 1).</w:t>
      </w:r>
    </w:p>
  </w:footnote>
  <w:footnote w:id="26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2018/1862 z 28. novembra 2018 o zriadení, prevádzke a využívaní Schengenského informačného systému (SIS) v oblasti policajnej spolupráce a justičnej spolupráce v trestných veciach, o zmene a zrušení rozhodnutia Rady 2007/533/SVV a o zrušení nariadenia Európskeho parlamentu a Rady (ES) č. 1986/2006 a rozhodnutia Komisie 2010/261/EÚ (Ú. v. EÚ L 312, 7.12.2018, s. 56).</w:t>
      </w:r>
    </w:p>
  </w:footnote>
  <w:footnote w:id="27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RRRR/xxx ... (Ú. v. EÚ L , , p. ).</w:t>
      </w:r>
    </w:p>
  </w:footnote>
  <w:footnote w:id="28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č. 603/2013 z 26. júna 2013 o zriadení systému Eurodac na porovnávanie odtlačkov prstov pre účinné uplatňovanie nariadenia (EÚ) č. 604/2013, ktorým sa ustanovujú kritériá a mechanizmy na určenie členského štátu zodpovedného za posúdenie žiadosti o medzinárodnú ochranu podanej štátnym príslušníkom tretej krajiny alebo osobou bez štátnej príslušnosti v jednom z členských štátov, a o žiadostiach orgánov členských štátov na presadzovanie práva a Europolu o porovnanie s údajmi v systéme Eurodac na účely presadzovania práva a o zmene nariadenia (EÚ) č. 1077/2011, ktorým sa zriaďuje Európska agentúra na prevádzkové riadenie rozsiahlych informačných systémov v priestore slobody, bezpečnosti a spravodlivosti (Ú. v. EÚ L 180, 29.6.2013, s. 1).</w:t>
      </w:r>
    </w:p>
  </w:footnote>
  <w:footnote w:id="29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rrrr/xxx ... (Ú. v. EÚ L , , p. ).</w:t>
      </w:r>
    </w:p>
  </w:footnote>
  <w:footnote w:id="30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2018/1726 zo 14. novembra 2018 o Agentúre Európskej únie na prevádzkové riadenie rozsiahlych informačných systémov v priestore slobody, bezpečnosti a spravodlivosti (eu-LISA) a o zmene nariadenia (ES) č. 1987/2006 a rozhodnutia Rady 2007/533/SVV a o zrušení nariadenia (EÚ) č. 1077/2011 (Ú. v. EÚ L 295, 21.11.2018, s. 99).</w:t>
      </w:r>
    </w:p>
  </w:footnote>
  <w:footnote w:id="31">
    <w:p>
      <w:pPr>
        <w:pStyle w:val="FootnoteText"/>
      </w:pPr>
      <w:r>
        <w:rPr>
          <w:rStyle w:val="FootnoteReference0"/>
        </w:rPr>
        <w:footnoteRef/>
      </w:r>
      <w:r>
        <w:tab/>
        <w:t>Ú. v. EÚ L 158, 30.4.2004, s. 77.</w:t>
      </w:r>
    </w:p>
  </w:footnote>
  <w:footnote w:id="32">
    <w:p>
      <w:pPr>
        <w:pStyle w:val="FootnoteText"/>
      </w:pPr>
      <w:r>
        <w:rPr>
          <w:rStyle w:val="FootnoteReference0"/>
        </w:rPr>
        <w:footnoteRef/>
      </w:r>
      <w:r>
        <w:tab/>
        <w:t>Ú. v. ES L 131, 1.6.2000, s. 43.</w:t>
      </w:r>
    </w:p>
  </w:footnote>
  <w:footnote w:id="33">
    <w:p>
      <w:pPr>
        <w:pStyle w:val="FootnoteText"/>
      </w:pPr>
      <w:r>
        <w:rPr>
          <w:rStyle w:val="FootnoteReference0"/>
        </w:rPr>
        <w:footnoteRef/>
      </w:r>
      <w:r>
        <w:tab/>
        <w:t>Ú. v. ES L 64, 7.3.2002. s. 20.</w:t>
      </w:r>
    </w:p>
  </w:footnote>
  <w:footnote w:id="34">
    <w:p>
      <w:pPr>
        <w:pStyle w:val="FootnoteText"/>
      </w:pPr>
      <w:r>
        <w:rPr>
          <w:rStyle w:val="FootnoteReference0"/>
        </w:rPr>
        <w:footnoteRef/>
      </w:r>
      <w:r>
        <w:tab/>
        <w:t xml:space="preserve">Rozhodnutie Rady 2010/365/EÚ z 29. júna 2010 o uplatňovaní ustanovení schengenského </w:t>
      </w:r>
      <w:r>
        <w:rPr>
          <w:i/>
        </w:rPr>
        <w:t>acquis</w:t>
      </w:r>
      <w:r>
        <w:t xml:space="preserve"> týkajúcich sa Schengenského informačného systému v Bulharskej republike a Rumunsku (Ú. v. EÚ L 166, 1.7.2010, s. 17).</w:t>
      </w:r>
    </w:p>
  </w:footnote>
  <w:footnote w:id="35">
    <w:p>
      <w:pPr>
        <w:pStyle w:val="FootnoteText"/>
      </w:pPr>
      <w:r>
        <w:rPr>
          <w:rStyle w:val="FootnoteReference0"/>
        </w:rPr>
        <w:footnoteRef/>
      </w:r>
      <w:r>
        <w:tab/>
        <w:t xml:space="preserve">Rozhodnutie Rady (EÚ) 2018/934 z 25. júna 2018 o nadobudnutí účinnosti zostávajúcich ustanovení schengenského </w:t>
      </w:r>
      <w:r>
        <w:rPr>
          <w:i/>
        </w:rPr>
        <w:t>acquis</w:t>
      </w:r>
      <w:r>
        <w:t xml:space="preserve"> týkajúcich sa Schengenského informačného systému v Bulharskej republike a Rumunsku (Ú. v. EÚ L 165, 2.7.2018, s. 37).</w:t>
      </w:r>
    </w:p>
  </w:footnote>
  <w:footnote w:id="36">
    <w:p>
      <w:pPr>
        <w:pStyle w:val="FootnoteText"/>
      </w:pPr>
      <w:r>
        <w:rPr>
          <w:rStyle w:val="FootnoteReference0"/>
        </w:rPr>
        <w:footnoteRef/>
      </w:r>
      <w:r>
        <w:tab/>
        <w:t xml:space="preserve">Rozhodnutie Rady (EÚ) 2017/733 z 25. apríla 2017 o uplatňovaní ustanovení schengenského </w:t>
      </w:r>
      <w:r>
        <w:rPr>
          <w:i/>
        </w:rPr>
        <w:t>acquis</w:t>
      </w:r>
      <w:r>
        <w:t xml:space="preserve"> týkajúcich sa Schengenského informačného systému v Chorvátskej republike (Ú. v. EÚ L 108, 26.4.2017, s. 31).</w:t>
      </w:r>
    </w:p>
  </w:footnote>
  <w:footnote w:id="37">
    <w:p>
      <w:pPr>
        <w:pStyle w:val="FootnoteText"/>
      </w:pPr>
      <w:r>
        <w:rPr>
          <w:rStyle w:val="FootnoteReference0"/>
        </w:rPr>
        <w:footnoteRef/>
      </w:r>
      <w:r>
        <w:tab/>
      </w:r>
      <w:hyperlink r:id="rId1">
        <w:r>
          <w:rPr>
            <w:rStyle w:val="Hyperlink"/>
          </w:rPr>
          <w:t>Ú. v. ES L 176, 10.7.1999, s. 36</w:t>
        </w:r>
      </w:hyperlink>
      <w:r>
        <w:rPr>
          <w:color w:val="000000"/>
        </w:rPr>
        <w:t>.</w:t>
      </w:r>
    </w:p>
  </w:footnote>
  <w:footnote w:id="38">
    <w:p>
      <w:pPr>
        <w:pStyle w:val="FootnoteText"/>
      </w:pPr>
      <w:r>
        <w:rPr>
          <w:rStyle w:val="FootnoteReference0"/>
        </w:rPr>
        <w:footnoteRef/>
      </w:r>
      <w:r>
        <w:tab/>
        <w:t>Rozhodnutie Rady 1999/437/ES zo 17. mája 1999 o určitých vykonávacích predpisoch k dohode uzavretej medzi Radou Európskej únie a Islandskou republikou a Nórskym kráľovstvom o pridružení týchto dvoch štátov pri vykonávaní, uplatňovaní a vývoji schengenského acquis (Ú. v. ES L 176, 10.7.1999, s. 31).</w:t>
      </w:r>
    </w:p>
  </w:footnote>
  <w:footnote w:id="39">
    <w:p>
      <w:pPr>
        <w:pStyle w:val="FootnoteText"/>
      </w:pPr>
      <w:r>
        <w:rPr>
          <w:rStyle w:val="FootnoteReference0"/>
        </w:rPr>
        <w:footnoteRef/>
      </w:r>
      <w:r>
        <w:tab/>
        <w:t>Ú. v. EÚ L 53, 27.2.2008, s. 52.</w:t>
      </w:r>
    </w:p>
  </w:footnote>
  <w:footnote w:id="40">
    <w:p>
      <w:pPr>
        <w:pStyle w:val="FootnoteText"/>
      </w:pPr>
      <w:r>
        <w:rPr>
          <w:rStyle w:val="FootnoteReference0"/>
        </w:rPr>
        <w:footnoteRef/>
      </w:r>
      <w:r>
        <w:tab/>
        <w:t xml:space="preserve">Rozhodnutie Rady 2008/146/ES z 28. januára 2008 o uzavretí v mene Európskeho spoločenstva Dohody medzi Európskou úniou, Európskym spoločenstvom a Švajčiarskou konfederáciou o pridružení Švajčiarskej konfederácie k vykonávaniu, uplatňovaniu a vývoju schengenského </w:t>
      </w:r>
      <w:r>
        <w:rPr>
          <w:i/>
        </w:rPr>
        <w:t>acquis</w:t>
      </w:r>
      <w:r>
        <w:t xml:space="preserve"> (</w:t>
      </w:r>
      <w:hyperlink r:id="rId2">
        <w:r>
          <w:rPr>
            <w:rStyle w:val="Hyperlink"/>
          </w:rPr>
          <w:t>Ú. v. EÚ L 53, 27.2.2008, s. 1)</w:t>
        </w:r>
      </w:hyperlink>
      <w:r>
        <w:t>.</w:t>
      </w:r>
    </w:p>
  </w:footnote>
  <w:footnote w:id="41">
    <w:p>
      <w:pPr>
        <w:pStyle w:val="FootnoteText"/>
      </w:pPr>
      <w:r>
        <w:rPr>
          <w:rStyle w:val="FootnoteReference0"/>
        </w:rPr>
        <w:footnoteRef/>
      </w:r>
      <w:r>
        <w:tab/>
      </w:r>
      <w:hyperlink r:id="rId3">
        <w:r>
          <w:rPr>
            <w:rStyle w:val="Hyperlink"/>
          </w:rPr>
          <w:t>Ú. v. EÚ L 160, 18.6.2011, s. 21</w:t>
        </w:r>
      </w:hyperlink>
      <w:r>
        <w:rPr>
          <w:color w:val="000000"/>
        </w:rPr>
        <w:t>.</w:t>
      </w:r>
    </w:p>
  </w:footnote>
  <w:footnote w:id="42">
    <w:p>
      <w:pPr>
        <w:pStyle w:val="FootnoteText"/>
      </w:pPr>
      <w:r>
        <w:rPr>
          <w:rStyle w:val="FootnoteReference0"/>
        </w:rPr>
        <w:footnoteRef/>
      </w:r>
      <w:r>
        <w:tab/>
        <w:t xml:space="preserve">Rozhodnutie Rady 2011/350/EÚ zo 7. marca 2011 o uzavretí v mene Európskej únie Protokolu medzi Európskou úniou, Európskym spoločenstvom, Švajčiarskou konfederáciou a Lichtenštajnským kniežatstvom o pristúpení Lichtenštajnského kniežatstva k Dohode medzi Európskou úniou, Európskym spoločenstvom a Švajčiarskou konfederáciou o pridružení Švajčiarskej konfederácie k implementácii, uplatňovaniu a rozvoju schengenského </w:t>
      </w:r>
      <w:r>
        <w:rPr>
          <w:i/>
        </w:rPr>
        <w:t>acquis</w:t>
      </w:r>
      <w:r>
        <w:t>, ktoré sa vzťahuje na zrušenie kontrol na vnútorných hraniciach a pohyb osôb (Ú. v. EÚ L 160, 18.6.2011, s. 19).</w:t>
      </w:r>
    </w:p>
  </w:footnote>
  <w:footnote w:id="43">
    <w:p>
      <w:pPr>
        <w:pStyle w:val="FootnoteText"/>
      </w:pPr>
      <w:r>
        <w:rPr>
          <w:rStyle w:val="FootnoteReference0"/>
        </w:rPr>
        <w:footnoteRef/>
      </w:r>
      <w:r>
        <w:tab/>
        <w:t>Nariadenie Európskeho parlamentu a Rady (EÚ) 2018/1725 z 23. októbra 2018 o ochrane fyzických osôb pri spracúvaní osobných údajov inštitúciami, orgánmi, úradmi a agentúrami Únie a o voľnom pohybe takýchto údajov, ktorým sa zrušuje nariadenie (ES) č. 45/2001 a rozhodnutie č. 1247/2002/ES (Ú. v. EÚ L 295, 21.11.2018, s. 39).</w:t>
      </w:r>
    </w:p>
  </w:footnote>
  <w:footnote w:id="44">
    <w:p>
      <w:pPr>
        <w:pStyle w:val="FootnoteText"/>
      </w:pPr>
      <w:r>
        <w:rPr>
          <w:rStyle w:val="FootnoteReference0"/>
        </w:rPr>
        <w:footnoteRef/>
      </w:r>
      <w:r>
        <w:tab/>
        <w:t>V týchto zmenách je zohľadnený návrh Komisie, COM(2017) 344 final.</w:t>
      </w:r>
    </w:p>
  </w:footnote>
  <w:footnote w:id="45">
    <w:p>
      <w:pPr>
        <w:pStyle w:val="FootnoteText"/>
      </w:pPr>
      <w:r>
        <w:rPr>
          <w:rStyle w:val="FootnoteReference0"/>
        </w:rPr>
        <w:footnoteRef/>
      </w:r>
      <w:r>
        <w:tab/>
        <w:t>V číslovaní je zohľadnená zmena tohto nariadenia na základe návrhu nariadenia Európskeho parlamentu a Rady o stanovení rámca pre interoperabilitu medzi informačnými systémami EÚ (policajná a justičná spolupráca, azyl a migrácia), COM(2018) 480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C627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E48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71803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563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5BCC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60689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2F65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080DB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14 10:39:3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13AAD4F-12B0-46AC-B09A-074230E79219"/>
    <w:docVar w:name="LW_COVERPAGE_TYPE" w:val="1"/>
    <w:docVar w:name="LW_CROSSREFERENCE" w:val="&lt;UNUSED&gt;"/>
    <w:docVar w:name="LW_DocType" w:val="COM"/>
    <w:docVar w:name="LW_EMISSION" w:val="7. 1. 2019"/>
    <w:docVar w:name="LW_EMISSION_ISODATE" w:val="2019-01-07"/>
    <w:docVar w:name="LW_EMISSION_LOCATION" w:val="BRX"/>
    <w:docVar w:name="LW_EMISSION_PREFIX" w:val="V Bruseli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01"/>
    <w:docVar w:name="LW_REF.II.NEW.CP_YEAR" w:val="2019"/>
    <w:docVar w:name="LW_REF.INST.NEW" w:val="COM"/>
    <w:docVar w:name="LW_REF.INST.NEW_ADOPTED" w:val="final"/>
    <w:docVar w:name="LW_REF.INST.NEW_TEXT" w:val="(2019) 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orým sa stanovujú podmienky prístupu do iných informa\u269?ných systémov EÚ a ktorým sa mení nariadenie (EÚ) 2018/1862 a nariadenie (EÚ) rrrr/xxx [ECRIS-TCN]"/>
    <w:docVar w:name="LW_TYPE.DOC.CP" w:val="NARIADENI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DeltaViewInsertion">
    <w:name w:val="DeltaView Insertion"/>
    <w:uiPriority w:val="99"/>
    <w:rPr>
      <w:b/>
      <w:i/>
      <w:color w:val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365F91" w:themeColor="accent1" w:themeShade="BF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umPara">
    <w:name w:val="NumPara"/>
    <w:basedOn w:val="Point1number"/>
    <w:pPr>
      <w:numPr>
        <w:ilvl w:val="0"/>
        <w:numId w:val="0"/>
      </w:numPr>
      <w:ind w:left="851"/>
    </w:pPr>
  </w:style>
  <w:style w:type="paragraph" w:customStyle="1" w:styleId="NumPara0">
    <w:name w:val="Num Para"/>
    <w:basedOn w:val="NumPara"/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footnotereference">
    <w:name w:val="footnotereference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talic">
    <w:name w:val="italic"/>
    <w:basedOn w:val="DefaultParagraphFont"/>
  </w:style>
  <w:style w:type="character" w:customStyle="1" w:styleId="super">
    <w:name w:val="supe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DeltaViewInsertion">
    <w:name w:val="DeltaView Insertion"/>
    <w:uiPriority w:val="99"/>
    <w:rPr>
      <w:b/>
      <w:i/>
      <w:color w:val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365F91" w:themeColor="accent1" w:themeShade="BF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umPara">
    <w:name w:val="NumPara"/>
    <w:basedOn w:val="Point1number"/>
    <w:pPr>
      <w:numPr>
        <w:ilvl w:val="0"/>
        <w:numId w:val="0"/>
      </w:numPr>
      <w:ind w:left="851"/>
    </w:pPr>
  </w:style>
  <w:style w:type="paragraph" w:customStyle="1" w:styleId="NumPara0">
    <w:name w:val="Num Para"/>
    <w:basedOn w:val="NumPara"/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footnotereference">
    <w:name w:val="footnotereference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talic">
    <w:name w:val="italic"/>
    <w:basedOn w:val="DefaultParagraphFont"/>
  </w:style>
  <w:style w:type="character" w:customStyle="1" w:styleId="super">
    <w:name w:val="supe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SK/AUTO/?uri=OJ:L:2011:160:TOC" TargetMode="External"/><Relationship Id="rId2" Type="http://schemas.openxmlformats.org/officeDocument/2006/relationships/hyperlink" Target="https://eur-lex.europa.eu/legal-content/EN/AUTO/?uri=OJ:L:2008:053:TOC" TargetMode="External"/><Relationship Id="rId1" Type="http://schemas.openxmlformats.org/officeDocument/2006/relationships/hyperlink" Target="https://eur-lex.europa.eu/legal-content/EN/AUTO/?uri=OJ:L:1999:176:T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90CDB5-F775-4BCD-8B5D-7435E8CD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16</Pages>
  <Words>6611</Words>
  <Characters>38478</Characters>
  <Application>Microsoft Office Word</Application>
  <DocSecurity>0</DocSecurity>
  <Lines>699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2019-01-03T07:01:00Z</cp:lastPrinted>
  <dcterms:created xsi:type="dcterms:W3CDTF">2019-01-13T21:41:00Z</dcterms:created>
  <dcterms:modified xsi:type="dcterms:W3CDTF">2019-01-14T09:39:00Z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