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2B20341-D8E3-4C31-AA86-FF50BF492203"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widowControl w:val="0"/>
        <w:shd w:val="clear" w:color="auto" w:fill="FFFFFF"/>
        <w:autoSpaceDE w:val="0"/>
        <w:autoSpaceDN w:val="0"/>
        <w:adjustRightInd w:val="0"/>
        <w:spacing w:before="230" w:after="0" w:line="269" w:lineRule="exact"/>
        <w:ind w:right="86"/>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Przyczyny i cele wniosku</w:t>
      </w:r>
    </w:p>
    <w:p>
      <w:pPr>
        <w:rPr>
          <w:noProof/>
          <w:szCs w:val="24"/>
        </w:rPr>
      </w:pPr>
      <w:r>
        <w:rPr>
          <w:noProof/>
        </w:rPr>
        <w:t>We wrześniu 2018 r. Rada i Parlament Europejski przyjęły dwa akty ustawodawcze: rozporządzenie ustanawiające europejski system informacji o podróży oraz zezwoleń na podróż (ETIAS)</w:t>
      </w:r>
      <w:r>
        <w:rPr>
          <w:rStyle w:val="FootnoteReference0"/>
          <w:noProof/>
          <w:szCs w:val="24"/>
        </w:rPr>
        <w:footnoteReference w:id="1"/>
      </w:r>
      <w:r>
        <w:rPr>
          <w:noProof/>
        </w:rPr>
        <w:t xml:space="preserve"> oraz zmianę rozporządzenia w sprawie Europolu w celu utworzenia ETIAS</w:t>
      </w:r>
      <w:r>
        <w:rPr>
          <w:rStyle w:val="FootnoteReference0"/>
          <w:noProof/>
          <w:szCs w:val="24"/>
        </w:rPr>
        <w:footnoteReference w:id="2"/>
      </w:r>
      <w:r>
        <w:rPr>
          <w:noProof/>
        </w:rPr>
        <w:t>.</w:t>
      </w:r>
    </w:p>
    <w:p>
      <w:pPr>
        <w:rPr>
          <w:noProof/>
          <w:szCs w:val="24"/>
        </w:rPr>
      </w:pPr>
      <w:r>
        <w:rPr>
          <w:noProof/>
        </w:rPr>
        <w:t>Utworzenie ETIAS jest jednym z działań podejmowanych w ostatnich latach na szczeblu UE w celu poprawy bezpieczeństwa obywateli i zapobiegania nieregularnej migracji w otwartej Europie, zapewnienia bezpieczeństwa granic zewnętrznych i dalszego usprawniania zarządzania granicami zewnętrznymi</w:t>
      </w:r>
      <w:r>
        <w:rPr>
          <w:rStyle w:val="FootnoteReference0"/>
          <w:noProof/>
          <w:szCs w:val="24"/>
        </w:rPr>
        <w:footnoteReference w:id="3"/>
      </w:r>
      <w:r>
        <w:rPr>
          <w:rStyle w:val="FootnoteReference0"/>
          <w:noProof/>
          <w:szCs w:val="24"/>
        </w:rPr>
        <w:footnoteReference w:id="4"/>
      </w:r>
      <w:r>
        <w:rPr>
          <w:noProof/>
        </w:rPr>
        <w:t>. Ustanowienie systemu zapowiedziano w orędziu o stanie Unii w 2016 r., podając jednocześnie jego szerszy kontekst. Przewodniczący Jean-Claude Juncker powiedział</w:t>
      </w:r>
      <w:r>
        <w:rPr>
          <w:i/>
          <w:noProof/>
        </w:rPr>
        <w:t>: Naszych granic [...] będziemy bronić za pomocą surowych kontroli [...], obejmujących wszystkie osoby przekraczające te granice.</w:t>
      </w:r>
      <w:r>
        <w:rPr>
          <w:i/>
          <w:noProof/>
          <w:szCs w:val="24"/>
        </w:rPr>
        <w:t xml:space="preserve"> Za każdym razem, gdy ktoś wjeżdża na terytorium UE lub je opuszcza, zarejestrowane zostanie, kiedy, gdzie i dlaczego miało to miejsce. W listopadzie [2016 r.] przedstawimy wniosek w sprawie unijnego systemu informacji o podróży oraz zezwoleń na podróż – automatycznego systemu określającego, kto będzie mógł podróżować do Europy. </w:t>
      </w:r>
      <w:r>
        <w:rPr>
          <w:noProof/>
        </w:rPr>
        <w:t>W</w:t>
      </w:r>
      <w:r>
        <w:rPr>
          <w:i/>
          <w:noProof/>
          <w:szCs w:val="24"/>
        </w:rPr>
        <w:t> </w:t>
      </w:r>
      <w:r>
        <w:rPr>
          <w:noProof/>
        </w:rPr>
        <w:t>ten sposób będziemy wiedzieli, kto odbywa podróż do Europy, zanim jeszcze ta osoba tutaj dotrze.</w:t>
      </w:r>
    </w:p>
    <w:p>
      <w:pPr>
        <w:rPr>
          <w:noProof/>
          <w:szCs w:val="24"/>
        </w:rPr>
      </w:pPr>
      <w:r>
        <w:rPr>
          <w:noProof/>
        </w:rPr>
        <w:t>ETIAS wypełni lukę informacyjną dotyczącą podróżnych zwolnionych z obowiązku posiadania wizy podczas przekraczania granic zewnętrznych. System ten będzie określał kwalifikowalność obywateli państw trzecich zwolnionych z obowiązku wizowego przed ich podróżą do strefy Schengen oraz pozwoli stwierdzić, czy taka podróż będzie zagrażać bezpieczeństwu, stwarzać ryzyko nieregularnej migracji lub wysokie ryzyko epidemiologiczne. ETIAS da również podróżnym pewność, że będą mogli bez przeszkód przekraczać granice. W razie konieczności krajowe jednostki ETIAS mogą odmówić wydania zezwolenia na podróż ETIAS.</w:t>
      </w:r>
    </w:p>
    <w:p>
      <w:pPr>
        <w:rPr>
          <w:noProof/>
          <w:szCs w:val="24"/>
        </w:rPr>
      </w:pPr>
      <w:r>
        <w:rPr>
          <w:noProof/>
        </w:rPr>
        <w:t>Ocena wspomnianych wyżej zagrożeń i ryzyka będzie wiązała się z automatycznym przetwarzaniem danych osobowych zawartych we wnioskach o zezwolenie na podróż. Rozporządzenie w sprawie ETIAS stanowi, że dane osobowe zawarte we wnioskach będą porównywane z danymi znajdującymi się w rejestrach, plikach lub wpisach zarejestrowanych w unijnych systemach informacyjnych lub unijnych bazach danych (systemie centralnym ETIAS, systemie informacyjnym Schengen (SIS), wizowym systemie informacyjnym (VIS), systemie wjazdu/wyjazdu (EES) lub systemie Eurodac), w danych Europolu lub w bazach danych Interpolu (bazie zawierającej dane skradzionych lub utraconych dokumentów podróży (SLTD) lub bazie Interpolu zawierającej dane dokumentów podróży powiązanych z notami (TDAWN))</w:t>
      </w:r>
      <w:r>
        <w:rPr>
          <w:rStyle w:val="FootnoteReference0"/>
          <w:noProof/>
          <w:szCs w:val="24"/>
        </w:rPr>
        <w:footnoteReference w:id="5"/>
      </w:r>
      <w:r>
        <w:rPr>
          <w:noProof/>
        </w:rPr>
        <w:t>.</w:t>
      </w:r>
    </w:p>
    <w:p>
      <w:pPr>
        <w:rPr>
          <w:rStyle w:val="Added"/>
          <w:b w:val="0"/>
          <w:noProof/>
        </w:rPr>
      </w:pPr>
      <w:r>
        <w:rPr>
          <w:noProof/>
        </w:rPr>
        <w:t>W art. 20 rozporządzenia ustalono, którą grupę danych z plików wniosków ETIAS można wykorzystywać przy sprawdzaniu danych w innych systemach, jednak nie wszystkie te dane są pobierane lub rejestrowane w ten sam sposób w innych systemach informacyjnych UE i bazie danych Europolu. Na przykład jeden z systemów pobiera dane dotyczące „państwa wydania dokumentu podróży”, z kolei inny system rejestruje takie dane w inny sposób, np. jako „trzyliterowy kod kraju wydającego dokument podróży”. W innych przypadkach jeden system rejestruje określoną kategorię danych, natomiast inne systemy tego nie robią. Na przykład dane dotyczące „imion rodziców wnioskodawców” są gromadzone w systemie ETIAS, ale już nie w większości innych systemów przeszukiwanych przez ETIAS.</w:t>
      </w:r>
    </w:p>
    <w:p>
      <w:pPr>
        <w:rPr>
          <w:noProof/>
          <w:szCs w:val="24"/>
        </w:rPr>
      </w:pPr>
      <w:r>
        <w:rPr>
          <w:noProof/>
        </w:rPr>
        <w:t>W chwili przyjmowania wniosku w sprawie ETIAS</w:t>
      </w:r>
      <w:r>
        <w:rPr>
          <w:rStyle w:val="FootnoteReference0"/>
          <w:noProof/>
          <w:szCs w:val="24"/>
        </w:rPr>
        <w:footnoteReference w:id="6"/>
      </w:r>
      <w:r>
        <w:rPr>
          <w:noProof/>
        </w:rPr>
        <w:t xml:space="preserve"> sytuacja dotycząca różnych systemów informacyjnych UE, które ETIAS ma przeszukiwać, była ponadto inna niż obecnie. W chwili przyjęcia wniosku w sprawie ETIAS zaproponowano utworzenie dwóch innych nowych systemów informacyjnych UE: trwały dyskusje na temat rozporządzenia w sprawie EES</w:t>
      </w:r>
      <w:r>
        <w:rPr>
          <w:rStyle w:val="FootnoteReference0"/>
          <w:noProof/>
          <w:szCs w:val="24"/>
        </w:rPr>
        <w:footnoteReference w:id="7"/>
      </w:r>
      <w:r>
        <w:rPr>
          <w:noProof/>
        </w:rPr>
        <w:t>, natomiast wniosek Komisji w sprawie europejskiego systemu przekazywania informacji z rejestrów karnych dotyczący obywateli państw trzecich („system ECRIS-TCN”)</w:t>
      </w:r>
      <w:r>
        <w:rPr>
          <w:rStyle w:val="FootnoteReference0"/>
          <w:noProof/>
          <w:szCs w:val="24"/>
        </w:rPr>
        <w:footnoteReference w:id="8"/>
      </w:r>
      <w:r>
        <w:rPr>
          <w:noProof/>
        </w:rPr>
        <w:t xml:space="preserve"> miał właśnie zostać przedstawiony. Jeżeli chodzi o istniejące systemy informacyjne, teksty prawne dotyczące SIS ulegały zmianie ze względu na proponowane zmiany ram prawnych SIS w grudniu 2016 r., ostatecznie przyjęte przez współprawodawców w listopadzie 2018 r.</w:t>
      </w:r>
      <w:r>
        <w:rPr>
          <w:rStyle w:val="FootnoteReference0"/>
          <w:noProof/>
          <w:szCs w:val="24"/>
        </w:rPr>
        <w:footnoteReference w:id="9"/>
      </w:r>
      <w:r>
        <w:rPr>
          <w:noProof/>
        </w:rPr>
        <w:t xml:space="preserve"> Komisja zaproponowała także przekształcenie rozporządzenia Eurodac</w:t>
      </w:r>
      <w:r>
        <w:rPr>
          <w:rStyle w:val="FootnoteReference0"/>
          <w:noProof/>
          <w:szCs w:val="24"/>
        </w:rPr>
        <w:footnoteReference w:id="10"/>
      </w:r>
      <w:r>
        <w:rPr>
          <w:noProof/>
        </w:rPr>
        <w:t xml:space="preserve"> w ramach reformy wspólnego europejskiego systemu azylowego, jednak przekształcenie to nie zostało jak dotąd przyjęte przez współprawodawców</w:t>
      </w:r>
      <w:r>
        <w:rPr>
          <w:rStyle w:val="FootnoteReference0"/>
          <w:noProof/>
          <w:szCs w:val="24"/>
        </w:rPr>
        <w:footnoteReference w:id="11"/>
      </w:r>
      <w:r>
        <w:rPr>
          <w:noProof/>
        </w:rPr>
        <w:t>. Przekształcenie rozporządzenia Eurodac nadal czeka na przyjęcie przez współprawodawców.</w:t>
      </w:r>
    </w:p>
    <w:p>
      <w:pPr>
        <w:rPr>
          <w:noProof/>
          <w:szCs w:val="24"/>
        </w:rPr>
      </w:pPr>
      <w:r>
        <w:rPr>
          <w:noProof/>
        </w:rPr>
        <w:t>W związku z powyższym art. 11 ust. 2 rozporządzenia w sprawie ETIAS stanowi: „Zmiany aktów prawnych ustanawiających systemy informacyjne UE, niezbędne do ustanowienia ich interoperacyjności z ETIAS, a także uzupełnienie niniejszego rozporządzenia o odnośne przepisy będą przedmiotem odrębnego instrumentu prawnego.”</w:t>
      </w:r>
    </w:p>
    <w:p>
      <w:pPr>
        <w:rPr>
          <w:noProof/>
          <w:szCs w:val="24"/>
        </w:rPr>
      </w:pPr>
      <w:r>
        <w:rPr>
          <w:rStyle w:val="Added"/>
          <w:b w:val="0"/>
          <w:noProof/>
          <w:u w:val="none"/>
        </w:rPr>
        <w:t>Niniejszy wniosek ma zatem na celu określenie zmian technicznych niezbędnych do pełnego wprowadzenia systemu ETIAS w drodze zmian aktów prawnych</w:t>
      </w:r>
      <w:r>
        <w:rPr>
          <w:noProof/>
        </w:rPr>
        <w:t xml:space="preserve"> dotyczących przeszukiwań przez system ETIAS unijnych </w:t>
      </w:r>
      <w:r>
        <w:rPr>
          <w:rStyle w:val="Added"/>
          <w:b w:val="0"/>
          <w:noProof/>
          <w:u w:val="none"/>
        </w:rPr>
        <w:t>systemów informacyjnych. Niniejszy wniosek zawiera również odpowiednie przepisy oraz odpowiednio zmienia rozporządzenie ETIAS.</w:t>
      </w:r>
    </w:p>
    <w:p>
      <w:pPr>
        <w:rPr>
          <w:noProof/>
          <w:szCs w:val="24"/>
        </w:rPr>
      </w:pPr>
      <w:r>
        <w:rPr>
          <w:noProof/>
        </w:rPr>
        <w:t>Po pierwsze, niniejsza inicjatywa określa zmiany do rozporządzenia w sprawie ECRIS-TCN, w odniesieniu do których współprawodawcy wypracowali niedawno „porozumienie co do zasady”. W związku z tym, zgodnie z zamiarem wyrażonym przez współprawodawców w rozporządzeniu w sprawie ETIAS</w:t>
      </w:r>
      <w:r>
        <w:rPr>
          <w:rStyle w:val="FootnoteReference0"/>
          <w:noProof/>
          <w:szCs w:val="24"/>
        </w:rPr>
        <w:footnoteReference w:id="12"/>
      </w:r>
      <w:r>
        <w:rPr>
          <w:noProof/>
        </w:rPr>
        <w:t>, obecnie możliwe jest uwzględnienie w ETIAS niezbędnych przepisów dotyczących powiązań między ETIAS i ECRIS-TCN oraz wprowadzenie odpowiednich zmian w ECRIS-TCN.</w:t>
      </w:r>
    </w:p>
    <w:p>
      <w:pPr>
        <w:rPr>
          <w:noProof/>
          <w:szCs w:val="24"/>
        </w:rPr>
      </w:pPr>
      <w:r>
        <w:rPr>
          <w:noProof/>
        </w:rPr>
        <w:t>Po drugie, niniejsza inicjatywa ma również na celu ustanowienie powiązań między ETIAS i SIS. W listopadzie 2018 r. przyjęto zmienione ramy prawne dotyczące SIS. Niniejszy wniosek obejmuje zmiany wynikające z przyjęcia nowych rozporządzeń w sprawie SIS. Zgodnie z nowymi ramami prawnymi dotyczącymi SIS proponuje się uwzględnienie nowej kategorii wpisów w odniesieniu do rozpytań kontrolnych</w:t>
      </w:r>
      <w:r>
        <w:rPr>
          <w:rStyle w:val="FootnoteReference0"/>
          <w:noProof/>
          <w:szCs w:val="24"/>
        </w:rPr>
        <w:footnoteReference w:id="13"/>
      </w:r>
      <w:r>
        <w:rPr>
          <w:noProof/>
        </w:rPr>
        <w:t xml:space="preserve"> na potrzeby oceny wniosków. Nie proponuje się uwzględnienia tej kategorii wpisów w odniesieniu do decyzji nakazujących powrót, ponieważ takie wpisy są usuwane w momencie wykonania decyzji nakazującej powrót. Oznacza to, że osoby ubiegające się o zezwolenie na podróż ETIAS po wyjechaniu z UE nie mają – z definicji – w systemie SIS zapisu dotyczącego powrotu. Po trzecie, niniejsza inicjatywa ma na celu zmianę rozporządzenia w sprawie EES, aby ustanowić powiązania techniczne między EES i ETIAS.</w:t>
      </w:r>
    </w:p>
    <w:p>
      <w:pPr>
        <w:rPr>
          <w:noProof/>
          <w:szCs w:val="24"/>
        </w:rPr>
      </w:pPr>
      <w:r>
        <w:rPr>
          <w:noProof/>
        </w:rPr>
        <w:t>Po czwarte, niniejsza inicjatywa ma również na celu zmianę rozporządzenia w sprawie VIS, tak aby umożliwić otrzymywanie przez VIS zapytań z ETIAS, ich przetwarzanie i udzielanie na nie odpowiedzi. Chociaż w maju 2018 r. Komisja przedstawiła wniosek dotyczący zmiany rozporządzenia w sprawie VIS w celu modernizacji tej bazy danych, w ramach obecnej inicjatywy proponowane są zmiany do obowiązującego obecnie rozporządzenia w sprawie VIS, ponieważ nie osiągnięto wystarczających postępów w negocjacjach w sprawie wniosku dotyczącego modernizacji systemu VIS.</w:t>
      </w:r>
      <w:r>
        <w:rPr>
          <w:bCs/>
          <w:noProof/>
          <w:color w:val="000000"/>
          <w:szCs w:val="24"/>
        </w:rPr>
        <w:t xml:space="preserve"> Gdyby jednak najpierw miał zostać przyjęty wniosek dotyczący zmiany rozporządzenia w sprawie VIS, konieczne mogłoby się stać wprowadzenie pewnych zmian technicznych w niniejszym wniosku w celu dostosowania go do zmienionej wersji rozporządzenia w sprawie VIS. Jeżeli niniejszy wniosek zostanie przyjęty jako pierwszy, konieczne mogą się okazać pewne zmiany techniczne we wniosku zmieniającym rozporządzenie w sprawie VIS przed jego przyjęciem.</w:t>
      </w:r>
    </w:p>
    <w:p>
      <w:pPr>
        <w:rPr>
          <w:noProof/>
          <w:szCs w:val="24"/>
        </w:rPr>
      </w:pPr>
      <w:r>
        <w:rPr>
          <w:noProof/>
        </w:rPr>
        <w:t>Ponadto po przyjęciu zarówno rozporządzenia w sprawie EES, jak i rozporządzenia w sprawie ETIAS obecnie konieczne jest dostosowanie sposobu współpracy systemów EES i ETIAS do sposobu zintegrowania EES i VIS na potrzeby procesu kontroli granicznej i rejestrowania w EES przypadków przekraczania granicy. Pozwoli to zoptymalizować i uprościć pracę straży granicznej za sprawą wprowadzenia bardziej jednolitego procesu kontroli granicznej w odniesieniu do wszystkich obywateli państw trzecich wjeżdżających na pobyt krótkoterminowy.</w:t>
      </w:r>
    </w:p>
    <w:p>
      <w:pPr>
        <w:rPr>
          <w:noProof/>
          <w:szCs w:val="24"/>
        </w:rPr>
      </w:pPr>
      <w:r>
        <w:rPr>
          <w:noProof/>
        </w:rPr>
        <w:t>Niniejsza inicjatywa nie obejmuje jednak zmian związanych z Eurodac – unijną bazą danych dotyczących azylu i nieregularnej migracji, gdyż nie zakończono jeszcze rozmów dotyczących wniosku ustawodawczego z maja 2016 r. w sprawie wzmocnienia systemu Eurodac</w:t>
      </w:r>
      <w:r>
        <w:rPr>
          <w:rStyle w:val="FootnoteReference0"/>
          <w:noProof/>
          <w:szCs w:val="24"/>
        </w:rPr>
        <w:footnoteReference w:id="14"/>
      </w:r>
      <w:r>
        <w:rPr>
          <w:noProof/>
        </w:rPr>
        <w:t>. Dane dostępne w obecnym systemie Eurodac nie są ponadto wystarczające na potrzeby ETIAS, ponieważ w istniejącym systemie Eurodac przechowuje się jedynie dane biometryczne i numer referencyjny, natomiast nie przechowuje się żadnych innych danych osobowych (np. imię i nazwisko (imiona i nazwiska), wiek, data urodzenia), które umożliwiłyby osiągnięcie celów ETIAS. Wniosek ustawodawczy z maja 2016 r. dotyczący przekształcenia rozporządzenia Eurodac ma rozszerzyć cel tej bazy danych o identyfikację nielegalnie przebywających obywateli państw trzecich i osób, które wjechały na terytorium UE nielegalnie. W szczególności przewidziano w nim przechowywanie danych osobowych, takich jak imię i nazwisko (imiona i nazwiska), data urodzenia, obywatelstwo i dokumenty tożsamości. Takie dane dotyczące tożsamości mają zasadnicze znaczenie dla zagwarantowania, że Eurodac będzie w stanie przyczynić się do osiągnięcia celów ETIAS.</w:t>
      </w:r>
    </w:p>
    <w:p>
      <w:pPr>
        <w:rPr>
          <w:noProof/>
        </w:rPr>
      </w:pPr>
      <w:r>
        <w:rPr>
          <w:noProof/>
        </w:rPr>
        <w:t>Jak tylko współprawodawcy osiągną porozumienie polityczne w sprawie przekształcenia rozporządzenia Eurodac, konieczne będzie uzupełnienie wersji przekształconej rozporządzenia Eurodac o niezbędne zmiany w celu połączenia Eurodac z ETIAS. Ponadto, jak tylko współprawodawcy przyjmą wnioski ustawodawcze Komisji</w:t>
      </w:r>
      <w:r>
        <w:rPr>
          <w:rStyle w:val="FootnoteReference0"/>
          <w:noProof/>
        </w:rPr>
        <w:footnoteReference w:id="15"/>
      </w:r>
      <w:r>
        <w:rPr>
          <w:noProof/>
        </w:rPr>
        <w:t xml:space="preserve"> dotyczące interoperacyjności systemów informacyjnych w zakresie bezpieczeństwa oraz zarządzania granicami i migracją oraz w następstwie porozumienia politycznego w sprawie wniosku dotyczącego przekształcenia rozporządzenia Eurodac Komisja zastosuje takie samo podejście w odniesieniu do niezbędnych zmian, tak aby system Eurodac był objęty interoperacyjnością systemów informacyjnych .</w:t>
      </w:r>
    </w:p>
    <w:p>
      <w:pPr>
        <w:autoSpaceDE w:val="0"/>
        <w:autoSpaceDN w:val="0"/>
        <w:adjustRightInd w:val="0"/>
        <w:spacing w:after="0"/>
        <w:rPr>
          <w:noProof/>
          <w:szCs w:val="24"/>
        </w:rPr>
      </w:pPr>
      <w:r>
        <w:rPr>
          <w:noProof/>
        </w:rPr>
        <w:t>Wreszcie, zgodnie z komunikatem z kwietnia 2016 r. w sprawie inteligentniejszych systemów informacyjnych do celów zarządzania granicami i zapewnienia bezpieczeństwa, ETIAS ma zostać zbudowany w oparciu o ponowne wykorzystanie sprzętu i elementów oprogramowania opracowanych z myślą o EES</w:t>
      </w:r>
      <w:r>
        <w:rPr>
          <w:rStyle w:val="FootnoteReference0"/>
          <w:noProof/>
          <w:szCs w:val="24"/>
        </w:rPr>
        <w:footnoteReference w:id="16"/>
      </w:r>
      <w:r>
        <w:rPr>
          <w:noProof/>
        </w:rPr>
        <w:t>. Identyczne podejście przyjęto we wnioskach ustawodawczych dotyczących interoperacyjności systemów informacyjnych</w:t>
      </w:r>
      <w:r>
        <w:rPr>
          <w:rStyle w:val="FootnoteReference0"/>
          <w:noProof/>
          <w:szCs w:val="24"/>
        </w:rPr>
        <w:footnoteReference w:id="17"/>
      </w:r>
      <w:r>
        <w:rPr>
          <w:noProof/>
        </w:rPr>
        <w:t>. Rozwój techniczny wspólnego repozytorium danych umożliwiających identyfikację i europejskiego portalu wyszukiwania, jak przewidziano we wnioskach ustawodawczych dotyczących interoperacyjności systemów informacyjnych, przebiegałby na podstawie elementów EES/ETIAS.</w:t>
      </w:r>
    </w:p>
    <w:p>
      <w:pPr>
        <w:autoSpaceDE w:val="0"/>
        <w:autoSpaceDN w:val="0"/>
        <w:adjustRightInd w:val="0"/>
        <w:spacing w:after="0"/>
        <w:rPr>
          <w:noProof/>
        </w:rPr>
      </w:pPr>
      <w:r>
        <w:rPr>
          <w:noProof/>
        </w:rPr>
        <w:t>W niniejszym wniosku przedstawiono zatem zmiany do rozporządzenia w sprawie ETIAS w celu sprecyzowania, że system centralny ETIAS opierałby się na elementach sprzętu i oprogramowania systemu centralnego EES w celu utworzenia współdzielonego repozytorium danych umożliwiających identyfikację na potrzeby przechowywania alfanumerycznych danych identyfikacyjnych zarówno wnioskodawców ETIAS, jak i obywateli państw trzecich zarejestrowanych w EES. Wspomniane repozytorium danych umożliwiających identyfikację stanowiłoby podstawę wdrożenia wspólnego repozytorium danych umożliwiających identyfikację po przyjęciu przez współprawodawców wniosków ustawodawczych w sprawie interoperacyjności systemów informacyjnych. W okresie przejściowym, zanim udostępniony zostanie europejski portal wyszukiwania, automatyczne przetwarzanie wniosków ETIAS opierałoby się ponadto na narzędziu, które byłoby podstawą opracowania i wdrożenia europejskiego portalu wyszukiwania.</w:t>
      </w:r>
    </w:p>
    <w:p>
      <w:pPr>
        <w:autoSpaceDE w:val="0"/>
        <w:autoSpaceDN w:val="0"/>
        <w:adjustRightInd w:val="0"/>
        <w:spacing w:after="0"/>
        <w:rPr>
          <w:noProof/>
        </w:rPr>
      </w:pPr>
      <w:r>
        <w:rPr>
          <w:noProof/>
        </w:rPr>
        <w:t>W związku ze zmienną geometrią uczestnictwa państw członkowskich w polityce UE w obszarze wolności, bezpieczeństwa i sprawiedliwości należy przyjąć dwa odrębne instrumenty prawne, które będą jednak sprawnie się uzupełniać w celu umożliwienia kompleksowego funkcjonowania i użytkowania systemu.</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Obowiązujące przepisy w dziedzinie, której dotyczy wniosek</w:t>
      </w:r>
    </w:p>
    <w:p>
      <w:pPr>
        <w:pBdr>
          <w:top w:val="nil"/>
          <w:left w:val="nil"/>
          <w:bottom w:val="nil"/>
          <w:right w:val="nil"/>
          <w:between w:val="nil"/>
          <w:bar w:val="nil"/>
        </w:pBdr>
        <w:spacing w:before="0" w:after="240"/>
        <w:rPr>
          <w:rFonts w:eastAsia="Arial Unicode MS"/>
          <w:noProof/>
        </w:rPr>
      </w:pPr>
      <w:r>
        <w:rPr>
          <w:noProof/>
        </w:rPr>
        <w:t>ETIAS ustanowiono na mocy rozporządzenia (UE) 2018/1240</w:t>
      </w:r>
      <w:r>
        <w:rPr>
          <w:rStyle w:val="FootnoteReference0"/>
          <w:rFonts w:eastAsia="Arial Unicode MS"/>
          <w:noProof/>
        </w:rPr>
        <w:footnoteReference w:id="18"/>
      </w:r>
      <w:r>
        <w:rPr>
          <w:noProof/>
        </w:rPr>
        <w:t>. W rozporządzeniu tym wskazano cele systemu ETIAS, określono jego architekturę techniczną i organizacyjną, ustanowiono przepisy dotyczące funkcjonowania systemu i wykorzystywania danych, które zostaną do niego wprowadzone przez wnioskodawcę, a także ustalono zasady wydawania lub odmowy wydania zezwoleń na podróż, określono cele przetwarzania danych, wskazano organy uprawnione do dostępu do danych i określono przepisy zapewniające ochronę danych osobowych.</w:t>
      </w:r>
    </w:p>
    <w:p>
      <w:pPr>
        <w:pBdr>
          <w:top w:val="nil"/>
          <w:left w:val="nil"/>
          <w:bottom w:val="nil"/>
          <w:right w:val="nil"/>
          <w:between w:val="nil"/>
          <w:bar w:val="nil"/>
        </w:pBdr>
        <w:spacing w:before="0" w:after="240"/>
        <w:rPr>
          <w:rFonts w:eastAsia="Arial Unicode MS"/>
          <w:noProof/>
        </w:rPr>
      </w:pPr>
      <w:r>
        <w:rPr>
          <w:noProof/>
        </w:rPr>
        <w:t>Zgodnie z rozporządzeniem w sprawie ETIAS niniejszy wniosek wprowadza zmiany do aktów prawnych ustanawiających unijne systemy informacyjne, które to zmiany są niezbędne do ustanowienia ich interoperacyjności z ETIAS. Niniejszy wniosek dodaje również odpowiednie przepisy do samego rozporządzenia w sprawie ETIAS.</w:t>
      </w:r>
    </w:p>
    <w:p>
      <w:pPr>
        <w:pBdr>
          <w:top w:val="nil"/>
          <w:left w:val="nil"/>
          <w:bottom w:val="nil"/>
          <w:right w:val="nil"/>
          <w:between w:val="nil"/>
          <w:bar w:val="nil"/>
        </w:pBdr>
        <w:spacing w:before="0" w:after="240"/>
        <w:rPr>
          <w:rFonts w:eastAsia="Arial Unicode MS"/>
          <w:noProof/>
        </w:rPr>
      </w:pPr>
      <w:r>
        <w:rPr>
          <w:noProof/>
        </w:rPr>
        <w:t>Niniejszy wniosek nie narusza przepisów dyrektywy 2004/38/WE</w:t>
      </w:r>
      <w:r>
        <w:rPr>
          <w:rStyle w:val="FootnoteReference0"/>
          <w:rFonts w:eastAsia="Arial Unicode MS"/>
          <w:noProof/>
        </w:rPr>
        <w:footnoteReference w:id="19"/>
      </w:r>
      <w:r>
        <w:rPr>
          <w:noProof/>
        </w:rPr>
        <w:t>. Niniejszy wniosek nie zmienia w żaden sposób dyrektywy 2004/38/WE.</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Spójność z innymi politykami Unii</w:t>
      </w:r>
    </w:p>
    <w:p>
      <w:pPr>
        <w:pBdr>
          <w:top w:val="nil"/>
          <w:left w:val="nil"/>
          <w:bottom w:val="nil"/>
          <w:right w:val="nil"/>
          <w:between w:val="nil"/>
          <w:bar w:val="nil"/>
        </w:pBdr>
        <w:spacing w:before="0" w:after="240"/>
        <w:rPr>
          <w:rFonts w:eastAsia="Arial Unicode MS"/>
          <w:noProof/>
        </w:rPr>
      </w:pPr>
      <w:r>
        <w:rPr>
          <w:noProof/>
        </w:rPr>
        <w:t>Niniejszy wniosek jest spójny z Europejskim programem w zakresie migracji i kolejnymi komunikatami, w tym z komunikatem z dnia 14 września 2016 r. pt. „Zwiększanie bezpieczeństwa w mobilnym świecie: ulepszona wymiana informacji na rzecz walki z terroryzmem i wzmocnionych granic zewnętrznych”, a także z Europejską agendą bezpieczeństwa</w:t>
      </w:r>
      <w:r>
        <w:rPr>
          <w:rStyle w:val="FootnoteReference0"/>
          <w:rFonts w:eastAsia="Arial Unicode MS"/>
          <w:noProof/>
        </w:rPr>
        <w:footnoteReference w:id="20"/>
      </w:r>
      <w:r>
        <w:rPr>
          <w:noProof/>
        </w:rPr>
        <w:t xml:space="preserve"> i sprawozdaniami Komisji z prac i postępów na rzecz skutecznej i rzeczywistej unii bezpieczeństwa</w:t>
      </w:r>
      <w:r>
        <w:rPr>
          <w:rStyle w:val="FootnoteReference0"/>
          <w:rFonts w:eastAsia="Arial Unicode MS"/>
          <w:noProof/>
        </w:rPr>
        <w:footnoteReference w:id="21"/>
      </w:r>
      <w:r>
        <w:rPr>
          <w:noProof/>
        </w:rPr>
        <w:t>.</w:t>
      </w:r>
    </w:p>
    <w:p>
      <w:pPr>
        <w:pStyle w:val="ManualHeading2"/>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u w:color="000000"/>
          <w:bdr w:val="nil"/>
        </w:rPr>
        <w:t>•</w:t>
      </w:r>
      <w:r>
        <w:rPr>
          <w:noProof/>
          <w:u w:color="000000"/>
          <w:bdr w:val="nil"/>
        </w:rPr>
        <w:tab/>
        <w:t>Podstawa prawna</w:t>
      </w:r>
    </w:p>
    <w:p>
      <w:pPr>
        <w:pBdr>
          <w:top w:val="nil"/>
          <w:left w:val="nil"/>
          <w:bottom w:val="nil"/>
          <w:right w:val="nil"/>
          <w:between w:val="nil"/>
          <w:bar w:val="nil"/>
        </w:pBdr>
        <w:spacing w:before="0" w:after="240"/>
        <w:rPr>
          <w:noProof/>
        </w:rPr>
      </w:pPr>
      <w:r>
        <w:rPr>
          <w:noProof/>
        </w:rPr>
        <w:t>Podstawę prawną niniejszego wniosku stanowią art. 82 ust. 1 lit. d) i art. 87 ust. 2 lit. a) Traktatu o funkcjonowaniu Unii Europejskiej (TFUE).</w:t>
      </w:r>
    </w:p>
    <w:p>
      <w:pPr>
        <w:pBdr>
          <w:top w:val="nil"/>
          <w:left w:val="nil"/>
          <w:bottom w:val="nil"/>
          <w:right w:val="nil"/>
          <w:between w:val="nil"/>
          <w:bar w:val="nil"/>
        </w:pBdr>
        <w:spacing w:before="0" w:after="240"/>
        <w:rPr>
          <w:noProof/>
        </w:rPr>
      </w:pPr>
      <w:r>
        <w:rPr>
          <w:noProof/>
        </w:rPr>
        <w:t>Art. 82 ust. 1 lit. d) TFUE umożliwia Parlamentowi Europejskiemu i Radzie przyjmowanie środków mających na celu ułatwianie współpracy między organami sądowymi lub równoważnymi organami państw członkowskich w ramach ścigania karnego i wykonywania orzeczeń.</w:t>
      </w:r>
    </w:p>
    <w:p>
      <w:pPr>
        <w:pBdr>
          <w:top w:val="nil"/>
          <w:left w:val="nil"/>
          <w:bottom w:val="nil"/>
          <w:right w:val="nil"/>
          <w:between w:val="nil"/>
          <w:bar w:val="nil"/>
        </w:pBdr>
        <w:spacing w:before="0" w:after="240"/>
        <w:rPr>
          <w:noProof/>
        </w:rPr>
      </w:pPr>
      <w:r>
        <w:rPr>
          <w:noProof/>
        </w:rPr>
        <w:t>Art. 87 ust. 2 lit. a) TFUE umożliwia Parlamentowi Europejskiemu i Radzie przyjmowanie środków dotyczących gromadzenia, przechowywania, przetwarzania, analizowania i wymiany informacji, które są istotne dla współpracy policyjnej w zakresie zapobiegania przestępstwom, ich wykrywania i ścigania.</w:t>
      </w:r>
    </w:p>
    <w:p>
      <w:pPr>
        <w:pBdr>
          <w:top w:val="nil"/>
          <w:left w:val="nil"/>
          <w:bottom w:val="nil"/>
          <w:right w:val="nil"/>
          <w:between w:val="nil"/>
          <w:bar w:val="nil"/>
        </w:pBdr>
        <w:spacing w:before="0" w:after="240"/>
        <w:rPr>
          <w:noProof/>
        </w:rPr>
      </w:pPr>
      <w:r>
        <w:rPr>
          <w:noProof/>
        </w:rPr>
        <w:t>Te dwa postanowienia Traktatu stanowiły podstawę prawną do przyjęcia rozporządzenia (UE) 2018/1862 ustanawiającego system informacyjny Schengen (SIS) w dziedzinie współpracy policyjnej i współpracy wymiarów sprawiedliwości w sprawach karnych. Stanowią one również podstawę prawną niniejszego wniosku dotyczącego zmiany tego rozporządzenia.</w:t>
      </w:r>
    </w:p>
    <w:p>
      <w:pPr>
        <w:pBdr>
          <w:top w:val="nil"/>
          <w:left w:val="nil"/>
          <w:bottom w:val="nil"/>
          <w:right w:val="nil"/>
          <w:between w:val="nil"/>
          <w:bar w:val="nil"/>
        </w:pBdr>
        <w:spacing w:before="0" w:after="240"/>
        <w:rPr>
          <w:noProof/>
        </w:rPr>
      </w:pPr>
      <w:r>
        <w:rPr>
          <w:noProof/>
        </w:rPr>
        <w:t>Art. 82 ust. 1 lit. d) TFUE dotyczący współpracy wymiarów sprawiedliwości w sprawach karnych i wykonywania orzeczeń przewidziano również jako podstawę prawną wniosku dotyczącego systemu ECRIS-TCN, w sprawie którego współprawodawcy osiągnęli porozumienie polityczne. W związku z tym postanowienie to stanowi również podstawę prawną niniejszego wniosku dotyczącego zmiany rozporządzenia w sprawie ECRIS-TCN, przy założeniu, że rozporządzenie to zostanie przyjęte.</w:t>
      </w:r>
    </w:p>
    <w:p>
      <w:pPr>
        <w:pStyle w:val="ManualHeading2"/>
        <w:rPr>
          <w:rFonts w:eastAsia="Arial Unicode MS"/>
          <w:noProof/>
          <w:u w:color="000000"/>
          <w:bdr w:val="nil"/>
        </w:rPr>
      </w:pPr>
      <w:r>
        <w:rPr>
          <w:noProof/>
          <w:u w:color="000000"/>
          <w:bdr w:val="nil"/>
        </w:rPr>
        <w:t>•</w:t>
      </w:r>
      <w:r>
        <w:rPr>
          <w:noProof/>
          <w:u w:color="000000"/>
          <w:bdr w:val="nil"/>
        </w:rPr>
        <w:tab/>
        <w:t xml:space="preserve">Pomocniczość </w:t>
      </w:r>
    </w:p>
    <w:p>
      <w:pPr>
        <w:pBdr>
          <w:top w:val="nil"/>
          <w:left w:val="nil"/>
          <w:bottom w:val="nil"/>
          <w:right w:val="nil"/>
          <w:between w:val="nil"/>
          <w:bar w:val="nil"/>
        </w:pBdr>
        <w:spacing w:before="0" w:after="240"/>
        <w:rPr>
          <w:noProof/>
          <w:szCs w:val="24"/>
        </w:rPr>
      </w:pPr>
      <w:r>
        <w:rPr>
          <w:noProof/>
        </w:rPr>
        <w:t>Wniosek zawiera zmiany do rozporządzeń ustanawiających ogólnounijne systemy informacyjne do zarządzania granicami zewnętrznymi oraz bezpieczeństwem obszaru bez kontroli na granicach wewnętrznych. Tego rodzaju systemy informatyczne z natury mogą być tworzone wyłącznie na szczeblu UE, a nie przez same państwa członkowskie.</w:t>
      </w:r>
    </w:p>
    <w:p>
      <w:pPr>
        <w:pStyle w:val="ManualHeading2"/>
        <w:rPr>
          <w:rFonts w:eastAsia="Arial Unicode MS"/>
          <w:noProof/>
          <w:u w:color="000000"/>
          <w:bdr w:val="nil"/>
        </w:rPr>
      </w:pPr>
      <w:r>
        <w:rPr>
          <w:noProof/>
          <w:u w:color="000000"/>
          <w:bdr w:val="nil"/>
        </w:rPr>
        <w:t>•</w:t>
      </w:r>
      <w:r>
        <w:rPr>
          <w:noProof/>
          <w:u w:color="000000"/>
          <w:bdr w:val="nil"/>
        </w:rPr>
        <w:tab/>
        <w:t>Proporcjonalność</w:t>
      </w:r>
    </w:p>
    <w:p>
      <w:pPr>
        <w:pBdr>
          <w:top w:val="nil"/>
          <w:left w:val="nil"/>
          <w:bottom w:val="nil"/>
          <w:right w:val="nil"/>
          <w:between w:val="nil"/>
          <w:bar w:val="nil"/>
        </w:pBdr>
        <w:spacing w:before="0" w:after="240"/>
        <w:rPr>
          <w:noProof/>
        </w:rPr>
      </w:pPr>
      <w:r>
        <w:rPr>
          <w:noProof/>
        </w:rPr>
        <w:t>W niniejszym wniosku rozwinięto zasady już ustanowione przez prawodawcę w rozporządzeniu w sprawie ETIAS.</w:t>
      </w:r>
    </w:p>
    <w:p>
      <w:pPr>
        <w:pBdr>
          <w:top w:val="nil"/>
          <w:left w:val="nil"/>
          <w:bottom w:val="nil"/>
          <w:right w:val="nil"/>
          <w:between w:val="nil"/>
          <w:bar w:val="nil"/>
        </w:pBdr>
        <w:spacing w:before="0" w:after="240"/>
        <w:rPr>
          <w:noProof/>
        </w:rPr>
      </w:pPr>
      <w:r>
        <w:rPr>
          <w:noProof/>
        </w:rPr>
        <w:t>Wynika to jasno z następujących elementów:</w:t>
      </w:r>
    </w:p>
    <w:p>
      <w:pPr>
        <w:pBdr>
          <w:top w:val="nil"/>
          <w:left w:val="nil"/>
          <w:bottom w:val="nil"/>
          <w:right w:val="nil"/>
          <w:between w:val="nil"/>
          <w:bar w:val="nil"/>
        </w:pBdr>
        <w:spacing w:before="0" w:after="240"/>
        <w:rPr>
          <w:rFonts w:eastAsia="Arial Unicode MS"/>
          <w:noProof/>
        </w:rPr>
      </w:pPr>
      <w:r>
        <w:rPr>
          <w:noProof/>
        </w:rPr>
        <w:t>Specyfikacje dotyczące wymiany danych między ETIAS i poszczególnymi innymi systemami informacyjnymi UE są zgodne z przepisami art. 20 i 23 rozporządzenia w sprawie ETIAS dotyczącymi wymiany danych.</w:t>
      </w:r>
    </w:p>
    <w:p>
      <w:pPr>
        <w:pBdr>
          <w:top w:val="nil"/>
          <w:left w:val="nil"/>
          <w:bottom w:val="nil"/>
          <w:right w:val="nil"/>
          <w:between w:val="nil"/>
          <w:bar w:val="nil"/>
        </w:pBdr>
        <w:spacing w:before="0" w:after="240"/>
        <w:rPr>
          <w:rFonts w:eastAsia="Arial Unicode MS"/>
          <w:noProof/>
        </w:rPr>
      </w:pPr>
      <w:r>
        <w:rPr>
          <w:noProof/>
        </w:rPr>
        <w:t>Przyznanie praw dostępu do danych dotyczących tożsamości w systemach informacyjnych UE (EES, VIS, SIS, ECRIS-TCN) przez jednostkę centralną ETIAS wchodzi w zakres obowiązków powierzonych jednostce centralnej ETIAS na podstawie art. 7, 22 i 75 rozporządzenia w sprawie ETIAS.</w:t>
      </w:r>
    </w:p>
    <w:p>
      <w:pPr>
        <w:pBdr>
          <w:top w:val="nil"/>
          <w:left w:val="nil"/>
          <w:bottom w:val="nil"/>
          <w:right w:val="nil"/>
          <w:between w:val="nil"/>
          <w:bar w:val="nil"/>
        </w:pBdr>
        <w:spacing w:before="0" w:after="240"/>
        <w:rPr>
          <w:rFonts w:eastAsia="Arial Unicode MS"/>
          <w:noProof/>
        </w:rPr>
      </w:pPr>
      <w:r>
        <w:rPr>
          <w:noProof/>
        </w:rPr>
        <w:t>Przyznanie praw dostępu do innych systemów informacyjnych UE w celu ręcznego rozpatrzenia wniosku przez krajowe jednostki ETIAS wchodzi w zakres obowiązków powierzonych jednostkom krajowym ETIAS na podstawie art. 8 i rozdziału IV rozporządzenia w sprawie ETIAS.</w:t>
      </w:r>
    </w:p>
    <w:p>
      <w:pPr>
        <w:pBdr>
          <w:top w:val="nil"/>
          <w:left w:val="nil"/>
          <w:bottom w:val="nil"/>
          <w:right w:val="nil"/>
          <w:between w:val="nil"/>
          <w:bar w:val="nil"/>
        </w:pBdr>
        <w:spacing w:before="0" w:after="240"/>
        <w:rPr>
          <w:rFonts w:eastAsia="Arial Unicode MS"/>
          <w:noProof/>
        </w:rPr>
      </w:pPr>
      <w:r>
        <w:rPr>
          <w:noProof/>
        </w:rPr>
        <w:t>Uwzględnienie w niniejszym wniosku wpisów dotyczących rozpytania kontrolnego jest spójne z przepisami art. 23 rozporządzenia w sprawie ETIAS dotyczącymi wsparcia celów SIS.</w:t>
      </w:r>
    </w:p>
    <w:p>
      <w:pPr>
        <w:pBdr>
          <w:top w:val="nil"/>
          <w:left w:val="nil"/>
          <w:bottom w:val="nil"/>
          <w:right w:val="nil"/>
          <w:between w:val="nil"/>
          <w:bar w:val="nil"/>
        </w:pBdr>
        <w:spacing w:before="0" w:after="240"/>
        <w:rPr>
          <w:rFonts w:eastAsia="Arial Unicode MS"/>
          <w:noProof/>
        </w:rPr>
      </w:pPr>
      <w:r>
        <w:rPr>
          <w:noProof/>
        </w:rPr>
        <w:t>Niniejszy wniosek jest proporcjonalny, ponieważ w zakresie działań na szczeblu UE nie wykracza poza to, co jest konieczne do osiągnięcia jego celów.</w:t>
      </w:r>
    </w:p>
    <w:p>
      <w:pPr>
        <w:pStyle w:val="ManualHeading2"/>
        <w:rPr>
          <w:rFonts w:eastAsia="Arial Unicode MS"/>
          <w:noProof/>
          <w:u w:color="000000"/>
          <w:bdr w:val="nil"/>
        </w:rPr>
      </w:pPr>
      <w:r>
        <w:rPr>
          <w:noProof/>
          <w:u w:color="000000"/>
          <w:bdr w:val="nil"/>
        </w:rPr>
        <w:t>•</w:t>
      </w:r>
      <w:r>
        <w:rPr>
          <w:noProof/>
          <w:u w:color="000000"/>
          <w:bdr w:val="nil"/>
        </w:rPr>
        <w:tab/>
        <w:t>Wybór instrumentu</w:t>
      </w:r>
    </w:p>
    <w:p>
      <w:pPr>
        <w:pBdr>
          <w:top w:val="nil"/>
          <w:left w:val="nil"/>
          <w:bottom w:val="nil"/>
          <w:right w:val="nil"/>
          <w:between w:val="nil"/>
          <w:bar w:val="nil"/>
        </w:pBdr>
        <w:spacing w:before="0" w:after="240"/>
        <w:rPr>
          <w:noProof/>
        </w:rPr>
      </w:pPr>
      <w:r>
        <w:rPr>
          <w:noProof/>
        </w:rPr>
        <w:t>Wniosek dotyczy rozporządzenia Parlamentu Europejskiego i Rady. Akt prawny będący przedmiotem wniosku dotyczy działania centralnych systemów informacyjnych UE związanych z ochroną granic i bezpieczeństwem, z których każdy został lub zostanie utworzony na mocy rozporządzeń. W konsekwencji jako instrument prawny można wybrać jedynie rozporządzenie.</w:t>
      </w:r>
    </w:p>
    <w:p>
      <w:pPr>
        <w:pStyle w:val="ManualHeading1"/>
        <w:rPr>
          <w:noProof/>
        </w:rPr>
      </w:pPr>
      <w:r>
        <w:rPr>
          <w:noProof/>
        </w:rPr>
        <w:t>3.</w:t>
      </w:r>
      <w:r>
        <w:rPr>
          <w:noProof/>
        </w:rPr>
        <w:tab/>
        <w:t>WYNIKI OCEN EX POST, KONSULTACJI Z ZAINTERESOWANYMI STRONAMI I OCEN SKUTKÓW</w:t>
      </w:r>
    </w:p>
    <w:p>
      <w:pPr>
        <w:pStyle w:val="ManualHeading2"/>
        <w:rPr>
          <w:rFonts w:eastAsia="Arial Unicode MS"/>
          <w:noProof/>
          <w:u w:color="000000"/>
          <w:bdr w:val="nil"/>
        </w:rPr>
      </w:pPr>
      <w:r>
        <w:rPr>
          <w:noProof/>
          <w:u w:color="000000"/>
          <w:bdr w:val="nil"/>
        </w:rPr>
        <w:t>•</w:t>
      </w:r>
      <w:r>
        <w:rPr>
          <w:noProof/>
          <w:u w:color="000000"/>
          <w:bdr w:val="nil"/>
        </w:rPr>
        <w:tab/>
        <w:t>Konsultacje z zainteresowanymi stronami</w:t>
      </w:r>
    </w:p>
    <w:p>
      <w:pPr>
        <w:pBdr>
          <w:top w:val="nil"/>
          <w:left w:val="nil"/>
          <w:bottom w:val="nil"/>
          <w:right w:val="nil"/>
          <w:between w:val="nil"/>
          <w:bar w:val="nil"/>
        </w:pBdr>
        <w:spacing w:before="0" w:after="240"/>
        <w:rPr>
          <w:rFonts w:eastAsia="Arial Unicode MS"/>
          <w:noProof/>
        </w:rPr>
      </w:pPr>
      <w:r>
        <w:rPr>
          <w:noProof/>
        </w:rPr>
        <w:t>Wniosek w sprawie ETIAS został przygotowany w oparciu o studium wykonalności. W ramach tego studium Komisja zebrała opinie ekspertów z państw członkowskich na temat kontroli granicznej i bezpieczeństwa granic. Ponadto główne elementy wniosku w sprawie ETIAS zostały omówione na forum grupy ekspertów wysokiego szczebla ds. systemów informacyjnych i interoperacyjności, którą utworzono w następstwie komunikatu w sprawie sprawniejszych i bardziej inteligentnych systemów zarządzania granicami z dnia 6 kwietnia 2016 r. Konsultacje przeprowadzono także z przedstawicielami przewoźników lotniczych, morskich i kolejowych, jak również z przedstawicielami państw członkowskich UE, które mają zewnętrzne granice lądowe. W ramach studium wykonalności skonsultowano się także z Agencją Praw Podstawowych Unii Europejskiej.</w:t>
      </w:r>
    </w:p>
    <w:p>
      <w:pPr>
        <w:pBdr>
          <w:top w:val="nil"/>
          <w:left w:val="nil"/>
          <w:bottom w:val="nil"/>
          <w:right w:val="nil"/>
          <w:between w:val="nil"/>
          <w:bar w:val="nil"/>
        </w:pBdr>
        <w:spacing w:before="0" w:after="240"/>
        <w:rPr>
          <w:rFonts w:eastAsia="Arial Unicode MS"/>
          <w:noProof/>
          <w:u w:color="000000"/>
          <w:bdr w:val="nil"/>
        </w:rPr>
      </w:pPr>
      <w:r>
        <w:rPr>
          <w:noProof/>
        </w:rPr>
        <w:t>Niniejszy wniosek wprowadza jedynie ograniczone zmiany techniczne, odzwierciedlające przepisy, które ustanowiono już w rozporządzeniu w sprawie ETIAS. Te ograniczone dostosowania techniczne nie uzasadniają konieczności przeprowadzenia odrębnych konsultacji z zainteresowanymi stronami.</w:t>
      </w:r>
    </w:p>
    <w:p>
      <w:pPr>
        <w:pStyle w:val="ManualHeading2"/>
        <w:rPr>
          <w:noProof/>
        </w:rPr>
      </w:pPr>
      <w:r>
        <w:rPr>
          <w:noProof/>
          <w:u w:color="000000"/>
          <w:bdr w:val="nil"/>
        </w:rPr>
        <w:t>•</w:t>
      </w:r>
      <w:r>
        <w:rPr>
          <w:noProof/>
          <w:u w:color="000000"/>
          <w:bdr w:val="nil"/>
        </w:rPr>
        <w:tab/>
        <w:t>Ocena skutków</w:t>
      </w:r>
    </w:p>
    <w:p>
      <w:pPr>
        <w:pBdr>
          <w:top w:val="nil"/>
          <w:left w:val="nil"/>
          <w:bottom w:val="nil"/>
          <w:right w:val="nil"/>
          <w:between w:val="nil"/>
          <w:bar w:val="nil"/>
        </w:pBdr>
        <w:spacing w:before="0" w:after="240"/>
        <w:rPr>
          <w:rFonts w:eastAsia="Arial Unicode MS"/>
          <w:noProof/>
        </w:rPr>
      </w:pPr>
      <w:r>
        <w:rPr>
          <w:noProof/>
        </w:rPr>
        <w:t>Niniejszemu wnioskowi nie towarzyszy ocena skutków. Wniosek jest spójny z rozporządzeniem w sprawie ETIAS, którego projekt opierał się na wynikach studium wykonalności przeprowadzonego w okresie od czerwca do października 2016 r.</w:t>
      </w:r>
    </w:p>
    <w:p>
      <w:pPr>
        <w:pBdr>
          <w:top w:val="nil"/>
          <w:left w:val="nil"/>
          <w:bottom w:val="nil"/>
          <w:right w:val="nil"/>
          <w:between w:val="nil"/>
          <w:bar w:val="nil"/>
        </w:pBdr>
        <w:spacing w:before="0" w:after="240"/>
        <w:rPr>
          <w:rFonts w:eastAsia="Arial Unicode MS"/>
          <w:noProof/>
        </w:rPr>
      </w:pPr>
      <w:r>
        <w:rPr>
          <w:noProof/>
        </w:rPr>
        <w:t>Ponieważ niniejszy wniosek nie zawiera nowych elementów politycznych, a jedynie wprowadza ograniczone zmiany techniczne, odzwierciedlające przepisy ustanowione już w rozporządzeniu w sprawie ETIAS, ocena skutków nie jest konieczna.</w:t>
      </w:r>
    </w:p>
    <w:p>
      <w:pPr>
        <w:pStyle w:val="ManualHeading2"/>
        <w:rPr>
          <w:rFonts w:eastAsia="Arial Unicode MS"/>
          <w:noProof/>
          <w:u w:color="000000"/>
          <w:bdr w:val="nil"/>
        </w:rPr>
      </w:pPr>
      <w:r>
        <w:rPr>
          <w:noProof/>
          <w:u w:color="000000"/>
          <w:bdr w:val="nil"/>
        </w:rPr>
        <w:tab/>
        <w:t>Prawa podstawowe</w:t>
      </w:r>
    </w:p>
    <w:p>
      <w:pPr>
        <w:pBdr>
          <w:top w:val="nil"/>
          <w:left w:val="nil"/>
          <w:bottom w:val="nil"/>
          <w:right w:val="nil"/>
          <w:between w:val="nil"/>
          <w:bar w:val="nil"/>
        </w:pBdr>
        <w:spacing w:before="0" w:after="240"/>
        <w:rPr>
          <w:rFonts w:eastAsia="Arial Unicode MS"/>
          <w:noProof/>
        </w:rPr>
      </w:pPr>
      <w:r>
        <w:rPr>
          <w:noProof/>
        </w:rPr>
        <w:t>W porównaniu z rozporządzeniem w sprawie ETIAS w niniejszym wniosku określono jedynie szczegółowo, które dane mają być porównywane z którymi danymi z innych systemów informacyjnych UE, oraz zawarto niezbędne zmiany dotyczące przyznania praw dostępu do tych innych systemów jednostce centralnej i jednostkom krajowym ETIAS. W związku z powyższym wniosek należy uznać za w pełni zgodny z Kartą praw podstawowych Unii Europejskiej, w szczególności w odniesieniu do prawa do ochrony danych osobowych, a także za zgodny z art. 16 TFUE, zapewniającym wszystkim osobom prawo do ochrony danych osobowych, które ich dotyczą.</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rFonts w:eastAsia="Arial Unicode MS"/>
          <w:noProof/>
        </w:rPr>
      </w:pPr>
      <w:r>
        <w:rPr>
          <w:noProof/>
        </w:rPr>
        <w:t>Wniosek nie ma wpływu na budżet.</w:t>
      </w:r>
    </w:p>
    <w:p>
      <w:pPr>
        <w:pStyle w:val="ManualHeading2"/>
        <w:rPr>
          <w:noProof/>
        </w:rPr>
      </w:pPr>
      <w:r>
        <w:rPr>
          <w:noProof/>
        </w:rPr>
        <w:t>5.</w:t>
      </w:r>
      <w:r>
        <w:rPr>
          <w:noProof/>
        </w:rPr>
        <w:tab/>
        <w:t>ELEMENTY FAKULTATYWNE</w:t>
      </w:r>
    </w:p>
    <w:p>
      <w:pPr>
        <w:pStyle w:val="ManualHeading2"/>
      </w:pPr>
      <w:r>
        <w:rPr>
          <w:noProof/>
          <w:u w:color="000000"/>
          <w:bdr w:val="nil"/>
        </w:rPr>
        <w:t>•</w:t>
      </w:r>
      <w:r>
        <w:rPr>
          <w:noProof/>
          <w:u w:color="000000"/>
          <w:bdr w:val="nil"/>
        </w:rPr>
        <w:tab/>
        <w:t xml:space="preserve">Uczestnictwo </w:t>
      </w:r>
    </w:p>
    <w:p>
      <w:pPr>
        <w:autoSpaceDE w:val="0"/>
        <w:autoSpaceDN w:val="0"/>
        <w:adjustRightInd w:val="0"/>
        <w:spacing w:after="0"/>
        <w:rPr>
          <w:noProof/>
        </w:rPr>
      </w:pPr>
      <w:r>
        <w:rPr>
          <w:noProof/>
        </w:rPr>
        <w:t>W zakresie, w jakim celem niniejszego wniosku jest zmiana rozporządzenia w sprawie utworzenia systemu informacyjnego Schengen (SIS) w dziedzinie współpracy policyjnej i współpracy wymiarów sprawiedliwości w sprawach karnych, niniejszy wniosek jest oparty na przepisach dorobku Schengen dotyczących współpracy policyjnej i współpracy wymiarów sprawiedliwości w sprawach karnych, co ma konsekwencje w odniesieniu do stosowania protokołów (nr 19) i (nr 22) do TUE i TFUE, jak również umów z państwami stowarzyszonymi.</w:t>
      </w:r>
    </w:p>
    <w:p>
      <w:pPr>
        <w:autoSpaceDE w:val="0"/>
        <w:autoSpaceDN w:val="0"/>
        <w:adjustRightInd w:val="0"/>
        <w:spacing w:after="0"/>
        <w:rPr>
          <w:noProof/>
        </w:rPr>
      </w:pPr>
      <w:r>
        <w:rPr>
          <w:noProof/>
        </w:rPr>
        <w:t>W zakresie, w jakim wniosek ma na celu zmianę proponowanego rozporządzenia ustanawiającego scentralizowany system identyfikacji państw członkowskich posiadających informacje o wyrokach skazujących wydanych wobec obywateli państw trzecich i bezpaństwowców (ECRIS-TCN), ma on konsekwencje w odniesieniu do stosowania protokołów (nr 21) i (nr 22); nie zawarto żadnych umów w tej sprawie z państwami stowarzyszonymi.</w:t>
      </w:r>
    </w:p>
    <w:p>
      <w:pPr>
        <w:autoSpaceDE w:val="0"/>
        <w:autoSpaceDN w:val="0"/>
        <w:adjustRightInd w:val="0"/>
        <w:spacing w:after="0"/>
        <w:rPr>
          <w:noProof/>
        </w:rPr>
      </w:pPr>
      <w:r>
        <w:rPr>
          <w:noProof/>
        </w:rPr>
        <w:t>Konsekwencje przedstawiają się następująco w przypadku poszczególnych krajów.</w:t>
      </w:r>
    </w:p>
    <w:p>
      <w:pPr>
        <w:autoSpaceDE w:val="0"/>
        <w:autoSpaceDN w:val="0"/>
        <w:adjustRightInd w:val="0"/>
        <w:spacing w:after="0"/>
        <w:rPr>
          <w:noProof/>
        </w:rPr>
      </w:pPr>
      <w:r>
        <w:rPr>
          <w:noProof/>
        </w:rPr>
        <w:t>Dania: w odniesieniu do SIS (współpraca policyjna), zgodnie z art. 4 protokołu nr 22 w sprawie stanowiska Danii załączonego do Traktatów, Dania podejmuje decyzję, w terminie sześciu miesięcy po przyjęciu przez Radę niniejszego rozporządzenia, czy dokona jego transpozycji do swego prawa krajowego. Zgodnie z art. 1 protokołu 22 niniejszy wniosek nie ma zastosowania do Danii w odniesieniu do ECRIS-TCN.</w:t>
      </w:r>
    </w:p>
    <w:p>
      <w:pPr>
        <w:autoSpaceDE w:val="0"/>
        <w:autoSpaceDN w:val="0"/>
        <w:adjustRightInd w:val="0"/>
        <w:spacing w:after="0"/>
        <w:rPr>
          <w:noProof/>
        </w:rPr>
      </w:pPr>
      <w:r>
        <w:rPr>
          <w:noProof/>
        </w:rPr>
        <w:t>Zjednoczone Królestwo: w odniesieniu do SIS (współpraca policyjna), zgodnie z art. 5 protokołu (nr 19) i art. 8 ust. 2 decyzji Rady 2000/365/WE z dnia 29 maja 2000 r. dotyczącej wniosku Zjednoczonego Królestwa Wielkiej Brytanii i Irlandii Północnej o zastosowanie wobec niego niektórych przepisów dorobku Schengen, Zjednoczone Królestwo jest związane niniejszym rozporządzeniem. W odniesieniu do ECRIS-TCN art. 3 i 4a protokołu (nr 21) dają Zjednoczonemu Królestwu możliwość przystąpienia do uczestnictwa w proponowanym środku.</w:t>
      </w:r>
    </w:p>
    <w:p>
      <w:pPr>
        <w:autoSpaceDE w:val="0"/>
        <w:autoSpaceDN w:val="0"/>
        <w:adjustRightInd w:val="0"/>
        <w:spacing w:after="0"/>
        <w:rPr>
          <w:noProof/>
        </w:rPr>
      </w:pPr>
      <w:r>
        <w:rPr>
          <w:noProof/>
        </w:rPr>
        <w:t>Irlandia: w odniesieniu do SIS (współpraca policyjna), zgodnie z art. 5 protokołu (nr 19) i art. 6 ust. 2 decyzji Rady 2002/192/WE z dnia 28 lutego 2002 r. dotyczącej wniosku Irlandii o zastosowanie wobec niej niektórych przepisów dorobku Schengen, Irlandia jest związana niniejszym środkiem. W odniesieniu do ECRIS-TCN art. 3 i 4a protokołu (nr 21) dają Irlandii możliwość przystąpienia do uczestnictwa w proponowanym środku; wymagałoby to, aby Irlandia zdecydowała się na przyjęcie rozporządzenia w sprawie ECRIS-TCN, którego zmianę się proponuje, a także całego dorobku prawnego ECRIS.</w:t>
      </w:r>
    </w:p>
    <w:p>
      <w:pPr>
        <w:autoSpaceDE w:val="0"/>
        <w:autoSpaceDN w:val="0"/>
        <w:adjustRightInd w:val="0"/>
        <w:spacing w:after="0"/>
        <w:rPr>
          <w:noProof/>
        </w:rPr>
      </w:pPr>
      <w:r>
        <w:rPr>
          <w:noProof/>
        </w:rPr>
        <w:t>Bułgaria i Rumunia: w odniesieniu do SIS (współpraca policyjna) niniejsze rozporządzenie jest aktem opartym na dorobku Schengen lub w inny sposób z nim związanym w rozumieniu art. 4 ust. 2 Aktu przystąpienia z 2005 r. Proponowane rozporządzenie należy interpretować w związku z decyzją Rady 2010/365/UE z dnia 29 czerwca 2010 r., która zawiera wykaz przepisów dorobku Schengen związanych z systemem informacyjnym Schengen, które mają mieć zastosowanie w Bułgarii i Rumunii, z zastrzeżeniem określonych ograniczeń. W odniesieniu do ECRIS-TCN sytuacja Bułgarii i Rumunii nie różni się od sytuacji innych państw członkowskich.</w:t>
      </w:r>
    </w:p>
    <w:p>
      <w:pPr>
        <w:autoSpaceDE w:val="0"/>
        <w:autoSpaceDN w:val="0"/>
        <w:adjustRightInd w:val="0"/>
        <w:spacing w:after="0"/>
        <w:rPr>
          <w:noProof/>
        </w:rPr>
      </w:pPr>
      <w:r>
        <w:rPr>
          <w:noProof/>
        </w:rPr>
        <w:t>Cypr i Chorwacja: w odniesieniu do SIS (współpraca policyjna) niniejsze rozporządzenie jest aktem opartym na dorobku Schengen lub w inny sposób z nim związanym w rozumieniu – odpowiednio – art. 3 ust. 2 Aktu przystąpienia z 2003 r. i art. 4 ust. 2 Aktu przystąpienia z 2011 r. W odniesieniu do Chorwacji należy je interpretować w związku z decyzją Rady (UE) 2017/733 z dnia 25 kwietnia 2017 r. w sprawie stosowania w Republice Chorwacji przepisów dorobku Schengen dotyczących Systemu Informacyjnego Schengen</w:t>
      </w:r>
      <w:r>
        <w:rPr>
          <w:rStyle w:val="FootnoteReference0"/>
          <w:noProof/>
        </w:rPr>
        <w:footnoteReference w:id="22"/>
      </w:r>
      <w:r>
        <w:rPr>
          <w:noProof/>
        </w:rPr>
        <w:t>. W odniesieniu do ECRIS-TCN sytuacja Cypru i Chorwacji nie różni się od sytuacji innych państw członkowskich.</w:t>
      </w:r>
    </w:p>
    <w:p>
      <w:pPr>
        <w:autoSpaceDE w:val="0"/>
        <w:autoSpaceDN w:val="0"/>
        <w:adjustRightInd w:val="0"/>
        <w:spacing w:after="0"/>
        <w:rPr>
          <w:noProof/>
        </w:rPr>
      </w:pPr>
      <w:r>
        <w:rPr>
          <w:noProof/>
        </w:rPr>
        <w:t>Państwa stowarzyszone: na podstawie odpowiednich umów w sprawie włączenia tych państw we wprowadzanie w życie, stosowanie i rozwój dorobku Schengen Islandia, Norwegia, Szwajcaria i Liechtenstein są związane proponowanym rozporządzeniem w zakresie, w jakim dotyczy ono rozporządzenia w sprawie SIS (współpraca policyjna).</w:t>
      </w:r>
    </w:p>
    <w:p>
      <w:pPr>
        <w:autoSpaceDE w:val="0"/>
        <w:autoSpaceDN w:val="0"/>
        <w:adjustRightInd w:val="0"/>
        <w:spacing w:after="0"/>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2019/0001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ustanawiające warunki dostępu do innych systemów informacyjnych UE oraz zmieniające rozporządzenie (UE) 2018/1862 i rozporządzenie (UE) yyyy/xxx [ECRIS-TCN]</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82 ust. 1 lit. d) i art. 87 ust. 2 lit a),</w:t>
      </w:r>
    </w:p>
    <w:p>
      <w:pPr>
        <w:rPr>
          <w:noProof/>
        </w:rPr>
      </w:pPr>
      <w:r>
        <w:rPr>
          <w:noProof/>
        </w:rPr>
        <w:t>uwzględniając wniosek Komisji Europejskiej,</w:t>
      </w:r>
    </w:p>
    <w:p>
      <w:pPr>
        <w:rPr>
          <w:noProof/>
        </w:rPr>
      </w:pPr>
      <w:r>
        <w:rPr>
          <w:noProof/>
        </w:rPr>
        <w:t>po przekazaniu projektu aktu ustawodawczego parlamentom narodowym,</w:t>
      </w:r>
    </w:p>
    <w:p>
      <w:r>
        <w:rPr>
          <w:noProof/>
        </w:rPr>
        <w:t>uwzględniając opinię Europejskiego Komitetu Ekonomiczno-Społecznego</w:t>
      </w:r>
      <w:r>
        <w:rPr>
          <w:rStyle w:val="FootnoteReference0"/>
          <w:noProof/>
        </w:rPr>
        <w:footnoteReference w:id="23"/>
      </w:r>
      <w:r>
        <w:rPr>
          <w:noProof/>
        </w:rPr>
        <w:t xml:space="preserve">, </w:t>
      </w:r>
    </w:p>
    <w:p>
      <w:pPr>
        <w:rPr>
          <w:noProof/>
        </w:rPr>
      </w:pPr>
      <w:r>
        <w:rPr>
          <w:noProof/>
        </w:rPr>
        <w:t>uwzględniając opinię Komitetu Regionów</w:t>
      </w:r>
      <w:r>
        <w:rPr>
          <w:rStyle w:val="FootnoteReference0"/>
          <w:noProof/>
        </w:rPr>
        <w:footnoteReference w:id="24"/>
      </w:r>
      <w:r>
        <w:rPr>
          <w:noProof/>
        </w:rPr>
        <w:t>,</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bookmarkStart w:id="1" w:name="_Ref531358769"/>
      <w:r>
        <w:t>(1)</w:t>
      </w:r>
      <w:r>
        <w:tab/>
      </w:r>
      <w:r>
        <w:rPr>
          <w:noProof/>
        </w:rPr>
        <w:t>Rozporządzeniem (UE) 2018/1240 Parlamentu Europejskiego i Rady</w:t>
      </w:r>
      <w:r>
        <w:rPr>
          <w:rStyle w:val="FootnoteReference0"/>
          <w:noProof/>
        </w:rPr>
        <w:footnoteReference w:id="25"/>
      </w:r>
      <w:r>
        <w:rPr>
          <w:noProof/>
        </w:rPr>
        <w:t xml:space="preserve"> ustanowiono europejski system informacji o podróży oraz zezwoleń na podróż („ETIAS”) dla obywateli państw trzecich zwolnionych z obowiązku posiadania wizy przy przekraczaniu granic zewnętrznych. W rozporządzeniu tym określono warunki i procedury wydawania lub odmowy wydania zezwolenia na podróż.</w:t>
      </w:r>
      <w:bookmarkEnd w:id="1"/>
    </w:p>
    <w:p>
      <w:pPr>
        <w:pStyle w:val="ManualConsidrant"/>
        <w:rPr>
          <w:noProof/>
          <w:sz w:val="22"/>
        </w:rPr>
      </w:pPr>
      <w:r>
        <w:t>(2)</w:t>
      </w:r>
      <w:r>
        <w:tab/>
      </w:r>
      <w:r>
        <w:rPr>
          <w:noProof/>
        </w:rPr>
        <w:t>ETIAS umożliwia rozważenie, czy obecność tych obywateli państw trzecich na terytorium państw członkowskich stwarzałaby zagrożenie dla bezpieczeństwa, zagrożenie związane z nielegalną imigracją lub wysokie ryzyko epidemiologiczne.</w:t>
      </w:r>
    </w:p>
    <w:p>
      <w:pPr>
        <w:pStyle w:val="ManualConsidrant"/>
        <w:rPr>
          <w:noProof/>
        </w:rPr>
      </w:pPr>
      <w:bookmarkStart w:id="2" w:name="_DV_M31"/>
      <w:bookmarkEnd w:id="2"/>
      <w:r>
        <w:t>(3)</w:t>
      </w:r>
      <w:r>
        <w:tab/>
      </w:r>
      <w:r>
        <w:rPr>
          <w:noProof/>
        </w:rPr>
        <w:t>W celu umożliwienia weryfikacji, o której mowa w art. 20 rozporządzenia (UE) 2018/1240, konieczne jest stworzenie interoperacyjności, o której mowa w art. 11 tego rozporządzenia. Bez takiej interoperacyjności ETIAS nie może rozpocząć funkcjonowania.</w:t>
      </w:r>
    </w:p>
    <w:p>
      <w:pPr>
        <w:pStyle w:val="ManualConsidrant"/>
        <w:rPr>
          <w:noProof/>
        </w:rPr>
      </w:pPr>
      <w:r>
        <w:t>(4)</w:t>
      </w:r>
      <w:r>
        <w:tab/>
      </w:r>
      <w:r>
        <w:rPr>
          <w:noProof/>
        </w:rPr>
        <w:t>W niniejszym rozporządzeniu określa się, w jaki sposób ta interoperacyjność i warunki wglądu do danych przechowywanych w innych systemach informacyjnych UE oraz danych Europolu w ramach zautomatyzowanego procesu ETIAS do celów identyfikacji trafień mają być wdrażane. W związku z tym konieczne jest wprowadzenie zmian w rozporządzeniach Parlamentu Europejskiego i Rady (UE) 2018/1862 (SIS we współpracy policyjnej)</w:t>
      </w:r>
      <w:r>
        <w:rPr>
          <w:rStyle w:val="FootnoteReference0"/>
          <w:noProof/>
        </w:rPr>
        <w:footnoteReference w:id="26"/>
      </w:r>
      <w:r>
        <w:rPr>
          <w:noProof/>
        </w:rPr>
        <w:t xml:space="preserve"> i (UE) yyyy/xxxx (ECRIS-TCN)</w:t>
      </w:r>
      <w:r>
        <w:rPr>
          <w:rStyle w:val="FootnoteReference0"/>
          <w:noProof/>
        </w:rPr>
        <w:footnoteReference w:id="27"/>
      </w:r>
      <w:r>
        <w:rPr>
          <w:noProof/>
        </w:rPr>
        <w:t xml:space="preserve"> w celu połączenia systemu centralnego ETIAS z innymi systemami informacyjnymi UE oraz z danymi Europolu, a także w celu określenia danych, które będą przesyłane do tych systemów informacyjnych UE i danych Europolu oraz z tych systemów i danych.</w:t>
      </w:r>
    </w:p>
    <w:p>
      <w:pPr>
        <w:pStyle w:val="ManualConsidrant"/>
        <w:rPr>
          <w:noProof/>
        </w:rPr>
      </w:pPr>
      <w:r>
        <w:t>(5)</w:t>
      </w:r>
      <w:r>
        <w:tab/>
      </w:r>
      <w:r>
        <w:rPr>
          <w:noProof/>
        </w:rPr>
        <w:t>Zgodnie z art. 96 rozporządzenia (UE) 2018/1240 po przyjęciu przekształcenia rozporządzenia Parlamentu Europejskiego i Rady (UE) nr 603/2013</w:t>
      </w:r>
      <w:r>
        <w:rPr>
          <w:rStyle w:val="FootnoteReference0"/>
          <w:noProof/>
        </w:rPr>
        <w:footnoteReference w:id="28"/>
      </w:r>
      <w:r>
        <w:rPr>
          <w:noProof/>
        </w:rPr>
        <w:t xml:space="preserve"> zostaną przyjęte niezbędne zmiany.</w:t>
      </w:r>
    </w:p>
    <w:p>
      <w:pPr>
        <w:pStyle w:val="ManualConsidrant"/>
        <w:rPr>
          <w:noProof/>
        </w:rPr>
      </w:pPr>
      <w:r>
        <w:t>(6)</w:t>
      </w:r>
      <w:r>
        <w:tab/>
      </w:r>
      <w:r>
        <w:rPr>
          <w:noProof/>
        </w:rPr>
        <w:t>W celu zapewnienia efektywności oraz zmniejszenia kosztów w ramach ETIAS należy – zgodnie z art. 6 ust. 3 rozporządzenia (UE) 2018/1240 – wykorzystać sprzęt i oprogramowanie opracowane na potrzeby systemu wjazdu/wyjazdu („EES”) w celu opracowania współdzielonego repozytorium danych umożliwiających identyfikację. Repozytorium używane do przechowywania alfanumerycznych danych identyfikacyjnych zarówno wnioskodawców ETIAS, jak i obywateli państw trzecich zarejestrowanych w EES, powinno zostać opracowane w taki sposób, aby w przyszłości możliwe było jego rozszerzenie i przekształcenie we wspólne repozytorium danych umożliwiających identyfikację. W tym samym duchu narzędzie, które ma zostać ustanowione w celu umożliwienia porównywania danych ETIAS z danymi poszczególnych innych systemów w ramach jednego zapytania, należy opracować w taki sposób, aby możliwe było przekształcenie go w europejski portal wyszukiwania.</w:t>
      </w:r>
    </w:p>
    <w:p>
      <w:pPr>
        <w:pStyle w:val="ManualConsidrant"/>
        <w:rPr>
          <w:noProof/>
        </w:rPr>
      </w:pPr>
      <w:r>
        <w:t>(7)</w:t>
      </w:r>
      <w:r>
        <w:tab/>
      </w:r>
      <w:r>
        <w:rPr>
          <w:noProof/>
        </w:rPr>
        <w:t>Należy określić warunki techniczne umożliwiające ETIAS regularne i automatyczne sprawdzanie w innych systemach, czy nadal są spełnione warunki przechowywania plików wniosków określone w rozporządzeniu (UE) 2018/1240.</w:t>
      </w:r>
    </w:p>
    <w:p>
      <w:pPr>
        <w:pStyle w:val="ManualConsidrant"/>
        <w:rPr>
          <w:noProof/>
        </w:rPr>
      </w:pPr>
      <w:r>
        <w:t>(8)</w:t>
      </w:r>
      <w:r>
        <w:tab/>
      </w:r>
      <w:r>
        <w:rPr>
          <w:noProof/>
        </w:rPr>
        <w:t>Do zapewnienia pełnej realizacji celów ETIAS, jak również do spełnienia celów systemu informacyjnego Schengen („SIS”), niezbędne jest dodanie do zakresu zautomatyzowanej weryfikacji nowej kategorii wpisów wprowadzonej w ramach ostatniej zmiany SIS, a mianowicie wpisów dotyczących osób, które podlegają rozpytaniu kontrolnemu.</w:t>
      </w:r>
    </w:p>
    <w:p>
      <w:pPr>
        <w:pStyle w:val="ManualConsidrant"/>
        <w:rPr>
          <w:noProof/>
        </w:rPr>
      </w:pPr>
      <w:r>
        <w:t>(9)</w:t>
      </w:r>
      <w:r>
        <w:tab/>
      </w:r>
      <w:r>
        <w:rPr>
          <w:noProof/>
        </w:rPr>
        <w:t>Zezwolenie na podróż ETIAS może zostać cofnięte w następstwie zarejestrowania w SIS nowych wpisów dotyczących odmowy pozwolenia na wjazd i pobyt lub dotyczących dokumentu podróży zgłoszonego jako utracony, skradziony, przywłaszczony lub unieważniony. Aby system centralny ETIAS był automatycznie informowany przez SIS o takich nowych wpisach, należy wprowadzić zautomatyzowany proces wymiany informacji między SIS a ETIAS.</w:t>
      </w:r>
    </w:p>
    <w:p>
      <w:pPr>
        <w:pStyle w:val="ManualConsidrant"/>
        <w:rPr>
          <w:noProof/>
        </w:rPr>
      </w:pPr>
      <w:r>
        <w:t>(10)</w:t>
      </w:r>
      <w:r>
        <w:tab/>
      </w:r>
      <w:r>
        <w:rPr>
          <w:noProof/>
        </w:rPr>
        <w:t>Zgodnie z rozporządzeniem Parlamentu Europejskiego i Rady (UE) 2018/xxxx</w:t>
      </w:r>
      <w:r>
        <w:rPr>
          <w:rStyle w:val="FootnoteReference0"/>
          <w:noProof/>
        </w:rPr>
        <w:footnoteReference w:id="29"/>
      </w:r>
      <w:r>
        <w:rPr>
          <w:noProof/>
        </w:rPr>
        <w:t xml:space="preserve"> [ECRIS-TCN] oraz zgodnie z zamiarem wyrażonym w rozporządzeniu (UE) 2018/1240 ETIAS powinien mieć możliwość sprawdzenia, czy istnieją powiązania między danymi w plikach wniosków ETIAS a europejskim systemem przekazywania informacji z rejestrów karnych dotyczących obywateli państw trzecich („ECRIS-TCN”) do wspólnego repozytorium danych umożliwiających identyfikację („CIR”), w odniesieniu do których państwa członkowskie posiadają informacje o wyrokach skazujących wydanych wobec obywateli państw trzecich i bezpaństwowców za przestępstwo terrorystyczne lub inne poważne przestępstwo. </w:t>
      </w:r>
    </w:p>
    <w:p>
      <w:pPr>
        <w:pStyle w:val="ManualConsidrant"/>
        <w:rPr>
          <w:noProof/>
        </w:rPr>
      </w:pPr>
      <w:r>
        <w:t>(11)</w:t>
      </w:r>
      <w:r>
        <w:tab/>
      </w:r>
      <w:r>
        <w:rPr>
          <w:noProof/>
        </w:rPr>
        <w:t>Warunki, na jakich jednostka centralna ETIAS i jednostki krajowe ETIAS mogą przeglądać dane przechowywane w innych systemach informacyjnych UE na potrzeby ETIAS, powinny być obwarowane jasnymi i precyzyjnymi przepisami dotyczącymi dostępu jednostki centralnej ETIAS i jednostek krajowych ETIAS do danych przechowywanych w innych systemach informacyjnych UE, rodzajów zapytań i kategorii danych, przy czym każde z powyższych powinno się ograniczać do tego, co jest ściśle niezbędne do wykonywania ich obowiązków. Podobnie dane przechowywane w pliku wniosku ETIAS powinny być widoczne tylko dla tych państw członkowskich, które obsługują dane systemy informacyjne zgodnie z warunkami ich uczestnictwa.</w:t>
      </w:r>
    </w:p>
    <w:p>
      <w:pPr>
        <w:pStyle w:val="ManualConsidrant"/>
        <w:rPr>
          <w:i/>
          <w:noProof/>
        </w:rPr>
      </w:pPr>
      <w:r>
        <w:t>(12)</w:t>
      </w:r>
      <w:r>
        <w:tab/>
      </w:r>
      <w:r>
        <w:rPr>
          <w:noProof/>
        </w:rPr>
        <w:t>Zgodnie z art. 73 rozporządzenia (UE) 2018/1240 za etap projektowania i rozwoju systemu informacyjnego ETIAS powinna odpowiadać Europejska Agencja ds. Zarządzania Operacyjnego Wielkoskalowymi Systemami Informatycznymi w Przestrzeni Wolności, Bezpieczeństwa i Sprawiedliwości („eu-LISA”), ustanowiona rozporządzeniem Parlamentu Europejskiego i Rady (UE) 2018/1726</w:t>
      </w:r>
      <w:r>
        <w:rPr>
          <w:rStyle w:val="FootnoteReference0"/>
          <w:noProof/>
        </w:rPr>
        <w:footnoteReference w:id="30"/>
      </w:r>
      <w:r>
        <w:rPr>
          <w:noProof/>
        </w:rPr>
        <w:t>.</w:t>
      </w:r>
    </w:p>
    <w:p>
      <w:pPr>
        <w:pStyle w:val="ManualConsidrant"/>
        <w:rPr>
          <w:noProof/>
        </w:rPr>
      </w:pPr>
      <w:r>
        <w:t>(13)</w:t>
      </w:r>
      <w:r>
        <w:tab/>
      </w:r>
      <w:r>
        <w:rPr>
          <w:noProof/>
        </w:rPr>
        <w:t>Niniejsze rozporządzenie nie narusza przepisów dyrektywy 2004/38/WE</w:t>
      </w:r>
      <w:r>
        <w:rPr>
          <w:rStyle w:val="FootnoteReference0"/>
          <w:noProof/>
        </w:rPr>
        <w:footnoteReference w:id="31"/>
      </w:r>
      <w:r>
        <w:rPr>
          <w:noProof/>
        </w:rPr>
        <w:t>.</w:t>
      </w:r>
    </w:p>
    <w:p>
      <w:pPr>
        <w:pStyle w:val="ManualConsidrant"/>
        <w:rPr>
          <w:noProof/>
        </w:rPr>
      </w:pPr>
      <w:r>
        <w:t>(14)</w:t>
      </w:r>
      <w:r>
        <w:tab/>
      </w:r>
      <w:r>
        <w:rPr>
          <w:noProof/>
        </w:rPr>
        <w:t>W zakresie, w jakim przepisy rozporządzenia odnoszą się do SIS, regulowanego rozporządzeniem (UE) 2018/1862, Dania, zgodnie z art. 4 protokołu nr 22 w sprawie stanowiska Danii załączonego do Traktatu o Unii Europejskiej i do Traktatu o funkcjonowaniu Unii Europejskiej, w terminie sześciu miesięcy po przyjęciu przez Radę niniejszego rozporządzenia podejmuje decyzję, czy dokona transpozycji niniejszego wniosku, opartego na dorobku Schengen, do swojego prawa krajowego. W zakresie, w jakim przepisy rozporządzenia odnoszą się do ECRIS-TCN, Dania, zgodnie z art. 1 i 2 protokołu nr 22, nie uczestniczy w przyjęciu niniejszego rozporządzenia i nie jest nim związana ani go nie stosuje.</w:t>
      </w:r>
    </w:p>
    <w:p>
      <w:pPr>
        <w:pStyle w:val="ManualConsidrant"/>
        <w:rPr>
          <w:noProof/>
        </w:rPr>
      </w:pPr>
      <w:r>
        <w:t>(15)</w:t>
      </w:r>
      <w:r>
        <w:tab/>
      </w:r>
      <w:r>
        <w:rPr>
          <w:noProof/>
        </w:rPr>
        <w:t>W zakresie, w jakim przepisy niniejszego rozporządzenia odnoszą się do SIS, regulowanego rozporządzeniem (UE) 2018/1862, Zjednoczone Królestwo jest związane niniejszym rozporządzeniem zgodnie z art. 5 Protokołu w sprawie dorobku Schengen włączonego w ramy Unii Europejskiej, załączonego do Traktatu o Unii Europejskiej i Traktatu o funkcjonowaniu Unii Europejskiej, oraz zgodnie z art. 8 ust. 2 decyzji Rady 2000/365/WE z dnia 29 maja 2000 r. dotyczącej wniosku Zjednoczonego Królestwa Wielkiej Brytanii i Irlandii Północnej o zastosowanie wobec niego niektórych przepisów dorobku Schengen</w:t>
      </w:r>
      <w:r>
        <w:rPr>
          <w:rStyle w:val="FootnoteReference0"/>
          <w:noProof/>
        </w:rPr>
        <w:footnoteReference w:id="32"/>
      </w:r>
      <w:r>
        <w:rPr>
          <w:noProof/>
        </w:rPr>
        <w:t>. W zakresie, w jakim przepisy niniejszego rozporządzenia odnoszą się do ECRIS-TCN, Zjednoczone Królestwo może notyfikować przewodniczącemu Rady chęć uczestniczenia w przyjęciu i stosowaniu niniejszego rozporządzenia, zgodnie z art. 3 Protokołu nr 21 w sprawie stanowiska Zjednoczonego Królestwa i Irlandii w odniesieniu do przestrzeni wolności, bezpieczeństwa i sprawiedliwości, załączonego do TUE i TFUE.</w:t>
      </w:r>
    </w:p>
    <w:p>
      <w:pPr>
        <w:pStyle w:val="ManualConsidrant"/>
        <w:rPr>
          <w:noProof/>
        </w:rPr>
      </w:pPr>
      <w:r>
        <w:t>(16)</w:t>
      </w:r>
      <w:r>
        <w:tab/>
      </w:r>
      <w:r>
        <w:rPr>
          <w:noProof/>
        </w:rPr>
        <w:t>W zakresie, w jakim przepisy niniejszego rozporządzenia odnoszą się do SIS, regulowanego rozporządzeniem (UE) 2018/1862, Irlandia jest związana niniejszym rozporządzeniem zgodnie z art. 5 Protokołu w sprawie dorobku Schengen włączonego w ramy Unii Europejskiej, załączonego do Traktatu o Unii Europejskiej i Traktatu o funkcjonowaniu Unii Europejskiej, oraz zgodnie z art. 6 ust. 2 decyzji Rady 2002/192/WE z dnia 28 lutego 2002 r. dotyczącej wniosku Irlandii o zastosowanie wobec niej niektórych przepisów dorobku Schengen</w:t>
      </w:r>
      <w:r>
        <w:rPr>
          <w:rStyle w:val="FootnoteReference0"/>
          <w:noProof/>
        </w:rPr>
        <w:footnoteReference w:id="33"/>
      </w:r>
      <w:r>
        <w:rPr>
          <w:noProof/>
        </w:rPr>
        <w:t>. W zakresie, w jakim przepisy niniejszego rozporządzenia odnoszą się do ECRIS-TCN, Irlandia może notyfikować przewodniczącemu Rady chęć uczestniczenia w przyjęciu i stosowaniu niniejszego rozporządzenia, zgodnie z art. 3 Protokołu nr 21 w sprawie stanowiska Zjednoczonego Królestwa i Irlandii w odniesieniu do przestrzeni wolności, bezpieczeństwa i sprawiedliwości, załączonego do TUE i TFUE.</w:t>
      </w:r>
    </w:p>
    <w:p>
      <w:pPr>
        <w:pStyle w:val="ManualConsidrant"/>
        <w:rPr>
          <w:noProof/>
        </w:rPr>
      </w:pPr>
      <w:r>
        <w:t>(17)</w:t>
      </w:r>
      <w:r>
        <w:tab/>
      </w:r>
      <w:r>
        <w:rPr>
          <w:noProof/>
        </w:rPr>
        <w:t>W zakresie, w jakim przepisy niniejszego rozporządzenia odnoszą się do SIS, regulowanego rozporządzeniem (UE) 2018/1862, jest ono aktem opartym na dorobku Schengen lub w inny sposób z nim związanym w rozumieniu art. 4 ust. 2 Aktu przystąpienia z 2005 r. W związku z tym niniejsze rozporządzenie należy interpretować w związku z decyzjami Rady 2010/365/UE</w:t>
      </w:r>
      <w:r>
        <w:rPr>
          <w:rStyle w:val="FootnoteReference0"/>
          <w:noProof/>
        </w:rPr>
        <w:footnoteReference w:id="34"/>
      </w:r>
      <w:r>
        <w:rPr>
          <w:noProof/>
        </w:rPr>
        <w:t xml:space="preserve"> i 2018/934</w:t>
      </w:r>
      <w:r>
        <w:rPr>
          <w:rStyle w:val="FootnoteReference0"/>
          <w:noProof/>
        </w:rPr>
        <w:footnoteReference w:id="35"/>
      </w:r>
      <w:r>
        <w:rPr>
          <w:noProof/>
        </w:rPr>
        <w:t>, które zawierają wykaz przepisów dorobku Schengen związanych z systemem informacyjnym Schengen, które mają mieć zastosowanie w Bułgarii i Rumunii, z zastrzeżeniem określonych ograniczeń.</w:t>
      </w:r>
    </w:p>
    <w:p>
      <w:pPr>
        <w:pStyle w:val="ManualConsidrant"/>
        <w:rPr>
          <w:noProof/>
        </w:rPr>
      </w:pPr>
      <w:r>
        <w:t>(18)</w:t>
      </w:r>
      <w:r>
        <w:tab/>
      </w:r>
      <w:r>
        <w:rPr>
          <w:noProof/>
        </w:rPr>
        <w:t>W odniesieniu do Cypru i Chorwacji, w zakresie, w jakim przepisy niniejszego rozporządzenia odnoszą się do SIS, regulowanego rozporządzeniem (UE) 2018/1862, niniejsze rozporządzenie jest aktem opartym na dorobku Schengen lub w inny sposób z nim związanym w rozumieniu odpowiednio art. 3 ust. 2 Aktu przystąpienia z 2003 r. oraz art. 4 ust. 2 Aktu przystąpienia z 2011 r. W odniesieniu do Chorwacji niniejsze rozporządzenie należy interpretować w związku z decyzją Rady (UE) 2017/733</w:t>
      </w:r>
      <w:r>
        <w:rPr>
          <w:rStyle w:val="FootnoteReference0"/>
          <w:noProof/>
        </w:rPr>
        <w:footnoteReference w:id="36"/>
      </w:r>
      <w:r>
        <w:rPr>
          <w:noProof/>
        </w:rPr>
        <w:t xml:space="preserve">, które zawiera wykaz przepisów dorobku Schengen związanych z systemem informacyjnym Schengen, które mają mieć zastosowanie w Chorwacji, z zastrzeżeniem określonych ograniczeń. </w:t>
      </w:r>
    </w:p>
    <w:p>
      <w:pPr>
        <w:pStyle w:val="ManualConsidrant"/>
        <w:rPr>
          <w:noProof/>
        </w:rPr>
      </w:pPr>
      <w:r>
        <w:t>(19)</w:t>
      </w:r>
      <w:r>
        <w:tab/>
      </w:r>
      <w:r>
        <w:rPr>
          <w:noProof/>
        </w:rPr>
        <w:t>W odniesieniu do Islandii i Norwegii, w zakresie, w jakim przepisy niniejszego rozporządzenia odnoszą się do SIS, regulowanego rozporządzeniem (UE) 2018/1862, niniejsze rozporządzenie stanowi rozwinięcie przepisów dorobku Schengen w rozumieniu Umowy zawartej przez Radę Unii Europejskiej i Republikę Islandii oraz Królestwo Norwegii dotyczącej włączenia tych dwóch państw we wprowadzanie w życie, stosowanie i rozwój dorobku Schengen</w:t>
      </w:r>
      <w:r>
        <w:rPr>
          <w:rStyle w:val="FootnoteReference0"/>
          <w:iCs/>
          <w:noProof/>
          <w:color w:val="000000"/>
        </w:rPr>
        <w:footnoteReference w:id="37"/>
      </w:r>
      <w:r>
        <w:rPr>
          <w:noProof/>
        </w:rPr>
        <w:t>, które to przepisy wchodzą w zakres obszaru, o którym mowa w art. 1 pkt G decyzji Rady 1999/437/WE</w:t>
      </w:r>
      <w:r>
        <w:rPr>
          <w:rStyle w:val="FootnoteReference0"/>
          <w:noProof/>
          <w:color w:val="000000"/>
        </w:rPr>
        <w:footnoteReference w:id="38"/>
      </w:r>
      <w:r>
        <w:rPr>
          <w:noProof/>
        </w:rPr>
        <w:t xml:space="preserve">. </w:t>
      </w:r>
    </w:p>
    <w:p>
      <w:pPr>
        <w:pStyle w:val="ManualConsidrant"/>
        <w:rPr>
          <w:noProof/>
        </w:rPr>
      </w:pPr>
      <w:r>
        <w:t>(20)</w:t>
      </w:r>
      <w:r>
        <w:tab/>
      </w:r>
      <w:r>
        <w:rPr>
          <w:noProof/>
        </w:rPr>
        <w:t>W odniesieniu do Szwajcarii niniejsze rozporządzenie stanowi, w zakresie, w jakim jego przepisy odnoszą się do SIS, regulowanego rozporządzeniem (UE) 2018/1862, rozwinięcie przepisów dorobku Schengen w rozumieniu Umowy między Unią Europejską, Wspólnotą Europejską a Konfederacją Szwajcarską w sprawie włączenia Konfederacji Szwajcarskiej we wprowadzanie w życie, stosowanie i rozwój dorobku Schengen</w:t>
      </w:r>
      <w:r>
        <w:rPr>
          <w:rStyle w:val="FootnoteReference0"/>
          <w:iCs/>
          <w:noProof/>
        </w:rPr>
        <w:footnoteReference w:id="39"/>
      </w:r>
      <w:r>
        <w:rPr>
          <w:noProof/>
        </w:rPr>
        <w:t>, które wchodzą w zakres obszaru, o którym mowa w art. 1 pkt G decyzji 1999/437/WE w związku z art. 3 decyzji Rady 2008/146/WE</w:t>
      </w:r>
      <w:r>
        <w:rPr>
          <w:rStyle w:val="FootnoteReference0"/>
          <w:noProof/>
        </w:rPr>
        <w:footnoteReference w:id="40"/>
      </w:r>
      <w:r>
        <w:rPr>
          <w:noProof/>
        </w:rPr>
        <w:t>.</w:t>
      </w:r>
      <w:r>
        <w:rPr>
          <w:noProof/>
          <w:color w:val="000000"/>
        </w:rPr>
        <w:t xml:space="preserve"> </w:t>
      </w:r>
    </w:p>
    <w:p>
      <w:pPr>
        <w:pStyle w:val="ManualConsidrant"/>
        <w:rPr>
          <w:noProof/>
        </w:rPr>
      </w:pPr>
      <w:r>
        <w:t>(21)</w:t>
      </w:r>
      <w:r>
        <w:tab/>
      </w:r>
      <w:r>
        <w:rPr>
          <w:noProof/>
        </w:rPr>
        <w:t>W odniesieniu do Liechtensteinu niniejsze rozporządzenie stanowi, w zakresie, w jakim jego przepisy odnoszą się SIS, regulowanego rozporządzeniem (UE) 2018/1862, rozwinięcie przepisów dorobku Schengen w rozumieniu Protokołu między Unią Europejską, Wspólnotą Europejską, Konfederacją Szwajcarską i Księstwem Liechtensteinu o przystąpieniu Księstwa Liechtensteinu do Umowy między Unią Europejską, Wspólnotą Europejską a Konfederacją Szwajcarską w sprawie włączenia Konfederacji Szwajcarskiej we wprowadzanie w życie, stosowanie i rozwój dorobku Schengen</w:t>
      </w:r>
      <w:r>
        <w:rPr>
          <w:rStyle w:val="FootnoteReference0"/>
          <w:iCs/>
          <w:noProof/>
        </w:rPr>
        <w:footnoteReference w:id="41"/>
      </w:r>
      <w:r>
        <w:rPr>
          <w:noProof/>
        </w:rPr>
        <w:t>, które wchodzą w zakres obszaru, o którym mowa w art. 1 pkt G decyzji 1999/437/WE w związku z art. 3 decyzji Rady 2011/350/UE</w:t>
      </w:r>
      <w:r>
        <w:rPr>
          <w:rStyle w:val="FootnoteReference0"/>
          <w:noProof/>
        </w:rPr>
        <w:footnoteReference w:id="42"/>
      </w:r>
      <w:r>
        <w:rPr>
          <w:noProof/>
        </w:rPr>
        <w:t>.</w:t>
      </w:r>
    </w:p>
    <w:p>
      <w:pPr>
        <w:pStyle w:val="ManualConsidrant"/>
        <w:rPr>
          <w:noProof/>
        </w:rPr>
      </w:pPr>
      <w:r>
        <w:t>(22)</w:t>
      </w:r>
      <w:r>
        <w:tab/>
      </w:r>
      <w:r>
        <w:rPr>
          <w:noProof/>
        </w:rPr>
        <w:t xml:space="preserve">Należy zatem zmienić rozporządzenia Parlamentu Europejskiego i Rady (UE) 2018/1862 (SIS we współpracy policyjnej) i (UE) yyyy/xxx [ECRIS-TCN]. </w:t>
      </w:r>
    </w:p>
    <w:p>
      <w:pPr>
        <w:pStyle w:val="ManualConsidrant"/>
        <w:rPr>
          <w:noProof/>
        </w:rPr>
      </w:pPr>
      <w:r>
        <w:t>(23)</w:t>
      </w:r>
      <w:r>
        <w:tab/>
      </w:r>
      <w:r>
        <w:rPr>
          <w:noProof/>
        </w:rPr>
        <w:t>Zgodnie z art. 41 ust. 2 rozporządzenia Parlamentu Europejskiego i Rady (UE) 2018/1725 zasięgnięto opinii Europejskiego Inspektora Ochrony Danych</w:t>
      </w:r>
      <w:r>
        <w:rPr>
          <w:rStyle w:val="FootnoteReference0"/>
          <w:noProof/>
        </w:rPr>
        <w:footnoteReference w:id="43"/>
      </w:r>
      <w:r>
        <w:rPr>
          <w:noProof/>
        </w:rPr>
        <w:t>,</w:t>
      </w:r>
    </w:p>
    <w:p>
      <w:pPr>
        <w:pStyle w:val="Formuledadoption"/>
        <w:rPr>
          <w:noProof/>
        </w:rPr>
      </w:pPr>
      <w:r>
        <w:rPr>
          <w:noProof/>
        </w:rPr>
        <w:t>PRZYJMUJĄ NINIEJSZE ROZPORZĄDZENIE:</w:t>
      </w:r>
    </w:p>
    <w:p>
      <w:pPr>
        <w:pStyle w:val="Titrearticle"/>
        <w:rPr>
          <w:noProof/>
        </w:rPr>
      </w:pPr>
      <w:r>
        <w:rPr>
          <w:noProof/>
        </w:rPr>
        <w:t>Artykuł 1</w:t>
      </w:r>
    </w:p>
    <w:p>
      <w:pPr>
        <w:pStyle w:val="Titrearticle"/>
        <w:rPr>
          <w:b/>
          <w:bCs/>
          <w:noProof/>
        </w:rPr>
      </w:pPr>
      <w:r>
        <w:rPr>
          <w:b/>
          <w:bCs/>
          <w:noProof/>
        </w:rPr>
        <w:t>Zmiany w rozporządzeniu (UE) 2018/1862 [SIS we współpracy policyjnej]</w:t>
      </w:r>
    </w:p>
    <w:p>
      <w:pPr>
        <w:spacing w:before="0" w:after="0"/>
        <w:rPr>
          <w:noProof/>
        </w:rPr>
      </w:pPr>
    </w:p>
    <w:p>
      <w:pPr>
        <w:pStyle w:val="Point0"/>
        <w:rPr>
          <w:noProof/>
        </w:rPr>
      </w:pPr>
      <w:r>
        <w:rPr>
          <w:noProof/>
        </w:rPr>
        <w:t>1)</w:t>
      </w:r>
      <w:r>
        <w:rPr>
          <w:noProof/>
        </w:rPr>
        <w:tab/>
        <w:t>W rozdziale III dodaje się artykuł w brzmieniu:</w:t>
      </w:r>
    </w:p>
    <w:p>
      <w:pPr>
        <w:pStyle w:val="Titrearticle"/>
        <w:rPr>
          <w:b/>
          <w:bCs/>
          <w:noProof/>
        </w:rPr>
      </w:pPr>
      <w:r>
        <w:rPr>
          <w:i w:val="0"/>
          <w:noProof/>
        </w:rPr>
        <w:t>„</w:t>
      </w:r>
      <w:r>
        <w:rPr>
          <w:noProof/>
        </w:rPr>
        <w:t>Artykuł 18a</w:t>
      </w:r>
      <w:r>
        <w:rPr>
          <w:noProof/>
        </w:rPr>
        <w:br/>
      </w:r>
      <w:r>
        <w:rPr>
          <w:b/>
          <w:bCs/>
          <w:noProof/>
        </w:rPr>
        <w:t>Prowadzenie rejestrów do celów interoperacyjności z ETIAS</w:t>
      </w:r>
    </w:p>
    <w:p>
      <w:pPr>
        <w:pStyle w:val="Point1"/>
        <w:ind w:left="142" w:hanging="1"/>
        <w:rPr>
          <w:noProof/>
        </w:rPr>
      </w:pPr>
      <w:r>
        <w:rPr>
          <w:noProof/>
        </w:rPr>
        <w:t>Rejestry każdej operacji przetwarzania danych przeprowadzonej w ramach SIS i ETIAS zgodnie z art. 50 a i 50b prowadzone są zgodnie z art. 18 niniejszego rozporządzenia i art. 69 rozporządzenia Parlamentu Europejskiego i Rady (UE) 2018/1240*.</w:t>
      </w:r>
    </w:p>
    <w:p>
      <w:pPr>
        <w:pStyle w:val="Point1"/>
        <w:rPr>
          <w:noProof/>
        </w:rPr>
      </w:pPr>
      <w:r>
        <w:rPr>
          <w:noProof/>
        </w:rPr>
        <w:t>_____________</w:t>
      </w:r>
    </w:p>
    <w:p>
      <w:pPr>
        <w:autoSpaceDE w:val="0"/>
        <w:autoSpaceDN w:val="0"/>
        <w:adjustRightInd w:val="0"/>
        <w:spacing w:before="0" w:after="0"/>
        <w:ind w:left="284"/>
        <w:rPr>
          <w:noProof/>
        </w:rPr>
      </w:pPr>
      <w:r>
        <w:rPr>
          <w:noProof/>
        </w:rPr>
        <w:t>Rozporządzenie Parlamentu Europejskiego i Rady (UE) 2018/1240 z dnia 12 września 2018 r. ustanawiające europejski system informacji o podróży oraz zezwoleń na podróż (ETIAS) i zmieniające rozporządzenia (UE) nr 1077/2011, (UE) nr 515/2014, (UE) 2016/399, (UE) 2016/1624 i (UE) 2017/2226 (Dz.U. L 236 z 19.9.2018, s. 1).”;</w:t>
      </w:r>
    </w:p>
    <w:p>
      <w:pPr>
        <w:autoSpaceDE w:val="0"/>
        <w:autoSpaceDN w:val="0"/>
        <w:adjustRightInd w:val="0"/>
        <w:spacing w:before="0" w:after="0"/>
        <w:ind w:left="284"/>
        <w:rPr>
          <w:noProof/>
          <w:color w:val="000000"/>
        </w:rPr>
      </w:pPr>
    </w:p>
    <w:p>
      <w:pPr>
        <w:pStyle w:val="Point0"/>
        <w:rPr>
          <w:noProof/>
        </w:rPr>
      </w:pPr>
      <w:r>
        <w:rPr>
          <w:noProof/>
        </w:rPr>
        <w:t>2)</w:t>
      </w:r>
      <w:r>
        <w:rPr>
          <w:noProof/>
        </w:rPr>
        <w:tab/>
        <w:t>w art. 44 ust. 1 dodaje się literę w brzmieniu:</w:t>
      </w:r>
    </w:p>
    <w:p>
      <w:pPr>
        <w:pStyle w:val="Point1"/>
        <w:spacing w:before="0" w:after="0"/>
        <w:ind w:left="1418" w:hanging="568"/>
        <w:rPr>
          <w:noProof/>
        </w:rPr>
      </w:pPr>
      <w:r>
        <w:rPr>
          <w:noProof/>
        </w:rPr>
        <w:t>„f) ręcznego przetwarzania wniosków ETIAS przez jednostkę krajową ETIAS zgodnie z art. 8 rozporządzenia (UE) 2018/1240.”;</w:t>
      </w:r>
    </w:p>
    <w:p>
      <w:pPr>
        <w:pStyle w:val="Point1"/>
        <w:spacing w:before="0" w:after="0"/>
        <w:ind w:left="1276" w:hanging="426"/>
        <w:rPr>
          <w:noProof/>
        </w:rPr>
      </w:pPr>
    </w:p>
    <w:p>
      <w:pPr>
        <w:pStyle w:val="Point0"/>
        <w:rPr>
          <w:noProof/>
        </w:rPr>
      </w:pPr>
      <w:r>
        <w:rPr>
          <w:noProof/>
        </w:rPr>
        <w:t>3)</w:t>
      </w:r>
      <w:r>
        <w:rPr>
          <w:noProof/>
        </w:rPr>
        <w:tab/>
        <w:t>dodaje się artykuły w brzmieniu:</w:t>
      </w:r>
    </w:p>
    <w:p>
      <w:pPr>
        <w:pStyle w:val="Titrearticle"/>
        <w:rPr>
          <w:b/>
          <w:noProof/>
        </w:rPr>
      </w:pPr>
      <w:r>
        <w:rPr>
          <w:noProof/>
        </w:rPr>
        <w:t>„Artykuł 50a</w:t>
      </w:r>
      <w:r>
        <w:rPr>
          <w:noProof/>
        </w:rPr>
        <w:br/>
      </w:r>
      <w:r>
        <w:rPr>
          <w:b/>
          <w:noProof/>
        </w:rPr>
        <w:t>Dostęp do danych SIS przez jednostkę centralną ETIAS</w:t>
      </w:r>
    </w:p>
    <w:p>
      <w:pPr>
        <w:pStyle w:val="ManualNumPar1"/>
        <w:rPr>
          <w:noProof/>
        </w:rPr>
      </w:pPr>
      <w:r>
        <w:t>1.</w:t>
      </w:r>
      <w:r>
        <w:tab/>
      </w:r>
      <w:r>
        <w:rPr>
          <w:noProof/>
        </w:rPr>
        <w:t>Jednostka centralna ETIAS, ustanowiona w Europejskiej Agencji Straży Granicznej i Przybrzeżnej na mocy art. 7 rozporządzenia (UE) 2018/1240, posiada, do celów wykonywania zadań powierzonych jej rozporządzeniem (UE) 2018/1240, prawo dostępu do odpowiednich danych zawartych w SIS i ich przeszukiwania. W odniesieniu do takiego dostępu i przeszukiwania stosuje się art. 50 ust. 4–8 niniejszego rozporządzenia.</w:t>
      </w:r>
    </w:p>
    <w:p>
      <w:pPr>
        <w:pStyle w:val="ManualNumPar1"/>
        <w:rPr>
          <w:noProof/>
        </w:rPr>
      </w:pPr>
      <w:r>
        <w:t>2.</w:t>
      </w:r>
      <w:r>
        <w:tab/>
      </w:r>
      <w:r>
        <w:rPr>
          <w:noProof/>
        </w:rPr>
        <w:t>Jeżeli weryfikacja dokonywana przez jednostkę centralną ETIAS potwierdza zgodność danych zapisanych w pliku wniosku ETIAS i danych zawartych we wpisie w SIS, zastosowanie mają art. 23, 24 i 26 rozporządzenia (UE) 2018/1240.</w:t>
      </w:r>
    </w:p>
    <w:p>
      <w:pPr>
        <w:pStyle w:val="Titrearticle"/>
        <w:rPr>
          <w:b/>
          <w:bCs/>
          <w:noProof/>
        </w:rPr>
      </w:pPr>
      <w:r>
        <w:rPr>
          <w:noProof/>
        </w:rPr>
        <w:t>Artykuł 50b</w:t>
      </w:r>
      <w:r>
        <w:rPr>
          <w:noProof/>
        </w:rPr>
        <w:br/>
      </w:r>
      <w:r>
        <w:rPr>
          <w:b/>
          <w:bCs/>
          <w:noProof/>
        </w:rPr>
        <w:t>Interoperacyjność z ETIAS w rozumieniu art. 11 rozporządzenia (UE) 2018/1240</w:t>
      </w:r>
    </w:p>
    <w:p>
      <w:pPr>
        <w:pStyle w:val="ManualNumPar1"/>
        <w:rPr>
          <w:noProof/>
        </w:rPr>
      </w:pPr>
      <w:r>
        <w:t>1.</w:t>
      </w:r>
      <w:r>
        <w:tab/>
      </w:r>
      <w:r>
        <w:rPr>
          <w:noProof/>
        </w:rPr>
        <w:t>Od początku funkcjonowania ETIAS, jak określono w art. 88 ust. 1 rozporządzenia (UE) 2018/1240, system centralny SIS jest połączony z narzędziem, o którym mowa w art. 11 rozporządzenia (UE) 2018/1240, w celu umożliwienia automatycznego przetwarzania, o którym mowa w tym artykule.</w:t>
      </w:r>
    </w:p>
    <w:p>
      <w:pPr>
        <w:pStyle w:val="ManualNumPar1"/>
        <w:rPr>
          <w:noProof/>
        </w:rPr>
      </w:pPr>
      <w:r>
        <w:t>2.</w:t>
      </w:r>
      <w:r>
        <w:tab/>
      </w:r>
      <w:r>
        <w:rPr>
          <w:noProof/>
        </w:rPr>
        <w:t xml:space="preserve">Automatyczne przetwarzanie, o którym mowa w art. 11 rozporządzenia (UE) 2018/1240, umożliwia przeprowadzenie weryfikacji przewidzianych w art. 20, 23, art. 24 ust. 6 lit. c) ppkt (ii), art. 41 i art. 54 ust. 1 lit. b) tego rozporządzenia oraz dalszych weryfikacji przewidzianych w art. 22, 23 i 26 tego rozporządzenia. </w:t>
      </w:r>
    </w:p>
    <w:p>
      <w:pPr>
        <w:pStyle w:val="ManualNumPar1"/>
        <w:rPr>
          <w:noProof/>
        </w:rPr>
      </w:pPr>
      <w:r>
        <w:t>3.</w:t>
      </w:r>
      <w:r>
        <w:tab/>
      </w:r>
      <w:r>
        <w:rPr>
          <w:noProof/>
        </w:rPr>
        <w:t>Do celów weryfikacji, o których mowa w art. 20 ust. 2 lit. a), lit. d) i lit. m) ppkt (i) oraz art. 23 rozporządzenia (UE) 2018/1240, system centralny ETIAS korzysta z narzędzia, o którym mowa w art. 11 tego rozporządzenia, aby porównać dane, o których mowa w art. 11 ust. 5 rozporządzenia 2018/1240, z danymi zawartymi w SIS, zgodnie z art. 11 ust. 8 tego rozporządzenia.</w:t>
      </w:r>
    </w:p>
    <w:p>
      <w:pPr>
        <w:pStyle w:val="ManualNumPar1"/>
        <w:rPr>
          <w:noProof/>
        </w:rPr>
      </w:pPr>
      <w:r>
        <w:t>4.</w:t>
      </w:r>
      <w:r>
        <w:tab/>
      </w:r>
      <w:r>
        <w:rPr>
          <w:noProof/>
        </w:rPr>
        <w:t>Jeżeli w wyniku przeszukiwania ETIAS uzyskano przynajmniej jedno trafienie na podstawie art. 23 ust. 1 rozporządzenia (UE) 2018/1240, system centralny ETIAS przesyła automatyczne powiadomienie do biura SIRENE państwa członkowskiego, które dokonało wpisu, zgodnie z art. 23 ust. 2 i 3 tego rozporządzenia.</w:t>
      </w:r>
    </w:p>
    <w:p>
      <w:pPr>
        <w:pStyle w:val="Text1"/>
        <w:rPr>
          <w:noProof/>
        </w:rPr>
      </w:pPr>
      <w:r>
        <w:rPr>
          <w:noProof/>
        </w:rPr>
        <w:t>W przypadku wprowadzenia do SIS nowego wpisu o zgłoszeniu kradzieży, przywłaszczenia, utracenia lub unieważnienia dokumentów podróży, o którym to wpisie mowa w art. 41 ust. 3 rozporządzenia (UE) 2018/1240, SIS przekazuje systemowi centralnemu ETIAS informacje o tym wpisie za pomocą automatycznego przetwarzania i narzędzia, o którym mowa w art. 11 tego rozporządzenia, aby sprawdzić, czy ten nowy wpis odpowiada istniejącemu zezwoleniu na podróż.”.</w:t>
      </w:r>
    </w:p>
    <w:p>
      <w:pPr>
        <w:pStyle w:val="Titrearticle"/>
        <w:rPr>
          <w:noProof/>
        </w:rPr>
      </w:pPr>
      <w:r>
        <w:rPr>
          <w:noProof/>
        </w:rPr>
        <w:t>Artykuł 2</w:t>
      </w:r>
    </w:p>
    <w:p>
      <w:pPr>
        <w:pStyle w:val="Titrearticle"/>
        <w:rPr>
          <w:b/>
          <w:bCs/>
          <w:noProof/>
        </w:rPr>
      </w:pPr>
      <w:r>
        <w:rPr>
          <w:b/>
          <w:bCs/>
          <w:noProof/>
        </w:rPr>
        <w:t>Zmiany w rozporządzeniu (UE) yyyy/xxxx [ECRIS-TCN]</w:t>
      </w:r>
    </w:p>
    <w:p>
      <w:pPr>
        <w:spacing w:before="0" w:after="0"/>
        <w:rPr>
          <w:noProof/>
        </w:rPr>
      </w:pPr>
    </w:p>
    <w:p>
      <w:pPr>
        <w:spacing w:before="0" w:after="0"/>
        <w:rPr>
          <w:noProof/>
        </w:rPr>
      </w:pPr>
      <w:r>
        <w:rPr>
          <w:noProof/>
        </w:rPr>
        <w:t>W rozporządzeniu (UE) yyyy/xxxx (rozporządzenie w sprawie ECRIS-TCN) wprowadza się następujące zmiany</w:t>
      </w:r>
      <w:r>
        <w:rPr>
          <w:rStyle w:val="FootnoteReference0"/>
          <w:noProof/>
        </w:rPr>
        <w:footnoteReference w:id="44"/>
      </w:r>
      <w:r>
        <w:rPr>
          <w:rStyle w:val="FootnoteReference0"/>
          <w:noProof/>
        </w:rPr>
        <w:footnoteReference w:id="45"/>
      </w:r>
      <w:r>
        <w:rPr>
          <w:noProof/>
        </w:rPr>
        <w:t>:</w:t>
      </w:r>
    </w:p>
    <w:p>
      <w:pPr>
        <w:spacing w:before="0" w:after="0"/>
        <w:rPr>
          <w:noProof/>
        </w:rPr>
      </w:pPr>
    </w:p>
    <w:p>
      <w:pPr>
        <w:pStyle w:val="Point0"/>
        <w:rPr>
          <w:noProof/>
        </w:rPr>
      </w:pPr>
      <w:r>
        <w:rPr>
          <w:noProof/>
        </w:rPr>
        <w:t>1)</w:t>
      </w:r>
      <w:r>
        <w:rPr>
          <w:noProof/>
        </w:rPr>
        <w:tab/>
        <w:t xml:space="preserve">w art. 1 dodaje się literę w brzmieniu: </w:t>
      </w:r>
    </w:p>
    <w:p>
      <w:pPr>
        <w:spacing w:after="0"/>
        <w:ind w:left="1418" w:hanging="567"/>
        <w:rPr>
          <w:noProof/>
        </w:rPr>
      </w:pPr>
      <w:r>
        <w:rPr>
          <w:noProof/>
        </w:rPr>
        <w:t xml:space="preserve">„d) </w:t>
      </w:r>
      <w:r>
        <w:rPr>
          <w:noProof/>
        </w:rPr>
        <w:tab/>
        <w:t>określa warunki wykorzystywania danych zawartych w systemie ECRIS-TCN do celów zarządzania granicami zgodnie z rozporządzeniem Parlamentu Europejskiego i Rady (UE) 2018/1240*.</w:t>
      </w:r>
    </w:p>
    <w:p>
      <w:pPr>
        <w:pStyle w:val="Point1"/>
        <w:rPr>
          <w:noProof/>
        </w:rPr>
      </w:pPr>
      <w:r>
        <w:rPr>
          <w:noProof/>
        </w:rPr>
        <w:t>_____________</w:t>
      </w:r>
    </w:p>
    <w:p>
      <w:pPr>
        <w:spacing w:before="0" w:after="0"/>
        <w:ind w:left="1145" w:hanging="425"/>
        <w:rPr>
          <w:noProof/>
        </w:rPr>
      </w:pPr>
      <w:r>
        <w:rPr>
          <w:noProof/>
        </w:rPr>
        <w:t xml:space="preserve">*    Rozporządzenie Parlamentu Europejskiego i Rady (UE) 2018/1240 z dnia 12 września 2018 r. ustanawiające europejski system informacji o podróży oraz zezwoleń na podróż (ETIAS) i zmieniające rozporządzenia (UE) nr 1077/2011, (UE) nr 515/2014, (UE) 2016/399, (UE) 2016/1624 i (UE) 2017/2226 (Dz.U. L 236 z 19.9.2018, s. 1).”; </w:t>
      </w:r>
    </w:p>
    <w:p>
      <w:pPr>
        <w:spacing w:before="0" w:after="0"/>
        <w:ind w:left="1145" w:hanging="425"/>
        <w:rPr>
          <w:noProof/>
        </w:rPr>
      </w:pPr>
    </w:p>
    <w:p>
      <w:pPr>
        <w:pStyle w:val="Point0"/>
        <w:rPr>
          <w:noProof/>
        </w:rPr>
      </w:pPr>
      <w:r>
        <w:rPr>
          <w:noProof/>
        </w:rPr>
        <w:t>2)</w:t>
      </w:r>
      <w:r>
        <w:rPr>
          <w:noProof/>
        </w:rPr>
        <w:tab/>
        <w:t>art. 2 otrzymuje brzmienie:</w:t>
      </w:r>
    </w:p>
    <w:p>
      <w:pPr>
        <w:pStyle w:val="Titrearticle"/>
        <w:rPr>
          <w:b/>
          <w:noProof/>
        </w:rPr>
      </w:pPr>
      <w:r>
        <w:rPr>
          <w:noProof/>
        </w:rPr>
        <w:t>„Artykuł 2</w:t>
      </w:r>
      <w:r>
        <w:rPr>
          <w:noProof/>
        </w:rPr>
        <w:br/>
      </w:r>
      <w:r>
        <w:rPr>
          <w:b/>
          <w:noProof/>
        </w:rPr>
        <w:t>Zakres</w:t>
      </w:r>
    </w:p>
    <w:p>
      <w:pPr>
        <w:pStyle w:val="Point1"/>
        <w:ind w:left="851" w:hanging="1"/>
        <w:rPr>
          <w:noProof/>
        </w:rPr>
      </w:pPr>
      <w:r>
        <w:rPr>
          <w:noProof/>
        </w:rPr>
        <w:t xml:space="preserve">Niniejsze rozporządzenie ma zastosowanie do przetwarzania informacji dotyczących tożsamości obywateli państw trzecich, którzy podlegają wyrokom skazującym w państwach członkowskich, do celów identyfikacji państwa członkowskiego lub państw członkowskich, w których takie wyroki skazujące wydano, a także na potrzeby zarządzania granicami [oraz ułatwienia i wspierania prawidłowej identyfikacji osób]. </w:t>
      </w:r>
    </w:p>
    <w:p>
      <w:pPr>
        <w:pStyle w:val="Point1"/>
        <w:spacing w:before="0" w:after="0"/>
        <w:ind w:left="851" w:hanging="1"/>
        <w:rPr>
          <w:noProof/>
        </w:rPr>
      </w:pPr>
      <w:r>
        <w:rPr>
          <w:noProof/>
        </w:rPr>
        <w:t>Z wyjątkiem art. 5 ust. 1 lit. b) ppkt (ii) przepisy niniejszego rozporządzenia mające zastosowanie do obywateli państw trzecich mają także zastosowanie do obywateli Unii, którzy posiadają również obywatelstwo państwa trzeciego i podlegają wyrokom skazującym w państwach członkowskich.”;</w:t>
      </w:r>
    </w:p>
    <w:p>
      <w:pPr>
        <w:pStyle w:val="Point1"/>
        <w:spacing w:before="0" w:after="0"/>
        <w:ind w:left="851" w:hanging="1"/>
        <w:rPr>
          <w:noProof/>
        </w:rPr>
      </w:pPr>
    </w:p>
    <w:p>
      <w:pPr>
        <w:pStyle w:val="Point0"/>
        <w:rPr>
          <w:noProof/>
        </w:rPr>
      </w:pPr>
      <w:r>
        <w:rPr>
          <w:noProof/>
        </w:rPr>
        <w:t>3)</w:t>
      </w:r>
      <w:r>
        <w:rPr>
          <w:noProof/>
        </w:rPr>
        <w:tab/>
        <w:t>w art. 3 wprowadza się następujące zmiany:</w:t>
      </w:r>
    </w:p>
    <w:p>
      <w:pPr>
        <w:pStyle w:val="Point1"/>
        <w:rPr>
          <w:noProof/>
        </w:rPr>
      </w:pPr>
      <w:r>
        <w:rPr>
          <w:noProof/>
        </w:rPr>
        <w:t>a)</w:t>
      </w:r>
      <w:r>
        <w:rPr>
          <w:noProof/>
        </w:rPr>
        <w:tab/>
        <w:t>lit. f) otrzymuje brzmienie:</w:t>
      </w:r>
    </w:p>
    <w:p>
      <w:pPr>
        <w:pStyle w:val="Point2"/>
        <w:ind w:left="1418"/>
        <w:rPr>
          <w:noProof/>
        </w:rPr>
      </w:pPr>
      <w:r>
        <w:rPr>
          <w:noProof/>
        </w:rPr>
        <w:t>„f)</w:t>
      </w:r>
      <w:r>
        <w:rPr>
          <w:noProof/>
        </w:rPr>
        <w:tab/>
        <w:t>»właściwe organy« oznaczają organy centralne i organy Unii (Eurojust, Europol, Prokuraturę Europejską, jednostkę centralną ETIAS utworzoną w ramach Europejskiej Agencji Straży Granicznej i Przybrzeżnej) posiadające kompetencje do uzyskania dostępu do systemu ECRIS-TCN lub przeszukiwania tego systemu zgodnie z niniejszym rozporządzeniem;”;</w:t>
      </w:r>
    </w:p>
    <w:p>
      <w:pPr>
        <w:pStyle w:val="Point1"/>
        <w:rPr>
          <w:noProof/>
        </w:rPr>
      </w:pPr>
      <w:r>
        <w:rPr>
          <w:noProof/>
        </w:rPr>
        <w:t>b)</w:t>
      </w:r>
      <w:r>
        <w:rPr>
          <w:noProof/>
        </w:rPr>
        <w:tab/>
        <w:t>dodaje się litery w brzmieniu:</w:t>
      </w:r>
    </w:p>
    <w:p>
      <w:pPr>
        <w:pStyle w:val="Point2"/>
        <w:ind w:left="1418"/>
        <w:rPr>
          <w:noProof/>
        </w:rPr>
      </w:pPr>
      <w:r>
        <w:rPr>
          <w:noProof/>
        </w:rPr>
        <w:t>„t) »przestępstwa terrorystyczne« oznaczają przestępstwa odpowiadające lub równoważne jednemu z przestępstw, o których mowa w dyrektywie Parlamentu Europejskiego i Rady (UE) 2017/541*;</w:t>
      </w:r>
    </w:p>
    <w:p>
      <w:pPr>
        <w:pStyle w:val="Point2"/>
        <w:ind w:left="1418"/>
        <w:rPr>
          <w:noProof/>
        </w:rPr>
      </w:pPr>
      <w:r>
        <w:rPr>
          <w:noProof/>
        </w:rPr>
        <w:t>u)</w:t>
      </w:r>
      <w:r>
        <w:rPr>
          <w:noProof/>
        </w:rPr>
        <w:tab/>
        <w:t>„poważne przestępstwo” oznacza przestępstwo odpowiadające lub równoważne jednemu z przestępstw, o których mowa w art. 2 ust. 2 decyzji ramowej Rady 2002/584/WSiSW**, jeżeli zgodnie z prawem krajowym podlega ono karze pozbawienia wolności lub środkowi zabezpieczającemu polegającemu na pozbawieniu wolności na okres co najmniej trzech lat.</w:t>
      </w:r>
    </w:p>
    <w:p>
      <w:pPr>
        <w:pStyle w:val="Point1"/>
        <w:rPr>
          <w:noProof/>
        </w:rPr>
      </w:pPr>
      <w:r>
        <w:rPr>
          <w:noProof/>
        </w:rPr>
        <w:t>_____________</w:t>
      </w:r>
    </w:p>
    <w:p>
      <w:pPr>
        <w:pStyle w:val="Point2"/>
        <w:ind w:left="1418" w:hanging="1"/>
        <w:rPr>
          <w:noProof/>
        </w:rPr>
      </w:pPr>
      <w:r>
        <w:rPr>
          <w:noProof/>
        </w:rPr>
        <w:t>* Dyrektywa Parlamentu Europejskiego i Rady (UE) 2017/541 z dnia 15 marca 2017 r. w sprawie zwalczania terroryzmu i zastępująca decyzję ramową Rady 2002/475/WSiSW oraz zmieniająca decyzję Rady 2005/671/WSiSW (Dz.U. L 88 z 31.3.2017, s. 6).</w:t>
      </w:r>
    </w:p>
    <w:p>
      <w:pPr>
        <w:pStyle w:val="Point2"/>
        <w:spacing w:before="0" w:after="0"/>
        <w:ind w:left="1418" w:hanging="1"/>
        <w:rPr>
          <w:noProof/>
        </w:rPr>
      </w:pPr>
      <w:r>
        <w:rPr>
          <w:noProof/>
        </w:rPr>
        <w:t xml:space="preserve">** Decyzja ramowa Rady 2002/584/WSiSW z dnia 13 czerwca 2002 r. w sprawie europejskiego nakazu aresztowania i procedury wydawania osób między państwami członkowskimi (Dz.U. L 190 z 18.7.2002, s. 1).”; </w:t>
      </w:r>
    </w:p>
    <w:p>
      <w:pPr>
        <w:pStyle w:val="Point2"/>
        <w:spacing w:before="0" w:after="0"/>
        <w:ind w:left="1418" w:hanging="1"/>
        <w:rPr>
          <w:noProof/>
        </w:rPr>
      </w:pPr>
    </w:p>
    <w:p>
      <w:pPr>
        <w:pStyle w:val="Point0"/>
        <w:rPr>
          <w:noProof/>
        </w:rPr>
      </w:pPr>
      <w:r>
        <w:rPr>
          <w:noProof/>
        </w:rPr>
        <w:t>4)</w:t>
      </w:r>
      <w:r>
        <w:rPr>
          <w:noProof/>
        </w:rPr>
        <w:tab/>
        <w:t xml:space="preserve">w art. 5 wprowadza się następujące zmiany: </w:t>
      </w:r>
    </w:p>
    <w:p>
      <w:pPr>
        <w:pStyle w:val="Point1"/>
        <w:rPr>
          <w:noProof/>
        </w:rPr>
      </w:pPr>
      <w:r>
        <w:rPr>
          <w:noProof/>
        </w:rPr>
        <w:t>a)</w:t>
      </w:r>
      <w:r>
        <w:rPr>
          <w:noProof/>
        </w:rPr>
        <w:tab/>
        <w:t>w ust. 1 dodaje się literę w brzmieniu:</w:t>
      </w:r>
    </w:p>
    <w:p>
      <w:pPr>
        <w:pStyle w:val="Point2"/>
        <w:ind w:left="1418"/>
        <w:rPr>
          <w:noProof/>
        </w:rPr>
      </w:pPr>
      <w:r>
        <w:rPr>
          <w:noProof/>
        </w:rPr>
        <w:t>„c)</w:t>
      </w:r>
      <w:r>
        <w:rPr>
          <w:noProof/>
        </w:rPr>
        <w:tab/>
        <w:t xml:space="preserve">w stosownych przypadkach, oznaczenie wskazujące, że dana osoba została skazana za przestępstwo terrorystyczne lub inne poważne przestępstwo, a w takich przypadkach kod skazującego państwa członkowskiego lub państw członkowskich.”; </w:t>
      </w:r>
    </w:p>
    <w:p>
      <w:pPr>
        <w:pStyle w:val="Point1"/>
        <w:rPr>
          <w:noProof/>
        </w:rPr>
      </w:pPr>
      <w:r>
        <w:rPr>
          <w:noProof/>
        </w:rPr>
        <w:t>b)</w:t>
      </w:r>
      <w:r>
        <w:rPr>
          <w:noProof/>
        </w:rPr>
        <w:tab/>
        <w:t>ust. 1a otrzymuje brzmienie:</w:t>
      </w:r>
    </w:p>
    <w:p>
      <w:pPr>
        <w:pStyle w:val="Point2"/>
        <w:spacing w:before="0" w:after="0"/>
        <w:ind w:left="1418"/>
        <w:rPr>
          <w:noProof/>
        </w:rPr>
      </w:pPr>
      <w:r>
        <w:rPr>
          <w:noProof/>
        </w:rPr>
        <w:t>„1a.</w:t>
      </w:r>
      <w:r>
        <w:rPr>
          <w:noProof/>
        </w:rPr>
        <w:tab/>
        <w:t xml:space="preserve">[CIR zawiera dane, o których mowa w ust. 1 lit. b) i c) oraz w ust. 2, a także następujące dane, o których mowa w ust. 1 lit. a): nazwisko (nazwisko rodowe); imię (imiona) (imiona nadane); data urodzenia; miejsce urodzenia (miejscowość i państwo): obywatelstwo lub obywatelstwa; płeć; rodzaj i numer dokumentu lub dokumentów podróży danej osoby, jak również nazwa organu wydającego ten dokument lub te dokumenty oraz, w stosownych przypadkach, poprzednie imiona i nazwiska, pseudonimy lub przydomki, a także, w przypadkach, o których mowa w ust. 1 lit. c), kod skazującego państwa członkowskiego. Pozostałe dane ECRIS-TCN przechowuje się w systemie centralnym ECRIS-TCN.]”; </w:t>
      </w:r>
    </w:p>
    <w:p>
      <w:pPr>
        <w:pStyle w:val="Point2"/>
        <w:spacing w:before="0" w:after="0"/>
        <w:rPr>
          <w:noProof/>
          <w:lang w:eastAsia="en-GB"/>
        </w:rPr>
      </w:pPr>
    </w:p>
    <w:p>
      <w:pPr>
        <w:pStyle w:val="Point0"/>
        <w:rPr>
          <w:rFonts w:eastAsia="Times New Roman"/>
          <w:noProof/>
        </w:rPr>
      </w:pPr>
      <w:r>
        <w:rPr>
          <w:noProof/>
        </w:rPr>
        <w:t>5)</w:t>
      </w:r>
      <w:r>
        <w:rPr>
          <w:noProof/>
        </w:rPr>
        <w:tab/>
        <w:t>art. 7 ust. 5 otrzymuje brzmienie:</w:t>
      </w:r>
    </w:p>
    <w:p>
      <w:pPr>
        <w:pStyle w:val="Point1"/>
        <w:spacing w:before="0" w:after="0"/>
        <w:rPr>
          <w:noProof/>
        </w:rPr>
      </w:pPr>
      <w:r>
        <w:rPr>
          <w:noProof/>
        </w:rPr>
        <w:t>„5.</w:t>
      </w:r>
      <w:r>
        <w:rPr>
          <w:noProof/>
        </w:rPr>
        <w:tab/>
        <w:t>W przypadku trafienia system centralny [lub CIR] automatycznie przekazuje właściwemu organowi informacje na temat państwa członkowskiego lub państw członkowskich posiadających informacje z rejestrów karnych dotyczące danego obywatela państwa trzeciego, wraz z powiązanymi numerami referencyjnymi, o których mowa w art. 5 ust. 1, oraz wszelkimi powiązanymi informacjami dotyczącymi tożsamości. Takie informacje dotyczące tożsamości są wykorzystywane wyłącznie do celów weryfikacji tożsamości danego obywatela państwa trzeciego. Wynik przeszukiwania systemu centralnego może być wykorzystywany wyłącznie do celów złożenia wniosku zgodnie z art. 6 decyzji ramowej 2009/315/WSiSW, wniosku, o którym mowa w art. 16 ust. 4 niniejszego rozporządzenia, lub na potrzeby zarządzania granicami [oraz ułatwiania i wspomagania w prawidłowej identyfikacji osób zarejestrowanych w systemie ECRIS-TCN].”;</w:t>
      </w:r>
    </w:p>
    <w:p>
      <w:pPr>
        <w:pStyle w:val="Point1"/>
        <w:spacing w:before="0" w:after="0"/>
        <w:rPr>
          <w:noProof/>
          <w:lang w:eastAsia="en-GB"/>
        </w:rPr>
      </w:pPr>
    </w:p>
    <w:p>
      <w:pPr>
        <w:pStyle w:val="Point0"/>
        <w:rPr>
          <w:noProof/>
        </w:rPr>
      </w:pPr>
      <w:r>
        <w:rPr>
          <w:noProof/>
        </w:rPr>
        <w:t>6)</w:t>
      </w:r>
      <w:r>
        <w:rPr>
          <w:noProof/>
        </w:rPr>
        <w:tab/>
        <w:t>w rozdziale II dodaje się artykuł w brzmieniu:</w:t>
      </w:r>
    </w:p>
    <w:p>
      <w:pPr>
        <w:pStyle w:val="Titrearticle"/>
        <w:rPr>
          <w:rFonts w:eastAsia="Times New Roman"/>
          <w:b/>
          <w:noProof/>
        </w:rPr>
      </w:pPr>
      <w:r>
        <w:rPr>
          <w:noProof/>
        </w:rPr>
        <w:t>„Artykuł 7a</w:t>
      </w:r>
      <w:r>
        <w:rPr>
          <w:noProof/>
        </w:rPr>
        <w:br/>
      </w:r>
      <w:r>
        <w:rPr>
          <w:b/>
          <w:noProof/>
        </w:rPr>
        <w:t>Wykorzystanie systemu ECRIS-TCN do weryfikacji ETIAS</w:t>
      </w:r>
    </w:p>
    <w:p>
      <w:pPr>
        <w:pStyle w:val="ManualNumPar1"/>
        <w:rPr>
          <w:rFonts w:eastAsia="Times New Roman"/>
          <w:noProof/>
        </w:rPr>
      </w:pPr>
      <w:r>
        <w:t>1.</w:t>
      </w:r>
      <w:r>
        <w:tab/>
      </w:r>
      <w:r>
        <w:rPr>
          <w:noProof/>
        </w:rPr>
        <w:t>Jednostka centralna ETIAS, ustanowiona w Europejskiej Agencji Straży Granicznej i Przybrzeżnej na mocy art. 7 rozporządzenia (UE) 2018/1240, posiada, do celów wykonywania zadań powierzonych jej rozporządzeniem (UE) 2018/1240, prawo dostępu do odpowiednich danych ECRIS-TCN zawartych w [CIR] i ich przeszukiwania. Ma ona jednak dostęp wyłącznie do rekordów danych, do których dodano oznaczenie zgodnie z art. 5 ust. 1 lit. c) niniejszego rozporządzenia.</w:t>
      </w:r>
    </w:p>
    <w:p>
      <w:pPr>
        <w:pStyle w:val="ManualNumPar1"/>
        <w:rPr>
          <w:noProof/>
        </w:rPr>
      </w:pPr>
      <w:r>
        <w:t>2.</w:t>
      </w:r>
      <w:r>
        <w:tab/>
      </w:r>
      <w:r>
        <w:rPr>
          <w:noProof/>
        </w:rPr>
        <w:t>[CIR] jest połączone z narzędziem, o którym mowa w art. 11 rozporządzenia (UE) 2018/1240, co umożliwia automatyczne przetwarzanie, o którym mowa w tym artykule.</w:t>
      </w:r>
    </w:p>
    <w:p>
      <w:pPr>
        <w:pStyle w:val="ManualNumPar1"/>
        <w:rPr>
          <w:noProof/>
        </w:rPr>
      </w:pPr>
      <w:r>
        <w:t>3.</w:t>
      </w:r>
      <w:r>
        <w:tab/>
      </w:r>
      <w:r>
        <w:rPr>
          <w:noProof/>
        </w:rPr>
        <w:t>Nie naruszając przepisów art. 24 rozporządzenia (UE) 2018/1240, automatyczne przetwarzanie, o którym mowa w art. 11 rozporządzenia (UE) 2018/1240, umożliwia przeprowadzenie weryfikacji przewidzianych w art. 20 oraz dalszych weryfikacji zgodnie z art. 22 i 26 tego rozporządzenia.</w:t>
      </w:r>
    </w:p>
    <w:p>
      <w:pPr>
        <w:pStyle w:val="Point1"/>
        <w:spacing w:before="0" w:after="0"/>
        <w:ind w:left="851" w:firstLine="1"/>
        <w:rPr>
          <w:noProof/>
        </w:rPr>
      </w:pPr>
      <w:r>
        <w:rPr>
          <w:noProof/>
        </w:rPr>
        <w:t xml:space="preserve">Do celów przystąpienia do weryfikacji, o których mowa w art. 20 ust. 2 lit. n) rozporządzenia (UE) 2018/1240, system centralny ETIAS korzysta z narzędzia, o którym mowa w art. 11 tego rozporządzenia (UE) 2018/1240, aby porównać dane w ETIAS z danymi oznaczonymi w ECRIS-TCN [w CIR], na podstawie art. 5 ust. 1 lit. c) tego rozporządzenia i zgodnie z art. 11 ust. 8 rozporządzenia 2018/1240, stosując wykaz odpowiedników przedstawiony w tabeli w załączniku II.”; </w:t>
      </w:r>
    </w:p>
    <w:p>
      <w:pPr>
        <w:pStyle w:val="Point1"/>
        <w:spacing w:before="0" w:after="0"/>
        <w:ind w:left="851" w:firstLine="1"/>
        <w:rPr>
          <w:noProof/>
        </w:rPr>
      </w:pPr>
    </w:p>
    <w:p>
      <w:pPr>
        <w:pStyle w:val="Point0"/>
        <w:rPr>
          <w:noProof/>
        </w:rPr>
      </w:pPr>
      <w:r>
        <w:rPr>
          <w:noProof/>
        </w:rPr>
        <w:t>7)</w:t>
      </w:r>
      <w:r>
        <w:rPr>
          <w:noProof/>
        </w:rPr>
        <w:tab/>
        <w:t>art. 8 ust. 2 otrzymuje brzmienie:</w:t>
      </w:r>
    </w:p>
    <w:p>
      <w:pPr>
        <w:pStyle w:val="Point1"/>
        <w:spacing w:before="0" w:after="0"/>
        <w:rPr>
          <w:noProof/>
        </w:rPr>
      </w:pPr>
      <w:r>
        <w:rPr>
          <w:noProof/>
        </w:rPr>
        <w:t xml:space="preserve">„2. </w:t>
      </w:r>
      <w:r>
        <w:rPr>
          <w:noProof/>
        </w:rPr>
        <w:tab/>
        <w:t>Po upływie okresu przechowywania danych, o którym mowa w ust. 1, organ centralny skazującego państwa członkowskiego usuwa z systemu centralnego [i CIR] rekord danych, w tym wszelkie odciski palców, wizerunki twarzy lub oznaczenia, o których mowa w art. 5 ust. 1 lit. c). W przypadkach, w których dane dotyczące skazania za przestępstwo terrorystyczne lub inną formę poważnego przestępstwa, o których mowa w art. 5 ust. 1 lit. c), usuwa się z krajowego rejestru karnego, ale przechowuje się informacje dotyczące innych wyroków skazujących tej samej osoby, usuwa się z rekordu danych jedynie oznaczenie, o którym mowa w art. 5 ust. 1 lit. c). Usunięcie odbywa się w miarę możliwości automatycznie, a w każdym razie nie później niż miesiąc po upływie okresu przechowywania danych.”;</w:t>
      </w:r>
    </w:p>
    <w:p>
      <w:pPr>
        <w:pStyle w:val="Point1"/>
        <w:spacing w:before="0" w:after="0"/>
        <w:rPr>
          <w:noProof/>
        </w:rPr>
      </w:pPr>
    </w:p>
    <w:p>
      <w:pPr>
        <w:pStyle w:val="Point0"/>
        <w:rPr>
          <w:i/>
          <w:noProof/>
        </w:rPr>
      </w:pPr>
      <w:r>
        <w:rPr>
          <w:noProof/>
        </w:rPr>
        <w:t>8)</w:t>
      </w:r>
      <w:r>
        <w:rPr>
          <w:noProof/>
        </w:rPr>
        <w:tab/>
        <w:t>art. 22 ust. 1 otrzymuje brzmienie:</w:t>
      </w:r>
    </w:p>
    <w:p>
      <w:pPr>
        <w:pStyle w:val="Point1"/>
        <w:spacing w:before="0" w:after="0"/>
        <w:rPr>
          <w:noProof/>
        </w:rPr>
      </w:pPr>
      <w:r>
        <w:rPr>
          <w:noProof/>
        </w:rPr>
        <w:t xml:space="preserve">„1. </w:t>
      </w:r>
      <w:r>
        <w:rPr>
          <w:noProof/>
        </w:rPr>
        <w:tab/>
        <w:t>Dane zawarte w systemie centralnym [i CIR] są przetwarzane wyłącznie do celów identyfikacji państwa członkowskiego lub państw członkowskich posiadających informacje z rejestrów karnych dotyczące obywateli państw trzecich, jak również na potrzeby zarządzania granicami [oraz ułatwiania i wspomagania w prawidłowej identyfikacji osób zarejestrowanych w systemie ECRIS-TCN].”;</w:t>
      </w:r>
    </w:p>
    <w:p>
      <w:pPr>
        <w:pStyle w:val="Point1"/>
        <w:spacing w:before="0" w:after="0"/>
        <w:rPr>
          <w:noProof/>
        </w:rPr>
      </w:pPr>
    </w:p>
    <w:p>
      <w:pPr>
        <w:pStyle w:val="Point0"/>
        <w:rPr>
          <w:noProof/>
        </w:rPr>
      </w:pPr>
      <w:r>
        <w:rPr>
          <w:noProof/>
        </w:rPr>
        <w:t>9)</w:t>
      </w:r>
      <w:r>
        <w:rPr>
          <w:noProof/>
        </w:rPr>
        <w:tab/>
        <w:t>art. 30 ust. 4 akapit drugi otrzymuje brzmienie:</w:t>
      </w:r>
    </w:p>
    <w:p>
      <w:pPr>
        <w:pStyle w:val="Point1"/>
        <w:spacing w:before="0" w:after="0"/>
        <w:ind w:left="993" w:hanging="143"/>
        <w:rPr>
          <w:noProof/>
        </w:rPr>
      </w:pPr>
      <w:r>
        <w:rPr>
          <w:noProof/>
        </w:rPr>
        <w:t>„Co miesiąc eu-LISA przedkłada Komisji statystyki, niepozwalające na indywidualną identyfikację, dotyczące rejestrowania, przechowywania i wymiany informacji pobranych z rejestrów karnych za pośrednictwem systemu ECRIS-TCN i oprogramowania wzorcowego ECRIS, w tym na temat rekordów danych zawierających oznaczenie zgodnie z art. 5 ust. 1 lit. c).”;</w:t>
      </w:r>
    </w:p>
    <w:p>
      <w:pPr>
        <w:pStyle w:val="Point1"/>
        <w:spacing w:before="0" w:after="0"/>
        <w:ind w:left="851" w:hanging="1"/>
        <w:rPr>
          <w:noProof/>
        </w:rPr>
      </w:pPr>
    </w:p>
    <w:p>
      <w:pPr>
        <w:pStyle w:val="Point0"/>
        <w:rPr>
          <w:noProof/>
        </w:rPr>
      </w:pPr>
      <w:r>
        <w:rPr>
          <w:noProof/>
        </w:rPr>
        <w:t>10)</w:t>
      </w:r>
      <w:r>
        <w:rPr>
          <w:noProof/>
        </w:rPr>
        <w:tab/>
        <w:t>dodaje się artykuł w brzmieniu:</w:t>
      </w:r>
    </w:p>
    <w:p>
      <w:pPr>
        <w:pStyle w:val="Titrearticle"/>
        <w:rPr>
          <w:b/>
          <w:bCs/>
          <w:noProof/>
        </w:rPr>
      </w:pPr>
      <w:r>
        <w:rPr>
          <w:noProof/>
        </w:rPr>
        <w:t>„Artykuł 29a</w:t>
      </w:r>
      <w:r>
        <w:rPr>
          <w:noProof/>
        </w:rPr>
        <w:br/>
      </w:r>
      <w:r>
        <w:rPr>
          <w:b/>
          <w:bCs/>
          <w:noProof/>
        </w:rPr>
        <w:t>Prowadzenie rejestrów do celów ETIAS</w:t>
      </w:r>
    </w:p>
    <w:p>
      <w:pPr>
        <w:autoSpaceDE w:val="0"/>
        <w:autoSpaceDN w:val="0"/>
        <w:adjustRightInd w:val="0"/>
        <w:ind w:left="284"/>
        <w:rPr>
          <w:noProof/>
        </w:rPr>
      </w:pPr>
      <w:r>
        <w:rPr>
          <w:noProof/>
        </w:rPr>
        <w:t>Do celów wyszukiwania danych, o którym mowa w art. 7a niniejszego rozporządzenia, w rejestrze wprowadza się zapis dotyczący każdej operacji przetwarzania danych przeprowadzonej w ramach [CIR] i ETIAS zgodnie z art. 69 rozporządzenia (UE) 2018/1240.”;</w:t>
      </w:r>
    </w:p>
    <w:p>
      <w:pPr>
        <w:autoSpaceDE w:val="0"/>
        <w:autoSpaceDN w:val="0"/>
        <w:adjustRightInd w:val="0"/>
        <w:spacing w:before="0" w:after="0"/>
        <w:ind w:left="284"/>
        <w:rPr>
          <w:noProof/>
        </w:rPr>
      </w:pPr>
    </w:p>
    <w:p>
      <w:pPr>
        <w:pStyle w:val="Point0"/>
        <w:rPr>
          <w:noProof/>
        </w:rPr>
      </w:pPr>
      <w:r>
        <w:rPr>
          <w:noProof/>
        </w:rPr>
        <w:t>11)</w:t>
      </w:r>
      <w:r>
        <w:rPr>
          <w:noProof/>
        </w:rPr>
        <w:tab/>
        <w:t>dodaje się załącznik w brzmieniu:</w:t>
      </w:r>
    </w:p>
    <w:p>
      <w:pPr>
        <w:autoSpaceDE w:val="0"/>
        <w:autoSpaceDN w:val="0"/>
        <w:adjustRightInd w:val="0"/>
        <w:spacing w:after="0"/>
        <w:rPr>
          <w:noProof/>
        </w:rPr>
      </w:pPr>
      <w:r>
        <w:rPr>
          <w:noProof/>
        </w:rPr>
        <w:t>„Załącznik II:</w:t>
      </w:r>
    </w:p>
    <w:p>
      <w:pPr>
        <w:autoSpaceDE w:val="0"/>
        <w:autoSpaceDN w:val="0"/>
        <w:adjustRightInd w:val="0"/>
        <w:rPr>
          <w:noProof/>
        </w:rPr>
      </w:pPr>
      <w:r>
        <w:rPr>
          <w:noProof/>
        </w:rPr>
        <w:t>Tabela odpowiedników, o której mowa w art. 7a</w:t>
      </w:r>
    </w:p>
    <w:tbl>
      <w:tblPr>
        <w:tblStyle w:val="TableGrid"/>
        <w:tblW w:w="8224" w:type="dxa"/>
        <w:tblLook w:val="04A0" w:firstRow="1" w:lastRow="0" w:firstColumn="1" w:lastColumn="0" w:noHBand="0" w:noVBand="1"/>
      </w:tblPr>
      <w:tblGrid>
        <w:gridCol w:w="4208"/>
        <w:gridCol w:w="4016"/>
      </w:tblGrid>
      <w:tr>
        <w:tc>
          <w:tcPr>
            <w:tcW w:w="4208" w:type="dxa"/>
            <w:hideMark/>
          </w:tcPr>
          <w:p>
            <w:pPr>
              <w:autoSpaceDE w:val="0"/>
              <w:autoSpaceDN w:val="0"/>
              <w:spacing w:before="0" w:after="0"/>
              <w:jc w:val="center"/>
              <w:rPr>
                <w:rFonts w:eastAsia="Calibri"/>
                <w:b/>
                <w:bCs/>
                <w:i/>
                <w:iCs/>
                <w:noProof/>
              </w:rPr>
            </w:pPr>
            <w:r>
              <w:rPr>
                <w:b/>
                <w:bCs/>
                <w:i/>
                <w:iCs/>
                <w:noProof/>
              </w:rPr>
              <w:t>Dane na podstawie art. 17 ust. 2 rozporządzenia 2018/1240 przesyłane przez system centralny ETIAS</w:t>
            </w:r>
          </w:p>
        </w:tc>
        <w:tc>
          <w:tcPr>
            <w:tcW w:w="4016" w:type="dxa"/>
            <w:hideMark/>
          </w:tcPr>
          <w:p>
            <w:pPr>
              <w:autoSpaceDE w:val="0"/>
              <w:autoSpaceDN w:val="0"/>
              <w:spacing w:before="0" w:after="0"/>
              <w:jc w:val="center"/>
              <w:rPr>
                <w:rFonts w:eastAsia="Calibri"/>
                <w:b/>
                <w:bCs/>
                <w:i/>
                <w:iCs/>
                <w:noProof/>
              </w:rPr>
            </w:pPr>
            <w:r>
              <w:rPr>
                <w:b/>
                <w:bCs/>
                <w:i/>
                <w:iCs/>
                <w:noProof/>
              </w:rPr>
              <w:t>Odpowiednie dane ECRIS-TCN zawarte w [CIR] określone w art. 5 pkt 1 niniejszego rozporządzenia, w odniesieniu do których należy sprawdzić dane ETIAS</w:t>
            </w:r>
          </w:p>
        </w:tc>
      </w:tr>
      <w:tr>
        <w:tc>
          <w:tcPr>
            <w:tcW w:w="4208" w:type="dxa"/>
            <w:hideMark/>
          </w:tcPr>
          <w:p>
            <w:pPr>
              <w:autoSpaceDE w:val="0"/>
              <w:autoSpaceDN w:val="0"/>
              <w:spacing w:before="0" w:after="0"/>
              <w:rPr>
                <w:rFonts w:eastAsia="Calibri"/>
                <w:noProof/>
              </w:rPr>
            </w:pPr>
            <w:r>
              <w:rPr>
                <w:noProof/>
              </w:rPr>
              <w:t>nazwisko (nazwisko rodowe)</w:t>
            </w:r>
          </w:p>
        </w:tc>
        <w:tc>
          <w:tcPr>
            <w:tcW w:w="4016" w:type="dxa"/>
            <w:hideMark/>
          </w:tcPr>
          <w:p>
            <w:pPr>
              <w:autoSpaceDE w:val="0"/>
              <w:autoSpaceDN w:val="0"/>
              <w:spacing w:before="0" w:after="0"/>
              <w:rPr>
                <w:rFonts w:eastAsia="Calibri"/>
                <w:noProof/>
              </w:rPr>
            </w:pPr>
            <w:r>
              <w:rPr>
                <w:noProof/>
              </w:rPr>
              <w:t>nazwisko (nazwisko rodowe)</w:t>
            </w:r>
          </w:p>
        </w:tc>
      </w:tr>
      <w:tr>
        <w:tc>
          <w:tcPr>
            <w:tcW w:w="4208" w:type="dxa"/>
            <w:hideMark/>
          </w:tcPr>
          <w:p>
            <w:pPr>
              <w:autoSpaceDE w:val="0"/>
              <w:autoSpaceDN w:val="0"/>
              <w:spacing w:before="0" w:after="0"/>
              <w:rPr>
                <w:rFonts w:eastAsia="Calibri"/>
                <w:noProof/>
              </w:rPr>
            </w:pPr>
            <w:r>
              <w:rPr>
                <w:noProof/>
              </w:rPr>
              <w:t>nazwisko przy urodzeniu</w:t>
            </w:r>
          </w:p>
        </w:tc>
        <w:tc>
          <w:tcPr>
            <w:tcW w:w="4016" w:type="dxa"/>
            <w:hideMark/>
          </w:tcPr>
          <w:p>
            <w:pPr>
              <w:autoSpaceDE w:val="0"/>
              <w:autoSpaceDN w:val="0"/>
              <w:spacing w:before="0" w:after="0"/>
              <w:rPr>
                <w:rFonts w:eastAsia="Calibri"/>
                <w:noProof/>
              </w:rPr>
            </w:pPr>
            <w:r>
              <w:rPr>
                <w:noProof/>
              </w:rPr>
              <w:t>wcześniejsze imiona</w:t>
            </w:r>
          </w:p>
        </w:tc>
      </w:tr>
      <w:tr>
        <w:tc>
          <w:tcPr>
            <w:tcW w:w="4208" w:type="dxa"/>
            <w:hideMark/>
          </w:tcPr>
          <w:p>
            <w:pPr>
              <w:autoSpaceDE w:val="0"/>
              <w:autoSpaceDN w:val="0"/>
              <w:spacing w:before="0" w:after="0"/>
              <w:rPr>
                <w:rFonts w:eastAsia="Calibri"/>
                <w:noProof/>
              </w:rPr>
            </w:pPr>
            <w:r>
              <w:rPr>
                <w:noProof/>
              </w:rPr>
              <w:t>imię (imiona) (imiona nadane)</w:t>
            </w:r>
          </w:p>
        </w:tc>
        <w:tc>
          <w:tcPr>
            <w:tcW w:w="4016" w:type="dxa"/>
            <w:hideMark/>
          </w:tcPr>
          <w:p>
            <w:pPr>
              <w:autoSpaceDE w:val="0"/>
              <w:autoSpaceDN w:val="0"/>
              <w:spacing w:before="0" w:after="0"/>
              <w:rPr>
                <w:rFonts w:eastAsia="Calibri"/>
                <w:noProof/>
              </w:rPr>
            </w:pPr>
            <w:r>
              <w:rPr>
                <w:noProof/>
              </w:rPr>
              <w:t>imiona</w:t>
            </w:r>
          </w:p>
        </w:tc>
      </w:tr>
      <w:tr>
        <w:tc>
          <w:tcPr>
            <w:tcW w:w="4208" w:type="dxa"/>
            <w:hideMark/>
          </w:tcPr>
          <w:p>
            <w:pPr>
              <w:autoSpaceDE w:val="0"/>
              <w:autoSpaceDN w:val="0"/>
              <w:spacing w:before="0" w:after="0"/>
              <w:rPr>
                <w:rFonts w:eastAsia="Calibri"/>
                <w:noProof/>
              </w:rPr>
            </w:pPr>
            <w:r>
              <w:rPr>
                <w:noProof/>
              </w:rPr>
              <w:t>inne imiona i nazwiska (pseudonimy, pseudonimy artystyczne, imiona i nazwiska zwyczajowe)</w:t>
            </w:r>
          </w:p>
        </w:tc>
        <w:tc>
          <w:tcPr>
            <w:tcW w:w="4016" w:type="dxa"/>
            <w:hideMark/>
          </w:tcPr>
          <w:p>
            <w:pPr>
              <w:autoSpaceDE w:val="0"/>
              <w:autoSpaceDN w:val="0"/>
              <w:spacing w:before="0" w:after="0"/>
              <w:rPr>
                <w:rFonts w:eastAsia="Calibri"/>
                <w:noProof/>
              </w:rPr>
            </w:pPr>
            <w:r>
              <w:rPr>
                <w:noProof/>
              </w:rPr>
              <w:t>pseudonimy lub przydomki</w:t>
            </w:r>
          </w:p>
        </w:tc>
      </w:tr>
      <w:tr>
        <w:tc>
          <w:tcPr>
            <w:tcW w:w="4208" w:type="dxa"/>
            <w:hideMark/>
          </w:tcPr>
          <w:p>
            <w:pPr>
              <w:autoSpaceDE w:val="0"/>
              <w:autoSpaceDN w:val="0"/>
              <w:spacing w:before="0" w:after="0"/>
              <w:rPr>
                <w:rFonts w:eastAsia="Calibri"/>
                <w:noProof/>
              </w:rPr>
            </w:pPr>
            <w:r>
              <w:rPr>
                <w:noProof/>
              </w:rPr>
              <w:t>data urodzenia</w:t>
            </w:r>
          </w:p>
        </w:tc>
        <w:tc>
          <w:tcPr>
            <w:tcW w:w="4016" w:type="dxa"/>
            <w:hideMark/>
          </w:tcPr>
          <w:p>
            <w:pPr>
              <w:autoSpaceDE w:val="0"/>
              <w:autoSpaceDN w:val="0"/>
              <w:spacing w:before="0" w:after="0"/>
              <w:rPr>
                <w:rFonts w:eastAsia="Calibri"/>
                <w:noProof/>
              </w:rPr>
            </w:pPr>
            <w:r>
              <w:rPr>
                <w:noProof/>
              </w:rPr>
              <w:t>data urodzenia</w:t>
            </w:r>
          </w:p>
        </w:tc>
      </w:tr>
      <w:tr>
        <w:tc>
          <w:tcPr>
            <w:tcW w:w="4208" w:type="dxa"/>
            <w:hideMark/>
          </w:tcPr>
          <w:p>
            <w:pPr>
              <w:autoSpaceDE w:val="0"/>
              <w:autoSpaceDN w:val="0"/>
              <w:spacing w:before="0" w:after="0"/>
              <w:rPr>
                <w:rFonts w:eastAsia="Calibri"/>
                <w:noProof/>
              </w:rPr>
            </w:pPr>
            <w:r>
              <w:rPr>
                <w:noProof/>
              </w:rPr>
              <w:t xml:space="preserve">miejsce urodzenia </w:t>
            </w:r>
          </w:p>
        </w:tc>
        <w:tc>
          <w:tcPr>
            <w:tcW w:w="4016" w:type="dxa"/>
            <w:hideMark/>
          </w:tcPr>
          <w:p>
            <w:pPr>
              <w:autoSpaceDE w:val="0"/>
              <w:autoSpaceDN w:val="0"/>
              <w:spacing w:before="0" w:after="0"/>
              <w:rPr>
                <w:rFonts w:eastAsia="Calibri"/>
                <w:noProof/>
              </w:rPr>
            </w:pPr>
            <w:r>
              <w:rPr>
                <w:noProof/>
              </w:rPr>
              <w:t>miejsce urodzenia (miejscowość i państwo)</w:t>
            </w:r>
          </w:p>
        </w:tc>
      </w:tr>
      <w:tr>
        <w:tc>
          <w:tcPr>
            <w:tcW w:w="4208" w:type="dxa"/>
            <w:hideMark/>
          </w:tcPr>
          <w:p>
            <w:pPr>
              <w:autoSpaceDE w:val="0"/>
              <w:autoSpaceDN w:val="0"/>
              <w:spacing w:before="0" w:after="0"/>
              <w:rPr>
                <w:rFonts w:eastAsia="Calibri"/>
                <w:noProof/>
              </w:rPr>
            </w:pPr>
            <w:r>
              <w:rPr>
                <w:noProof/>
              </w:rPr>
              <w:t>państwo urodzenia</w:t>
            </w:r>
          </w:p>
        </w:tc>
        <w:tc>
          <w:tcPr>
            <w:tcW w:w="4016" w:type="dxa"/>
            <w:hideMark/>
          </w:tcPr>
          <w:p>
            <w:pPr>
              <w:autoSpaceDE w:val="0"/>
              <w:autoSpaceDN w:val="0"/>
              <w:spacing w:before="0" w:after="0"/>
              <w:rPr>
                <w:rFonts w:eastAsia="Calibri"/>
                <w:noProof/>
              </w:rPr>
            </w:pPr>
            <w:r>
              <w:rPr>
                <w:noProof/>
              </w:rPr>
              <w:t>miejsce urodzenia (miejscowość i państwo)</w:t>
            </w:r>
          </w:p>
        </w:tc>
      </w:tr>
      <w:tr>
        <w:tc>
          <w:tcPr>
            <w:tcW w:w="4208" w:type="dxa"/>
            <w:hideMark/>
          </w:tcPr>
          <w:p>
            <w:pPr>
              <w:autoSpaceDE w:val="0"/>
              <w:autoSpaceDN w:val="0"/>
              <w:spacing w:before="0" w:after="0"/>
              <w:rPr>
                <w:rFonts w:eastAsia="Calibri"/>
                <w:noProof/>
              </w:rPr>
            </w:pPr>
            <w:r>
              <w:rPr>
                <w:noProof/>
              </w:rPr>
              <w:t>płeć</w:t>
            </w:r>
          </w:p>
        </w:tc>
        <w:tc>
          <w:tcPr>
            <w:tcW w:w="4016" w:type="dxa"/>
            <w:hideMark/>
          </w:tcPr>
          <w:p>
            <w:pPr>
              <w:autoSpaceDE w:val="0"/>
              <w:autoSpaceDN w:val="0"/>
              <w:spacing w:before="0" w:after="0"/>
              <w:rPr>
                <w:rFonts w:eastAsia="Calibri"/>
                <w:noProof/>
              </w:rPr>
            </w:pPr>
            <w:r>
              <w:rPr>
                <w:noProof/>
              </w:rPr>
              <w:t>płeć</w:t>
            </w:r>
          </w:p>
        </w:tc>
      </w:tr>
      <w:tr>
        <w:tc>
          <w:tcPr>
            <w:tcW w:w="4208" w:type="dxa"/>
            <w:hideMark/>
          </w:tcPr>
          <w:p>
            <w:pPr>
              <w:autoSpaceDE w:val="0"/>
              <w:autoSpaceDN w:val="0"/>
              <w:spacing w:before="0" w:after="0"/>
              <w:rPr>
                <w:rFonts w:eastAsia="Calibri"/>
                <w:noProof/>
              </w:rPr>
            </w:pPr>
            <w:r>
              <w:rPr>
                <w:noProof/>
              </w:rPr>
              <w:t>aktualne obywatelstwo</w:t>
            </w:r>
          </w:p>
        </w:tc>
        <w:tc>
          <w:tcPr>
            <w:tcW w:w="4016" w:type="dxa"/>
            <w:hideMark/>
          </w:tcPr>
          <w:p>
            <w:pPr>
              <w:autoSpaceDE w:val="0"/>
              <w:autoSpaceDN w:val="0"/>
              <w:spacing w:before="0" w:after="0"/>
              <w:rPr>
                <w:rFonts w:eastAsia="Calibri"/>
                <w:noProof/>
              </w:rPr>
            </w:pPr>
            <w:r>
              <w:rPr>
                <w:noProof/>
              </w:rPr>
              <w:t>obywatelstwo lub obywatelstwa</w:t>
            </w:r>
          </w:p>
        </w:tc>
      </w:tr>
      <w:tr>
        <w:trPr>
          <w:trHeight w:val="74"/>
        </w:trPr>
        <w:tc>
          <w:tcPr>
            <w:tcW w:w="4208" w:type="dxa"/>
            <w:hideMark/>
          </w:tcPr>
          <w:p>
            <w:pPr>
              <w:autoSpaceDE w:val="0"/>
              <w:autoSpaceDN w:val="0"/>
              <w:spacing w:before="0" w:after="0"/>
              <w:rPr>
                <w:rFonts w:eastAsia="Calibri"/>
                <w:noProof/>
              </w:rPr>
            </w:pPr>
            <w:r>
              <w:rPr>
                <w:noProof/>
              </w:rPr>
              <w:t>inne obywatelstwa, jeśli je posiada</w:t>
            </w:r>
          </w:p>
        </w:tc>
        <w:tc>
          <w:tcPr>
            <w:tcW w:w="4016" w:type="dxa"/>
            <w:hideMark/>
          </w:tcPr>
          <w:p>
            <w:pPr>
              <w:autoSpaceDE w:val="0"/>
              <w:autoSpaceDN w:val="0"/>
              <w:spacing w:before="0" w:after="0"/>
              <w:rPr>
                <w:rFonts w:eastAsia="Calibri"/>
                <w:noProof/>
              </w:rPr>
            </w:pPr>
            <w:r>
              <w:rPr>
                <w:noProof/>
              </w:rPr>
              <w:t>obywatelstwo lub obywatelstwa</w:t>
            </w:r>
          </w:p>
        </w:tc>
      </w:tr>
      <w:tr>
        <w:tc>
          <w:tcPr>
            <w:tcW w:w="4208" w:type="dxa"/>
            <w:hideMark/>
          </w:tcPr>
          <w:p>
            <w:pPr>
              <w:autoSpaceDE w:val="0"/>
              <w:autoSpaceDN w:val="0"/>
              <w:spacing w:before="0" w:after="0"/>
              <w:rPr>
                <w:rFonts w:eastAsia="Calibri"/>
                <w:noProof/>
              </w:rPr>
            </w:pPr>
            <w:r>
              <w:rPr>
                <w:noProof/>
              </w:rPr>
              <w:t>rodzaj dokumentu podróży</w:t>
            </w:r>
          </w:p>
        </w:tc>
        <w:tc>
          <w:tcPr>
            <w:tcW w:w="4016" w:type="dxa"/>
            <w:hideMark/>
          </w:tcPr>
          <w:p>
            <w:pPr>
              <w:autoSpaceDE w:val="0"/>
              <w:autoSpaceDN w:val="0"/>
              <w:spacing w:before="0" w:after="0"/>
              <w:rPr>
                <w:rFonts w:eastAsia="Calibri"/>
                <w:noProof/>
              </w:rPr>
            </w:pPr>
            <w:r>
              <w:rPr>
                <w:noProof/>
              </w:rPr>
              <w:t>rodzaj dokumentów identyfikacyjnych danej osoby</w:t>
            </w:r>
          </w:p>
        </w:tc>
      </w:tr>
      <w:tr>
        <w:tc>
          <w:tcPr>
            <w:tcW w:w="4208" w:type="dxa"/>
            <w:hideMark/>
          </w:tcPr>
          <w:p>
            <w:pPr>
              <w:autoSpaceDE w:val="0"/>
              <w:autoSpaceDN w:val="0"/>
              <w:spacing w:before="0" w:after="0"/>
              <w:rPr>
                <w:rFonts w:eastAsia="Calibri"/>
                <w:noProof/>
              </w:rPr>
            </w:pPr>
            <w:r>
              <w:rPr>
                <w:noProof/>
              </w:rPr>
              <w:t>numer dokumentu podróży</w:t>
            </w:r>
          </w:p>
        </w:tc>
        <w:tc>
          <w:tcPr>
            <w:tcW w:w="4016" w:type="dxa"/>
            <w:hideMark/>
          </w:tcPr>
          <w:p>
            <w:pPr>
              <w:autoSpaceDE w:val="0"/>
              <w:autoSpaceDN w:val="0"/>
              <w:spacing w:before="0" w:after="0"/>
              <w:rPr>
                <w:rFonts w:eastAsia="Calibri"/>
                <w:noProof/>
              </w:rPr>
            </w:pPr>
            <w:r>
              <w:rPr>
                <w:noProof/>
              </w:rPr>
              <w:t>numer dokumentów identyfikacyjnych danej osoby</w:t>
            </w:r>
          </w:p>
        </w:tc>
      </w:tr>
      <w:tr>
        <w:tc>
          <w:tcPr>
            <w:tcW w:w="4208" w:type="dxa"/>
            <w:hideMark/>
          </w:tcPr>
          <w:p>
            <w:pPr>
              <w:autoSpaceDE w:val="0"/>
              <w:autoSpaceDN w:val="0"/>
              <w:spacing w:before="0" w:after="0"/>
              <w:rPr>
                <w:rFonts w:eastAsia="Calibri"/>
                <w:noProof/>
              </w:rPr>
            </w:pPr>
            <w:r>
              <w:rPr>
                <w:noProof/>
              </w:rPr>
              <w:t>państwo wydania dokumentu podróży</w:t>
            </w:r>
          </w:p>
        </w:tc>
        <w:tc>
          <w:tcPr>
            <w:tcW w:w="4016" w:type="dxa"/>
            <w:hideMark/>
          </w:tcPr>
          <w:p>
            <w:pPr>
              <w:autoSpaceDE w:val="0"/>
              <w:autoSpaceDN w:val="0"/>
              <w:spacing w:before="0" w:after="0"/>
              <w:rPr>
                <w:rFonts w:eastAsia="Calibri"/>
                <w:noProof/>
              </w:rPr>
            </w:pPr>
            <w:r>
              <w:rPr>
                <w:noProof/>
              </w:rPr>
              <w:t>nazwa organu wydającego</w:t>
            </w:r>
          </w:p>
        </w:tc>
      </w:tr>
    </w:tbl>
    <w:p>
      <w:pPr>
        <w:autoSpaceDE w:val="0"/>
        <w:autoSpaceDN w:val="0"/>
        <w:adjustRightInd w:val="0"/>
        <w:spacing w:after="0"/>
        <w:rPr>
          <w:b/>
          <w:noProof/>
          <w:color w:val="000000"/>
          <w:u w:val="single"/>
        </w:rPr>
      </w:pPr>
      <w:r>
        <w:rPr>
          <w:b/>
          <w:noProof/>
          <w:color w:val="000000"/>
          <w:u w:val="single"/>
        </w:rPr>
        <w:t>”]</w:t>
      </w:r>
    </w:p>
    <w:p>
      <w:pPr>
        <w:pStyle w:val="Titrearticle"/>
        <w:rPr>
          <w:noProof/>
        </w:rPr>
      </w:pPr>
      <w:r>
        <w:rPr>
          <w:noProof/>
        </w:rPr>
        <w:t>Artykuł 3</w:t>
      </w:r>
    </w:p>
    <w:p>
      <w:pPr>
        <w:pStyle w:val="Titrearticle"/>
        <w:rPr>
          <w:noProof/>
        </w:rPr>
      </w:pPr>
      <w:r>
        <w:rPr>
          <w:b/>
          <w:bCs/>
          <w:noProof/>
        </w:rPr>
        <w:t>Wejście w życie</w:t>
      </w:r>
    </w:p>
    <w:p>
      <w:pPr>
        <w:rPr>
          <w:noProof/>
        </w:rPr>
      </w:pPr>
      <w:r>
        <w:rPr>
          <w:noProof/>
        </w:rPr>
        <w:t>Niniejsze rozporządzenie wchodzi w życie dwudziestego dnia po jego opublikowaniu w </w:t>
      </w:r>
      <w:r>
        <w:rPr>
          <w:i/>
          <w:noProof/>
        </w:rPr>
        <w:t>Dzienniku Urzędowym Unii Europejskiej</w:t>
      </w:r>
      <w:r>
        <w:rPr>
          <w:noProof/>
        </w:rPr>
        <w:t>.</w:t>
      </w:r>
    </w:p>
    <w:p>
      <w:pPr>
        <w:rPr>
          <w:noProof/>
        </w:rPr>
      </w:pPr>
      <w:r>
        <w:rPr>
          <w:noProof/>
        </w:rPr>
        <w:t>Stosuje się je od daty określonej zgodnie z art. 96 akapit drugi rozporządzenia (UE) 2018/1240.</w:t>
      </w:r>
    </w:p>
    <w:p>
      <w:pPr>
        <w:rPr>
          <w:noProof/>
        </w:rPr>
      </w:pPr>
    </w:p>
    <w:p>
      <w:pPr>
        <w:pStyle w:val="Applicationdirecte"/>
        <w:rPr>
          <w:noProof/>
        </w:rPr>
      </w:pPr>
      <w:r>
        <w:rPr>
          <w:noProof/>
        </w:rPr>
        <w:t>Niniejsze rozporządzenie wiąże w całości i jest bezpośrednio stosowane w państwach członkowskich zgodnie z Traktatami.</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Rozporządzenie Parlamentu Europejskiego i Rady (UE) 2018/1240 z dnia 12 września 2018 r. ustanawiające europejski system informacji o podróży oraz zezwoleń na podróż (ETIAS) i zmieniające rozporządzenia (UE) nr 1077/2011, (UE) nr 515/2014, (UE) 2016/399, (UE) 2016/1624 i (UE) 2017/2226 (Dz.U. L 236 z 19.9.2018, s. 1).</w:t>
      </w:r>
    </w:p>
  </w:footnote>
  <w:footnote w:id="2">
    <w:p>
      <w:pPr>
        <w:pStyle w:val="FootnoteText"/>
      </w:pPr>
      <w:r>
        <w:rPr>
          <w:rStyle w:val="FootnoteReference0"/>
        </w:rPr>
        <w:footnoteRef/>
      </w:r>
      <w:r>
        <w:tab/>
        <w:t>Rozporządzenie Parlamentu Europejskiego i Rady (UE) 2018/1241 z dnia 12 września 2018 r. zmieniające rozporządzenie (UE) 2016/794 w celu ustanowienia europejskiego systemu informacji o podróży oraz zezwoleń na podróż (ETIAS) (Dz.U. L 236 z 19.9.2018, s. 72).</w:t>
      </w:r>
    </w:p>
  </w:footnote>
  <w:footnote w:id="3">
    <w:p>
      <w:pPr>
        <w:pStyle w:val="FootnoteText"/>
      </w:pPr>
      <w:r>
        <w:rPr>
          <w:rStyle w:val="FootnoteReference0"/>
        </w:rPr>
        <w:footnoteRef/>
      </w:r>
      <w:r>
        <w:tab/>
        <w:t>COM (2016) 602 final.</w:t>
      </w:r>
    </w:p>
  </w:footnote>
  <w:footnote w:id="4">
    <w:p>
      <w:pPr>
        <w:pStyle w:val="FootnoteText"/>
      </w:pPr>
      <w:r>
        <w:rPr>
          <w:rStyle w:val="FootnoteReference0"/>
        </w:rPr>
        <w:footnoteRef/>
      </w:r>
      <w:r>
        <w:tab/>
        <w:t>COM (2016) 205 final.</w:t>
      </w:r>
    </w:p>
  </w:footnote>
  <w:footnote w:id="5">
    <w:p>
      <w:pPr>
        <w:pStyle w:val="FootnoteText"/>
      </w:pPr>
      <w:r>
        <w:rPr>
          <w:rStyle w:val="FootnoteReference0"/>
        </w:rPr>
        <w:footnoteRef/>
      </w:r>
      <w:r>
        <w:tab/>
        <w:t>Art. 20 ust. 2 i art. 23 ust. 1 rozporządzenia (UE) 2018/1240, o którym mowa w przypisie 1.</w:t>
      </w:r>
    </w:p>
  </w:footnote>
  <w:footnote w:id="6">
    <w:p>
      <w:pPr>
        <w:pStyle w:val="FootnoteText"/>
      </w:pPr>
      <w:r>
        <w:rPr>
          <w:rStyle w:val="FootnoteReference0"/>
        </w:rPr>
        <w:footnoteRef/>
      </w:r>
      <w:r>
        <w:tab/>
        <w:t>COM(2016) 731 final.</w:t>
      </w:r>
    </w:p>
  </w:footnote>
  <w:footnote w:id="7">
    <w:p>
      <w:pPr>
        <w:pStyle w:val="FootnoteText"/>
      </w:pPr>
      <w:r>
        <w:rPr>
          <w:rStyle w:val="FootnoteReference0"/>
        </w:rPr>
        <w:footnoteRef/>
      </w:r>
      <w:r>
        <w:tab/>
        <w:t>Rozporządzenie (UE) 2226/2017 z dnia 9 grudnia 2017 r. ustanawiające system wjazdu/wyjazdu (EES), Dz.U. L 327, s. 20.</w:t>
      </w:r>
    </w:p>
  </w:footnote>
  <w:footnote w:id="8">
    <w:p>
      <w:pPr>
        <w:pStyle w:val="FootnoteText"/>
        <w:rPr>
          <w:lang w:val="pt-PT"/>
        </w:rPr>
      </w:pPr>
      <w:r>
        <w:rPr>
          <w:rStyle w:val="FootnoteReference0"/>
        </w:rPr>
        <w:footnoteRef/>
      </w:r>
      <w:r>
        <w:rPr>
          <w:lang w:val="pt-PT"/>
        </w:rPr>
        <w:tab/>
        <w:t>COM(2017) 344 final.</w:t>
      </w:r>
    </w:p>
  </w:footnote>
  <w:footnote w:id="9">
    <w:p>
      <w:pPr>
        <w:pStyle w:val="FootnoteText"/>
        <w:rPr>
          <w:lang w:val="pt-PT"/>
        </w:rPr>
      </w:pPr>
      <w:r>
        <w:rPr>
          <w:rStyle w:val="FootnoteReference0"/>
        </w:rPr>
        <w:footnoteRef/>
      </w:r>
      <w:r>
        <w:rPr>
          <w:lang w:val="pt-PT"/>
        </w:rPr>
        <w:tab/>
        <w:t>COM(2016) 883 final, COM(2016) 882 final, COM(2016) 881 final.</w:t>
      </w:r>
    </w:p>
  </w:footnote>
  <w:footnote w:id="10">
    <w:p>
      <w:pPr>
        <w:pStyle w:val="FootnoteText"/>
      </w:pPr>
      <w:r>
        <w:rPr>
          <w:rStyle w:val="FootnoteReference0"/>
        </w:rPr>
        <w:footnoteRef/>
      </w:r>
      <w:r>
        <w:tab/>
        <w:t>Rozporządzenie Parlamentu Europejskiego i Rady (UE) nr 603/2013 z dnia 26 czerwca 2013 r. w sprawie ustanowienia systemu Eurodac do porównywania odcisków palców w celu skutecznego stosowania rozporządzenia (UE) nr 604/2013 w sprawie ustanowienia kryteriów i mechanizmów ustalania państwa członkowskiego odpowiedzialnego za rozpatrzenie wniosku o udzielenie ochrony międzynarodowej złożonego w jednym z państw członkowskich przez obywatela państwa trzeciego lub bezpaństwowca oraz w sprawie występowania o porównanie z danymi Eurodac przez organy ścigania państw członkowskich i Europol na potrzeby ochrony porządku publicznego, oraz zmieniające rozporządzenie (UE) nr 1077/2011 ustanawiające Europejską Agencję ds. Zarządzania Operacyjnego Wielkoskalowymi Systemami Informatycznymi w Przestrzeni Wolności, Bezpieczeństwa i Sprawiedliwości (Dz.U. L 180 z 29.6.2013, s. 1).</w:t>
      </w:r>
    </w:p>
  </w:footnote>
  <w:footnote w:id="11">
    <w:p>
      <w:pPr>
        <w:pStyle w:val="FootnoteText"/>
      </w:pPr>
      <w:r>
        <w:rPr>
          <w:rStyle w:val="FootnoteReference0"/>
        </w:rPr>
        <w:footnoteRef/>
      </w:r>
      <w:r>
        <w:tab/>
        <w:t>W rozporządzeniu w sprawie ETIAS zachowano odniesienia do Eurodac stanowiące część wniosku Komisji w sprawie ETIAS, precyzując jednocześnie w art. 97 rozporządzenia (UE) 2018/1240 w sprawie ETIAS, że przepisy dotyczące przeglądania systemu Eurodac będą miały zastosowanie dopiero po wejściu w życie przekształcenia Eurodac.</w:t>
      </w:r>
    </w:p>
  </w:footnote>
  <w:footnote w:id="12">
    <w:p>
      <w:pPr>
        <w:pStyle w:val="FootnoteText"/>
      </w:pPr>
      <w:r>
        <w:rPr>
          <w:rStyle w:val="FootnoteReference0"/>
        </w:rPr>
        <w:footnoteRef/>
      </w:r>
      <w:r>
        <w:tab/>
        <w:t>Motyw 58 rozporządzenia (UE) 2018/1240, o którym mowa w przypisie(1).</w:t>
      </w:r>
    </w:p>
  </w:footnote>
  <w:footnote w:id="13">
    <w:p>
      <w:pPr>
        <w:pStyle w:val="FootnoteText"/>
      </w:pPr>
      <w:r>
        <w:rPr>
          <w:rStyle w:val="FootnoteReference0"/>
        </w:rPr>
        <w:footnoteRef/>
      </w:r>
      <w:r>
        <w:tab/>
        <w:t>Rozporządzenie Parlamentu Europejskiego i Rady (UE) 2018/1862 z dnia 28 listopada 2018 r. w sprawie utworzenia, funkcjonowania i użytkowania Systemu Informacyjnego Schengen (SIS) w dziedzinie współpracy policyjnej i współpracy wymiarów sprawiedliwości w sprawach karnych, zmiany i uchylenia decyzji Rady 2007/533/WSiSW oraz uchylenia rozporządzenia Parlamentu Europejskiego i Rady (WE) nr 1986/2006 i decyzji Komisji 2010/261/UE.</w:t>
      </w:r>
    </w:p>
  </w:footnote>
  <w:footnote w:id="14">
    <w:p>
      <w:pPr>
        <w:pStyle w:val="FootnoteText"/>
        <w:rPr>
          <w:lang w:val="pt-PT"/>
        </w:rPr>
      </w:pPr>
      <w:r>
        <w:rPr>
          <w:rStyle w:val="FootnoteReference0"/>
        </w:rPr>
        <w:footnoteRef/>
      </w:r>
      <w:r>
        <w:rPr>
          <w:lang w:val="pt-PT"/>
        </w:rPr>
        <w:tab/>
        <w:t>COM(2016) 272 final.</w:t>
      </w:r>
    </w:p>
  </w:footnote>
  <w:footnote w:id="15">
    <w:p>
      <w:pPr>
        <w:pStyle w:val="FootnoteText"/>
        <w:rPr>
          <w:lang w:val="pt-PT"/>
        </w:rPr>
      </w:pPr>
      <w:r>
        <w:rPr>
          <w:rStyle w:val="FootnoteReference0"/>
        </w:rPr>
        <w:footnoteRef/>
      </w:r>
      <w:r>
        <w:rPr>
          <w:lang w:val="pt-PT"/>
        </w:rPr>
        <w:tab/>
        <w:t>COM(2018) 478 final i COM(2018) 480 final.</w:t>
      </w:r>
    </w:p>
  </w:footnote>
  <w:footnote w:id="16">
    <w:p>
      <w:pPr>
        <w:pStyle w:val="FootnoteText"/>
      </w:pPr>
      <w:r>
        <w:rPr>
          <w:rStyle w:val="FootnoteReference0"/>
        </w:rPr>
        <w:footnoteRef/>
      </w:r>
      <w:r>
        <w:tab/>
        <w:t>Rozporządzenie (UE) 2017/2226 z dnia 9 grudnia 2017 r. ustanawiające system wjazdu/wyjazdu (EES), Dz.U. L 327, s. 20.</w:t>
      </w:r>
    </w:p>
  </w:footnote>
  <w:footnote w:id="17">
    <w:p>
      <w:pPr>
        <w:pStyle w:val="FootnoteText"/>
        <w:rPr>
          <w:lang w:val="pt-PT"/>
        </w:rPr>
      </w:pPr>
      <w:r>
        <w:rPr>
          <w:rStyle w:val="FootnoteReference0"/>
        </w:rPr>
        <w:footnoteRef/>
      </w:r>
      <w:r>
        <w:rPr>
          <w:lang w:val="pt-PT"/>
        </w:rPr>
        <w:tab/>
        <w:t>COM(2018) 478 final i COM(2018) 480 final.</w:t>
      </w:r>
    </w:p>
  </w:footnote>
  <w:footnote w:id="18">
    <w:p>
      <w:pPr>
        <w:pStyle w:val="FootnoteText"/>
      </w:pPr>
      <w:r>
        <w:rPr>
          <w:rStyle w:val="FootnoteReference0"/>
        </w:rPr>
        <w:footnoteRef/>
      </w:r>
      <w:r>
        <w:tab/>
        <w:t>Zob. przypis (1).</w:t>
      </w:r>
    </w:p>
  </w:footnote>
  <w:footnote w:id="19">
    <w:p>
      <w:pPr>
        <w:pStyle w:val="FootnoteText"/>
      </w:pPr>
      <w:r>
        <w:rPr>
          <w:rStyle w:val="FootnoteReference0"/>
        </w:rPr>
        <w:footnoteRef/>
      </w:r>
      <w:r>
        <w:tab/>
        <w:t>Dyrektywa 2004/38/WE Parlamentu Europejskiego i Rady z dnia 29 kwietnia 2004 r. w sprawie prawa obywateli Unii i członków ich rodzin do swobodnego przemieszczania się i pobytu na terytorium Państw Członkowskich, zmieniająca rozporządzenie (EWG) nr 1612/68 i uchylająca dyrektywy 64/221/EWG, 68/360/EWG, 72/194/EWG, 73/148/EWG, 75/34/EWG, 75/35/EWG, 90/364/EWG, 90/365/EWG i 93/96/EWG (Dz.U. L 158 z 30.4.2004, s. 77).</w:t>
      </w:r>
    </w:p>
  </w:footnote>
  <w:footnote w:id="20">
    <w:p>
      <w:pPr>
        <w:pStyle w:val="FootnoteText"/>
        <w:rPr>
          <w:lang w:val="pt-PT"/>
        </w:rPr>
      </w:pPr>
      <w:r>
        <w:rPr>
          <w:rStyle w:val="FootnoteReference0"/>
        </w:rPr>
        <w:footnoteRef/>
      </w:r>
      <w:r>
        <w:rPr>
          <w:lang w:val="pt-PT"/>
        </w:rPr>
        <w:tab/>
        <w:t>COM(2015) 185 final.</w:t>
      </w:r>
    </w:p>
  </w:footnote>
  <w:footnote w:id="21">
    <w:p>
      <w:pPr>
        <w:pStyle w:val="FootnoteText"/>
        <w:rPr>
          <w:lang w:val="pt-PT"/>
        </w:rPr>
      </w:pPr>
      <w:r>
        <w:rPr>
          <w:rStyle w:val="FootnoteReference0"/>
        </w:rPr>
        <w:footnoteRef/>
      </w:r>
      <w:r>
        <w:rPr>
          <w:lang w:val="pt-PT"/>
        </w:rPr>
        <w:tab/>
        <w:t>COM(2018) 470 final.</w:t>
      </w:r>
    </w:p>
  </w:footnote>
  <w:footnote w:id="22">
    <w:p>
      <w:pPr>
        <w:pStyle w:val="FootnoteText"/>
        <w:rPr>
          <w:lang w:val="pt-PT"/>
        </w:rPr>
      </w:pPr>
      <w:r>
        <w:rPr>
          <w:rStyle w:val="FootnoteReference0"/>
        </w:rPr>
        <w:footnoteRef/>
      </w:r>
      <w:r>
        <w:rPr>
          <w:lang w:val="pt-PT"/>
        </w:rPr>
        <w:tab/>
        <w:t>Dz.U. L 108 z 26.4.2017, s. 31.</w:t>
      </w:r>
    </w:p>
  </w:footnote>
  <w:footnote w:id="23">
    <w:p>
      <w:pPr>
        <w:pStyle w:val="FootnoteText"/>
      </w:pPr>
      <w:r>
        <w:rPr>
          <w:rStyle w:val="FootnoteReference0"/>
        </w:rPr>
        <w:footnoteRef/>
      </w:r>
      <w:r>
        <w:tab/>
        <w:t>Dz.U. C  z , s. .</w:t>
      </w:r>
    </w:p>
  </w:footnote>
  <w:footnote w:id="24">
    <w:p>
      <w:pPr>
        <w:pStyle w:val="FootnoteText"/>
      </w:pPr>
      <w:r>
        <w:rPr>
          <w:rStyle w:val="FootnoteReference0"/>
        </w:rPr>
        <w:footnoteRef/>
      </w:r>
      <w:r>
        <w:tab/>
        <w:t>Dz.U. C  z , s. .</w:t>
      </w:r>
    </w:p>
  </w:footnote>
  <w:footnote w:id="25">
    <w:p>
      <w:pPr>
        <w:pStyle w:val="FootnoteText"/>
      </w:pPr>
      <w:r>
        <w:rPr>
          <w:rStyle w:val="FootnoteReference0"/>
        </w:rPr>
        <w:footnoteRef/>
      </w:r>
      <w:r>
        <w:tab/>
        <w:t>Rozporządzenie Parlamentu Europejskiego i Rady (UE) 2018/1240 z dnia 12 września 2018 r. ustanawiające europejski system informacji o podróży oraz zezwoleń na podróż (ETIAS) i zmieniające rozporządzenia (UE) nr 1077/2011, (UE) nr 515/2014, (UE) 2016/399, (UE) 2016/1624 i (UE) 2017/2226 (Dz.U. L 236 z 19.9.2018, s. 1).</w:t>
      </w:r>
    </w:p>
  </w:footnote>
  <w:footnote w:id="26">
    <w:p>
      <w:pPr>
        <w:pStyle w:val="FootnoteText"/>
      </w:pPr>
      <w:r>
        <w:rPr>
          <w:rStyle w:val="FootnoteReference0"/>
        </w:rPr>
        <w:footnoteRef/>
      </w:r>
      <w:r>
        <w:tab/>
        <w:t>Rozporządzenie Parlamentu Europejskiego i Rady (UE) 2018/1862 z dnia 28 listopada 2018 r. w sprawie utworzenia, funkcjonowania i użytkowania Systemu Informacyjnego Schengen (SIS) w dziedzinie współpracy policyjnej i współpracy wymiarów sprawiedliwości w sprawach karnych, zmiany i uchylenia decyzji Rady 2007/533/WSiSW oraz uchylenia rozporządzenia Parlamentu Europejskiego i Rady (WE) nr 1986/2006 i decyzji Komisji 2010/261/UE (Dz.U. L 312 z 7.12.2018, s. 56).</w:t>
      </w:r>
    </w:p>
  </w:footnote>
  <w:footnote w:id="27">
    <w:p>
      <w:pPr>
        <w:pStyle w:val="FootnoteText"/>
      </w:pPr>
      <w:r>
        <w:rPr>
          <w:rStyle w:val="FootnoteReference0"/>
        </w:rPr>
        <w:footnoteRef/>
      </w:r>
      <w:r>
        <w:tab/>
        <w:t>Rozporządzenie Parlamentu Europejskiego i Rady (UE) YYYY/xxx… (Dz.U. L  z , s. ).</w:t>
      </w:r>
    </w:p>
  </w:footnote>
  <w:footnote w:id="28">
    <w:p>
      <w:pPr>
        <w:pStyle w:val="FootnoteText"/>
      </w:pPr>
      <w:r>
        <w:rPr>
          <w:rStyle w:val="FootnoteReference0"/>
        </w:rPr>
        <w:footnoteRef/>
      </w:r>
      <w:r>
        <w:tab/>
        <w:t>Rozporządzenie Parlamentu Europejskiego i Rady (UE) nr 603/2013 z dnia 26 czerwca 2013 r. w sprawie ustanowienia systemu Eurodac do porównywania odcisków palców w celu skutecznego stosowania rozporządzenia (UE) nr 604/2013 w sprawie ustanowienia kryteriów i mechanizmów ustalania państwa członkowskiego odpowiedzialnego za rozpatrzenie wniosku o udzielenie ochrony międzynarodowej złożonego w jednym z państw członkowskich przez obywatela państwa trzeciego lub bezpaństwowca oraz w sprawie występowania o porównanie z danymi Eurodac przez organy ścigania państw członkowskich i Europol na potrzeby ochrony porządku publicznego, oraz zmieniające rozporządzenie (UE) nr 1077/2011 ustanawiające Europejską Agencję ds. Zarządzania Operacyjnego Wielkoskalowymi Systemami Informatycznymi w Przestrzeni Wolności, Bezpieczeństwa i Sprawiedliwości (Dz.U. L 180 z 29.6.2013, s. 1).</w:t>
      </w:r>
    </w:p>
  </w:footnote>
  <w:footnote w:id="29">
    <w:p>
      <w:pPr>
        <w:pStyle w:val="FootnoteText"/>
      </w:pPr>
      <w:r>
        <w:rPr>
          <w:rStyle w:val="FootnoteReference0"/>
        </w:rPr>
        <w:footnoteRef/>
      </w:r>
      <w:r>
        <w:tab/>
        <w:t>[Rozporządzenie Parlamentu Europejskiego i Rady (UE) yyyy/xx (Dz.U. L  z , s. )].</w:t>
      </w:r>
    </w:p>
  </w:footnote>
  <w:footnote w:id="30">
    <w:p>
      <w:pPr>
        <w:pStyle w:val="FootnoteText"/>
      </w:pPr>
      <w:r>
        <w:rPr>
          <w:rStyle w:val="FootnoteReference0"/>
        </w:rPr>
        <w:footnoteRef/>
      </w:r>
      <w:r>
        <w:tab/>
        <w:t>Rozporządzenie Parlamentu Europejskiego i Rady (UE) 2018/1726 z dnia 14 listopada 2018 r. w sprawie Agencji Unii Europejskiej ds. Zarządzania Operacyjnego Wielkoskalowymi Systemami Informatycznymi w Przestrzeni Wolności, Bezpieczeństwa i Sprawiedliwości (eu-LISA), zmiany rozporządzenia (WE) nr 1987/2006 i decyzji Rady 2007/533/WSiSW oraz uchylenia rozporządzenia (UE) nr 1077/2011 (Dz.U. L 295 z 21.11.2018, s. 99).</w:t>
      </w:r>
    </w:p>
  </w:footnote>
  <w:footnote w:id="31">
    <w:p>
      <w:pPr>
        <w:pStyle w:val="FootnoteText"/>
      </w:pPr>
      <w:r>
        <w:rPr>
          <w:rStyle w:val="FootnoteReference0"/>
        </w:rPr>
        <w:footnoteRef/>
      </w:r>
      <w:r>
        <w:tab/>
        <w:t>Dz.U. L 158 z 30.4.2004, s. 77.</w:t>
      </w:r>
    </w:p>
  </w:footnote>
  <w:footnote w:id="32">
    <w:p>
      <w:pPr>
        <w:pStyle w:val="FootnoteText"/>
      </w:pPr>
      <w:r>
        <w:rPr>
          <w:rStyle w:val="FootnoteReference0"/>
        </w:rPr>
        <w:footnoteRef/>
      </w:r>
      <w:r>
        <w:tab/>
        <w:t>Dz.U. L 131 z 1.6.2000, s. 43.</w:t>
      </w:r>
    </w:p>
  </w:footnote>
  <w:footnote w:id="33">
    <w:p>
      <w:pPr>
        <w:pStyle w:val="FootnoteText"/>
      </w:pPr>
      <w:r>
        <w:rPr>
          <w:rStyle w:val="FootnoteReference0"/>
        </w:rPr>
        <w:footnoteRef/>
      </w:r>
      <w:r>
        <w:tab/>
        <w:t>Dz.U. L 64 z 7.3.2002, s. 20.</w:t>
      </w:r>
    </w:p>
  </w:footnote>
  <w:footnote w:id="34">
    <w:p>
      <w:pPr>
        <w:pStyle w:val="FootnoteText"/>
      </w:pPr>
      <w:r>
        <w:rPr>
          <w:rStyle w:val="FootnoteReference0"/>
        </w:rPr>
        <w:footnoteRef/>
      </w:r>
      <w:r>
        <w:tab/>
        <w:t>Decyzja Rady 2010/365/UE z dnia 29 czerwca 2010 r. w sprawie stosowania w Republice Bułgarii i w Rumunii przepisów dorobku Schengen związanych z systemem informacyjnym Schengen (Dz.U. L 166 z 1.7.2010, s. 17).</w:t>
      </w:r>
    </w:p>
  </w:footnote>
  <w:footnote w:id="35">
    <w:p>
      <w:pPr>
        <w:pStyle w:val="FootnoteText"/>
      </w:pPr>
      <w:r>
        <w:rPr>
          <w:rStyle w:val="FootnoteReference0"/>
        </w:rPr>
        <w:footnoteRef/>
      </w:r>
      <w:r>
        <w:tab/>
        <w:t>Decyzja Rady (UE) 2018/934 z dnia 25 czerwca 2018 r. w sprawie wprowadzenia w życie w Republice Bułgarii i w Rumunii pozostałych przepisów dorobku Schengen dotyczących Systemu Informacyjnego Schengen (Dz.U. L 165 z 2.7.2018, s. 37).</w:t>
      </w:r>
    </w:p>
  </w:footnote>
  <w:footnote w:id="36">
    <w:p>
      <w:pPr>
        <w:pStyle w:val="FootnoteText"/>
      </w:pPr>
      <w:r>
        <w:rPr>
          <w:rStyle w:val="FootnoteReference0"/>
        </w:rPr>
        <w:footnoteRef/>
      </w:r>
      <w:r>
        <w:tab/>
        <w:t>Decyzja Rady (UE) 2017/733 z dnia 25 kwietnia 2017 r. w sprawie stosowania w Republice Chorwacji przepisów dorobku Schengen dotyczących Systemu Informacyjnego Schengen (Dz.U. L 108 z 26.4.2017, s. 31).</w:t>
      </w:r>
    </w:p>
  </w:footnote>
  <w:footnote w:id="37">
    <w:p>
      <w:pPr>
        <w:pStyle w:val="FootnoteText"/>
      </w:pPr>
      <w:r>
        <w:rPr>
          <w:rStyle w:val="FootnoteReference0"/>
        </w:rPr>
        <w:footnoteRef/>
      </w:r>
      <w:r>
        <w:tab/>
      </w:r>
      <w:hyperlink r:id="rId1" w:history="1">
        <w:r>
          <w:rPr>
            <w:rStyle w:val="Hyperlink"/>
          </w:rPr>
          <w:t>Dz.U. L 176 z 10.7.1999, s. 36</w:t>
        </w:r>
      </w:hyperlink>
      <w:r>
        <w:rPr>
          <w:color w:val="000000"/>
        </w:rPr>
        <w:t>.</w:t>
      </w:r>
    </w:p>
  </w:footnote>
  <w:footnote w:id="38">
    <w:p>
      <w:pPr>
        <w:pStyle w:val="FootnoteText"/>
      </w:pPr>
      <w:r>
        <w:rPr>
          <w:rStyle w:val="FootnoteReference0"/>
        </w:rPr>
        <w:footnoteRef/>
      </w:r>
      <w:r>
        <w:tab/>
        <w:t>Decyzja Rady z dnia 17 maja 1999 r. w sprawie niektórych warunków stosowania Układu zawartego przez Radę Unii Europejskiej i Republikę Islandii oraz Królestwo Norwegii dotyczącego włączenia tych dwóch państw we wprowadzanie w życie, stosowanie i rozwój dorobku Schengen (Dz.U. L 176 z 10.7.1999, s. 31).</w:t>
      </w:r>
    </w:p>
  </w:footnote>
  <w:footnote w:id="39">
    <w:p>
      <w:pPr>
        <w:pStyle w:val="FootnoteText"/>
      </w:pPr>
      <w:r>
        <w:rPr>
          <w:rStyle w:val="FootnoteReference0"/>
        </w:rPr>
        <w:footnoteRef/>
      </w:r>
      <w:r>
        <w:tab/>
        <w:t>Dz.U. L 53 z 27.2.2008, s. 52.</w:t>
      </w:r>
    </w:p>
  </w:footnote>
  <w:footnote w:id="40">
    <w:p>
      <w:pPr>
        <w:pStyle w:val="FootnoteText"/>
      </w:pPr>
      <w:r>
        <w:rPr>
          <w:rStyle w:val="FootnoteReference0"/>
        </w:rPr>
        <w:footnoteRef/>
      </w:r>
      <w:r>
        <w:tab/>
        <w:t xml:space="preserve">Decyzja Rady 2008/146/WE z dnia 28 stycznia 2008 r. w sprawie zawarcia w imieniu Wspólnoty Europejskiej Umowy między Unią Europejską, Wspólnotą Europejską i Konfederacją Szwajcarską dotyczącej włączenia tego państwa we wprowadzanie w życie, stosowanie i rozwój dorobku Schengen </w:t>
      </w:r>
      <w:r>
        <w:rPr>
          <w:color w:val="000000"/>
        </w:rPr>
        <w:t>(</w:t>
      </w:r>
      <w:hyperlink r:id="rId2" w:history="1">
        <w:r>
          <w:rPr>
            <w:rStyle w:val="Hyperlink"/>
          </w:rPr>
          <w:t>Dz.U. L 53 z 27.2.2008, s. 1</w:t>
        </w:r>
      </w:hyperlink>
      <w:r>
        <w:rPr>
          <w:color w:val="000000"/>
        </w:rPr>
        <w:t>).</w:t>
      </w:r>
    </w:p>
  </w:footnote>
  <w:footnote w:id="41">
    <w:p>
      <w:pPr>
        <w:pStyle w:val="FootnoteText"/>
      </w:pPr>
      <w:r>
        <w:rPr>
          <w:rStyle w:val="FootnoteReference0"/>
        </w:rPr>
        <w:footnoteRef/>
      </w:r>
      <w:r>
        <w:tab/>
      </w:r>
      <w:hyperlink r:id="rId3" w:history="1">
        <w:r>
          <w:rPr>
            <w:rStyle w:val="Hyperlink"/>
          </w:rPr>
          <w:t>Dz.U. L 160 z 18.6.2011, s. 21</w:t>
        </w:r>
      </w:hyperlink>
      <w:r>
        <w:rPr>
          <w:color w:val="000000"/>
        </w:rPr>
        <w:t>.</w:t>
      </w:r>
    </w:p>
  </w:footnote>
  <w:footnote w:id="42">
    <w:p>
      <w:pPr>
        <w:pStyle w:val="FootnoteText"/>
      </w:pPr>
      <w:r>
        <w:rPr>
          <w:rStyle w:val="FootnoteReference0"/>
        </w:rPr>
        <w:footnoteRef/>
      </w:r>
      <w:r>
        <w:tab/>
        <w:t>Decyzja Rady 2011/350/UE z dnia 7 marca 2011 r. w sprawie zawarcia w imieniu Unii Europejskiej Protokołu między Unią Europejską, Wspólnotą Europejską, Konfederacją Szwajcarską i Księstwem Liechtensteinu w sprawie przystąpienia Księstwa Liechtensteinu do Umowy między Unią Europejską, Wspólnotą Europejską i Konfederacją Szwajcarską dotyczącej włączenia Konfederacji Szwajcarskiej we wprowadzanie w życie, stosowanie i rozwój dorobku Schengen, odnoszącego się do zniesienia kontroli na granicach wewnętrznych i do przemieszczania się osób (Dz.U. L 160 z 18.6.2011, s. 19).</w:t>
      </w:r>
    </w:p>
  </w:footnote>
  <w:footnote w:id="43">
    <w:p>
      <w:pPr>
        <w:pStyle w:val="FootnoteText"/>
      </w:pPr>
      <w:r>
        <w:rPr>
          <w:rStyle w:val="FootnoteReference0"/>
        </w:rPr>
        <w:footnoteRef/>
      </w:r>
      <w:r>
        <w:tab/>
        <w:t>Rozporządzenie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(Dz.U. L 295 z 21.11.2018, s. 39).</w:t>
      </w:r>
    </w:p>
  </w:footnote>
  <w:footnote w:id="44">
    <w:p>
      <w:pPr>
        <w:pStyle w:val="FootnoteText"/>
      </w:pPr>
      <w:r>
        <w:rPr>
          <w:rStyle w:val="FootnoteReference0"/>
        </w:rPr>
        <w:footnoteRef/>
      </w:r>
      <w:r>
        <w:tab/>
        <w:t>Niniejsze zmiany uwzględniają wniosek Komisji COM(2017) 344 final.</w:t>
      </w:r>
    </w:p>
  </w:footnote>
  <w:footnote w:id="45">
    <w:p>
      <w:pPr>
        <w:pStyle w:val="FootnoteText"/>
      </w:pPr>
      <w:r>
        <w:rPr>
          <w:rStyle w:val="FootnoteReference0"/>
        </w:rPr>
        <w:footnoteRef/>
      </w:r>
      <w:r>
        <w:tab/>
        <w:t>Numeracja uwzględnia zmiany w niniejszym rozporządzeniu wynikające z wniosku dotyczącego rozporządzenia Parlamentu Europejskiego i Rady w sprawie ustanowienia ram interoperacyjności pomiędzy systemami informacyjnymi UE (współpraca policyjna i sądowa, azyl i migracja), COM(2018) 480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627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E48E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1803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5633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BCCD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0689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F65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A080DB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0:41:2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2B20341-D8E3-4C31-AA86-FF50BF492203"/>
    <w:docVar w:name="LW_COVERPAGE_TYPE" w:val="1"/>
    <w:docVar w:name="LW_CROSSREFERENCE" w:val="&lt;UNUSED&gt;"/>
    <w:docVar w:name="LW_DocType" w:val="COM"/>
    <w:docVar w:name="LW_EMISSION" w:val="7.1.2019"/>
    <w:docVar w:name="LW_EMISSION_ISODATE" w:val="2019-01-07"/>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001"/>
    <w:docVar w:name="LW_REF.II.NEW.CP_YEAR" w:val="2019"/>
    <w:docVar w:name="LW_REF.INST.NEW" w:val="COM"/>
    <w:docVar w:name="LW_REF.INST.NEW_ADOPTED" w:val="final"/>
    <w:docVar w:name="LW_REF.INST.NEW_TEXT" w:val="(2019)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ustanawiaj\u261?ce warunki dost\u281?pu do innych systemów informacyjnych UE oraz zmieniaj\u261?ce rozporz\u261?dzenie (UE) 2018/1862 i rozporz\u261?dzenie (UE) yyyy/xxx [ECRIS-TCN]"/>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italic">
    <w:name w:val="italic"/>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customStyle="1" w:styleId="footnotereference">
    <w:name w:val="footnotereference"/>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italic">
    <w:name w:val="italic"/>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4427">
      <w:bodyDiv w:val="1"/>
      <w:marLeft w:val="0"/>
      <w:marRight w:val="0"/>
      <w:marTop w:val="0"/>
      <w:marBottom w:val="0"/>
      <w:divBdr>
        <w:top w:val="none" w:sz="0" w:space="0" w:color="auto"/>
        <w:left w:val="none" w:sz="0" w:space="0" w:color="auto"/>
        <w:bottom w:val="none" w:sz="0" w:space="0" w:color="auto"/>
        <w:right w:val="none" w:sz="0" w:space="0" w:color="auto"/>
      </w:divBdr>
    </w:div>
    <w:div w:id="311064208">
      <w:bodyDiv w:val="1"/>
      <w:marLeft w:val="0"/>
      <w:marRight w:val="0"/>
      <w:marTop w:val="0"/>
      <w:marBottom w:val="0"/>
      <w:divBdr>
        <w:top w:val="none" w:sz="0" w:space="0" w:color="auto"/>
        <w:left w:val="none" w:sz="0" w:space="0" w:color="auto"/>
        <w:bottom w:val="none" w:sz="0" w:space="0" w:color="auto"/>
        <w:right w:val="none" w:sz="0" w:space="0" w:color="auto"/>
      </w:divBdr>
    </w:div>
    <w:div w:id="1001352828">
      <w:bodyDiv w:val="1"/>
      <w:marLeft w:val="0"/>
      <w:marRight w:val="0"/>
      <w:marTop w:val="0"/>
      <w:marBottom w:val="0"/>
      <w:divBdr>
        <w:top w:val="none" w:sz="0" w:space="0" w:color="auto"/>
        <w:left w:val="none" w:sz="0" w:space="0" w:color="auto"/>
        <w:bottom w:val="none" w:sz="0" w:space="0" w:color="auto"/>
        <w:right w:val="none" w:sz="0" w:space="0" w:color="auto"/>
      </w:divBdr>
    </w:div>
    <w:div w:id="1096629362">
      <w:bodyDiv w:val="1"/>
      <w:marLeft w:val="0"/>
      <w:marRight w:val="0"/>
      <w:marTop w:val="0"/>
      <w:marBottom w:val="0"/>
      <w:divBdr>
        <w:top w:val="none" w:sz="0" w:space="0" w:color="auto"/>
        <w:left w:val="none" w:sz="0" w:space="0" w:color="auto"/>
        <w:bottom w:val="none" w:sz="0" w:space="0" w:color="auto"/>
        <w:right w:val="none" w:sz="0" w:space="0" w:color="auto"/>
      </w:divBdr>
    </w:div>
    <w:div w:id="20448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PL/TXT/HTML/?uri=OJ:L:2011:160:FULL&amp;from=PL" TargetMode="External"/><Relationship Id="rId2" Type="http://schemas.openxmlformats.org/officeDocument/2006/relationships/hyperlink" Target="https://eur-lex.europa.eu/legal-content/PL/TXT/HTML/?uri=OJ:L:2008:053:FULL&amp;from=PL" TargetMode="External"/><Relationship Id="rId1" Type="http://schemas.openxmlformats.org/officeDocument/2006/relationships/hyperlink" Target="https://eur-lex.europa.eu/legal-content/PL/TXT/HTML/?uri=CELEX:21999A0710(02)&amp;from=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D381B47-A860-4866-9300-E9D1BE01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21</Pages>
  <Words>6562</Words>
  <Characters>42331</Characters>
  <Application>Microsoft Office Word</Application>
  <DocSecurity>0</DocSecurity>
  <Lines>755</Lines>
  <Paragraphs>235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2019-01-03T07:01:00Z</cp:lastPrinted>
  <dcterms:created xsi:type="dcterms:W3CDTF">2019-01-14T08:33:00Z</dcterms:created>
  <dcterms:modified xsi:type="dcterms:W3CDTF">2019-01-14T09:41:00Z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