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3830F5F-CB90-4932-8C6E-F1532C363265" style="width:450.8pt;height:351.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Bdr>
          <w:top w:val="nil"/>
          <w:left w:val="nil"/>
          <w:bottom w:val="nil"/>
          <w:right w:val="nil"/>
          <w:between w:val="nil"/>
          <w:bar w:val="nil"/>
        </w:pBdr>
        <w:spacing w:before="0" w:after="240"/>
        <w:rPr>
          <w:rFonts w:eastAsia="Times New Roman"/>
          <w:noProof/>
        </w:rPr>
      </w:pPr>
      <w:r>
        <w:rPr>
          <w:noProof/>
        </w:rPr>
        <w:t xml:space="preserve">Uredba Sveta (EU) 2017/1939 o izvajanju okrepljenega sodelovanja v zvezi z ustanovitvijo Evropskega javnega tožilstva (EJT) je bila sprejeta 12. oktobra 2017 in je začela veljati 20. novembra 2017. V skladu s členom 16(3) Uredbe Sveta (EU) 2017/1939 se evropski tožilci imenujejo za obdobje 6 let brez možnosti podaljšanja. To obdobje se lahko s sklepom Sveta podaljša za največ tri leta. </w:t>
      </w:r>
    </w:p>
    <w:p>
      <w:pPr>
        <w:pBdr>
          <w:top w:val="nil"/>
          <w:left w:val="nil"/>
          <w:bottom w:val="nil"/>
          <w:right w:val="nil"/>
          <w:between w:val="nil"/>
          <w:bar w:val="nil"/>
        </w:pBdr>
        <w:spacing w:before="0" w:after="240"/>
        <w:rPr>
          <w:rFonts w:eastAsia="Times New Roman"/>
          <w:noProof/>
        </w:rPr>
      </w:pPr>
      <w:r>
        <w:rPr>
          <w:noProof/>
        </w:rPr>
        <w:t xml:space="preserve">Člen 16(4) Uredbe Sveta (EU) 2017/1939 določa, da se vsaka tri leta izvede delna zamenjava ene tretjine evropskih tožilcev. Svet z navadno večino sprejme prehodna pravila za imenovanje evropskih tožilcev, ki veljajo za prvo mandatno obdobje in med njim. </w:t>
      </w:r>
    </w:p>
    <w:p>
      <w:pPr>
        <w:pBdr>
          <w:top w:val="nil"/>
          <w:left w:val="nil"/>
          <w:bottom w:val="nil"/>
          <w:right w:val="nil"/>
          <w:between w:val="nil"/>
          <w:bar w:val="nil"/>
        </w:pBdr>
        <w:spacing w:before="0" w:after="240"/>
        <w:rPr>
          <w:rFonts w:eastAsia="Times New Roman"/>
          <w:noProof/>
        </w:rPr>
      </w:pPr>
      <w:r>
        <w:rPr>
          <w:noProof/>
        </w:rPr>
        <w:t xml:space="preserve">Ta predlog določa prehodna pravila za delno zamenjavo prve skupine imenovanih evropskih tožilcev. V skladu s predlaganimi pravili tretjina teh evropskih tožilcev odsluži triletni mandat namesto običajnega šestletnega mandata, ki ga določa Uredba (EU) 2017/1939, nato pa se zamenjajo, da se upošteva pravilo o delni zamenjavi iz člena 16(4). </w:t>
      </w:r>
    </w:p>
    <w:p>
      <w:pPr>
        <w:pBdr>
          <w:top w:val="nil"/>
          <w:left w:val="nil"/>
          <w:bottom w:val="nil"/>
          <w:right w:val="nil"/>
          <w:between w:val="nil"/>
          <w:bar w:val="nil"/>
        </w:pBdr>
        <w:spacing w:before="0" w:after="240"/>
        <w:rPr>
          <w:rFonts w:eastAsia="Times New Roman"/>
          <w:noProof/>
        </w:rPr>
      </w:pPr>
      <w:r>
        <w:rPr>
          <w:noProof/>
        </w:rPr>
        <w:t>Za zagotovitev nepristranskega, preglednega in pravičnega sistema za določitev tega, kateri evropski tožilci bodo imenovani za krajše prvo mandatno obdobje, se predlaga vzpostavitev sistema, ki temelji na žrebu. S tem sistemom se bo zagotovilo, da določitev zadevnih evropskih tožilcev ne bo pristranska, tudi ne z vidika njihovega državljanstva. Geografski razpon držav članic v kolegiju EJT je zagotovljen s stalno prisotnostjo enega evropskega tožilca na sodelujočo državo članico v okviru kolegija EJT in z uporabo geografsko nevtralnega naključnega sistema. To je v skladu z navedbo iz uvodne izjave 42 Uredbe (EU) 2017/1939.</w:t>
      </w:r>
    </w:p>
    <w:p>
      <w:pPr>
        <w:pBdr>
          <w:top w:val="nil"/>
          <w:left w:val="nil"/>
          <w:bottom w:val="nil"/>
          <w:right w:val="nil"/>
          <w:between w:val="nil"/>
          <w:bar w:val="nil"/>
        </w:pBdr>
        <w:spacing w:before="0" w:after="240"/>
        <w:rPr>
          <w:rFonts w:eastAsia="Times New Roman"/>
          <w:noProof/>
        </w:rPr>
      </w:pPr>
      <w:r>
        <w:rPr>
          <w:noProof/>
        </w:rPr>
        <w:t>Oblikovanje sistema, ki temelji na žrebu, je skladno tudi s podobnimi mehanizmi, sprejetimi na drugih primerljivih področjih politike EU</w:t>
      </w:r>
      <w:r>
        <w:rPr>
          <w:rStyle w:val="FootnoteReference"/>
          <w:noProof/>
        </w:rPr>
        <w:footnoteReference w:id="1"/>
      </w:r>
      <w:r>
        <w:rPr>
          <w:noProof/>
        </w:rPr>
        <w:t xml:space="preserve">. </w:t>
      </w:r>
    </w:p>
    <w:p>
      <w:pPr>
        <w:pBdr>
          <w:top w:val="nil"/>
          <w:left w:val="nil"/>
          <w:bottom w:val="nil"/>
          <w:right w:val="nil"/>
          <w:between w:val="nil"/>
          <w:bar w:val="nil"/>
        </w:pBdr>
        <w:spacing w:before="0" w:after="240"/>
        <w:rPr>
          <w:rFonts w:eastAsia="Times New Roman"/>
          <w:noProof/>
        </w:rPr>
      </w:pPr>
      <w:r>
        <w:rPr>
          <w:noProof/>
        </w:rPr>
        <w:t>Predlog vsebuje tudi določbe o postopku, ki se uporablja za žrebanje, vključno z navedbo odgovornih institucij.</w:t>
      </w:r>
    </w:p>
    <w:p>
      <w:pPr>
        <w:pBdr>
          <w:top w:val="nil"/>
          <w:left w:val="nil"/>
          <w:bottom w:val="nil"/>
          <w:right w:val="nil"/>
          <w:between w:val="nil"/>
          <w:bar w:val="nil"/>
        </w:pBdr>
        <w:spacing w:before="0" w:after="240"/>
        <w:rPr>
          <w:rFonts w:eastAsia="Times New Roman"/>
          <w:noProof/>
        </w:rPr>
      </w:pPr>
      <w:r>
        <w:rPr>
          <w:noProof/>
        </w:rPr>
        <w:t xml:space="preserve">Ti ukrepi se v skladu z Uredbo (EU) 2017/1939 zahtevajo kot pogoj za vzpostavitev kolegija EJT. </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rFonts w:eastAsia="Arial Unicode MS"/>
          <w:noProof/>
        </w:rPr>
      </w:pPr>
      <w:r>
        <w:rPr>
          <w:noProof/>
        </w:rPr>
        <w:t xml:space="preserve">Ta izvedbeni ukrep je obvezen korak v postopku ustanovitve EJT in je tako povsem v skladu z drugimi obstoječimi veljavnimi predpisi s področja zadevne politike. Komisija s predložitvijo tega predloga izvedbenega sklepa Sveta izpolnjuje svojo obveznost iz člena 16(4) Uredbe </w:t>
      </w:r>
      <w:r>
        <w:rPr>
          <w:noProof/>
          <w:color w:val="000000" w:themeColor="text1"/>
        </w:rPr>
        <w:t>Sveta</w:t>
      </w:r>
      <w:r>
        <w:rPr>
          <w:noProof/>
        </w:rPr>
        <w:t xml:space="preserve"> (EU) 2017/1939. Ta predlog bo omogočil vzpostavitev ustreznih prehodnih pravil v zvezi s prvim mandatom evropskih tožilcev. </w:t>
      </w:r>
    </w:p>
    <w:p>
      <w:pPr>
        <w:pStyle w:val="ManualHeading2"/>
        <w:rPr>
          <w:rFonts w:eastAsia="Arial Unicode MS"/>
          <w:noProof/>
        </w:rPr>
      </w:pPr>
      <w:r>
        <w:rPr>
          <w:noProof/>
          <w:color w:val="000000"/>
          <w:u w:color="000000"/>
          <w:bdr w:val="nil"/>
        </w:rPr>
        <w:lastRenderedPageBreak/>
        <w:t>•</w:t>
      </w:r>
      <w:r>
        <w:rPr>
          <w:noProof/>
        </w:rPr>
        <w:tab/>
        <w:t>Skladnost z drugimi politikami Unije</w:t>
      </w:r>
    </w:p>
    <w:p>
      <w:pPr>
        <w:pBdr>
          <w:top w:val="nil"/>
          <w:left w:val="nil"/>
          <w:bottom w:val="nil"/>
          <w:right w:val="nil"/>
          <w:between w:val="nil"/>
          <w:bar w:val="nil"/>
        </w:pBdr>
        <w:spacing w:before="0" w:after="240"/>
        <w:rPr>
          <w:rFonts w:eastAsia="Arial Unicode MS"/>
          <w:noProof/>
        </w:rPr>
      </w:pPr>
      <w:r>
        <w:rPr>
          <w:noProof/>
        </w:rPr>
        <w:t xml:space="preserve">Ta pobuda je skladna z drugimi politikami Unije in zakonodajnimi spremembami, namenjenimi krepitvi zaščite finančnih interesov Unije. </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rFonts w:eastAsia="Arial Unicode MS"/>
          <w:noProof/>
        </w:rPr>
      </w:pPr>
      <w:r>
        <w:rPr>
          <w:noProof/>
        </w:rPr>
        <w:t xml:space="preserve">Predlog temelji na členu 291 PDEU v povezavi s členom 16(4) Uredbe Sveta (EU) 2017/1939. </w:t>
      </w:r>
    </w:p>
    <w:p>
      <w:pPr>
        <w:pStyle w:val="ManualHeading2"/>
        <w:rPr>
          <w:rFonts w:eastAsia="Arial Unicode MS"/>
          <w:noProof/>
          <w:u w:color="000000"/>
          <w:bdr w:val="nil"/>
        </w:rPr>
      </w:pPr>
      <w:r>
        <w:rPr>
          <w:noProof/>
        </w:rPr>
        <w:t>•</w:t>
      </w:r>
      <w:r>
        <w:rPr>
          <w:noProof/>
        </w:rPr>
        <w:tab/>
        <w:t xml:space="preserve">Subsidiarnost (za neizključno pristojnost) </w:t>
      </w:r>
    </w:p>
    <w:p>
      <w:pPr>
        <w:pBdr>
          <w:top w:val="nil"/>
          <w:left w:val="nil"/>
          <w:bottom w:val="nil"/>
          <w:right w:val="nil"/>
          <w:between w:val="nil"/>
          <w:bar w:val="nil"/>
        </w:pBdr>
        <w:spacing w:before="0" w:after="240"/>
        <w:rPr>
          <w:rFonts w:eastAsia="Arial Unicode MS"/>
          <w:noProof/>
          <w:color w:val="000000" w:themeColor="text1"/>
        </w:rPr>
      </w:pPr>
      <w:r>
        <w:rPr>
          <w:noProof/>
        </w:rPr>
        <w:t xml:space="preserve">V skladu z Uredbo Sveta (EU) 2017/1939 mora Svet sprejeti prehodna pravila za imenovanje evropskih tožilcev, ki veljajo za prvo mandatno obdobje in med njim. Ukrepanje na ravni Unije se tako zahteva z navedeno uredbo. </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rFonts w:eastAsia="Arial Unicode MS"/>
          <w:noProof/>
        </w:rPr>
      </w:pPr>
      <w:r>
        <w:rPr>
          <w:noProof/>
        </w:rPr>
        <w:t xml:space="preserve">Ta predlog je omejen na tisto, kar je potrebno za dosego predlaganih ciljev, in je zato v skladu z načelom sorazmernosti. Predlog je neposredno povezan z začetkom veljavnosti Uredbe Sveta (EU) 2017/1939 in bistvenega pomena za hitro ustanovitev EJT. </w:t>
      </w:r>
    </w:p>
    <w:p>
      <w:pPr>
        <w:pBdr>
          <w:top w:val="nil"/>
          <w:left w:val="nil"/>
          <w:bottom w:val="nil"/>
          <w:right w:val="nil"/>
          <w:between w:val="nil"/>
          <w:bar w:val="nil"/>
        </w:pBdr>
        <w:spacing w:before="0" w:after="240"/>
        <w:rPr>
          <w:b/>
          <w:smallCaps/>
          <w:noProof/>
        </w:rPr>
      </w:pPr>
      <w:r>
        <w:rPr>
          <w:b/>
          <w:smallCaps/>
          <w:noProof/>
        </w:rPr>
        <w:t>3.</w:t>
      </w:r>
      <w:r>
        <w:rPr>
          <w:b/>
          <w:smallCaps/>
          <w:noProof/>
        </w:rPr>
        <w:tab/>
        <w:t>REZULTATI NAKNADNIH OCEN, POSVETOVANJ Z ZAINTERESIRANIMI STRANMI IN OCEN UČINKA</w:t>
      </w:r>
    </w:p>
    <w:p>
      <w:pPr>
        <w:pBdr>
          <w:top w:val="nil"/>
          <w:left w:val="nil"/>
          <w:bottom w:val="nil"/>
          <w:right w:val="nil"/>
          <w:between w:val="nil"/>
          <w:bar w:val="nil"/>
        </w:pBdr>
        <w:spacing w:before="0" w:after="240"/>
        <w:rPr>
          <w:rFonts w:eastAsia="Arial Unicode MS"/>
          <w:noProof/>
        </w:rPr>
      </w:pPr>
      <w:r>
        <w:rPr>
          <w:noProof/>
        </w:rPr>
        <w:t xml:space="preserve"> Glede na namenskost in omejeno naravo tega predloga ter na to, da se z njim izvaja obveznost Komisije iz člena 16(4) Uredbe Sveta (EU) 2017/1939, zanj niso bile izvedene naknadne ocene, posvetovanja z zainteresiranimi stranmi in ocena učinka.</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rFonts w:eastAsia="Arial Unicode MS"/>
          <w:noProof/>
        </w:rPr>
      </w:pPr>
      <w:r>
        <w:rPr>
          <w:noProof/>
        </w:rPr>
        <w:t xml:space="preserve">Ta predlog nima neposrednih proračunskih posledic; plače in nadomestila evropskih tožilcev bodo krite iz prispevka iz proračuna EU za tekoče stroške EJT. </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pBdr>
          <w:top w:val="nil"/>
          <w:left w:val="nil"/>
          <w:bottom w:val="nil"/>
          <w:right w:val="nil"/>
          <w:between w:val="nil"/>
          <w:bar w:val="nil"/>
        </w:pBdr>
        <w:spacing w:before="0" w:after="240"/>
        <w:rPr>
          <w:rFonts w:eastAsia="Arial Unicode MS"/>
          <w:noProof/>
        </w:rPr>
      </w:pPr>
      <w:r>
        <w:rPr>
          <w:noProof/>
        </w:rPr>
        <w:t xml:space="preserve">Glede na naravo tega ukrepa ni potrebe po načrtu za izvedbo ter ureditvi spremljanja izvajanja. </w:t>
      </w:r>
    </w:p>
    <w:p>
      <w:pPr>
        <w:pStyle w:val="ManualHeading2"/>
        <w:rPr>
          <w:rFonts w:eastAsia="Arial Unicode MS"/>
          <w:noProof/>
          <w:u w:color="000000"/>
          <w:bdr w:val="nil"/>
        </w:rPr>
      </w:pPr>
      <w:r>
        <w:rPr>
          <w:noProof/>
        </w:rPr>
        <w:t>•</w:t>
      </w:r>
      <w:r>
        <w:rPr>
          <w:noProof/>
        </w:rPr>
        <w:tab/>
        <w:t>Obrazložitveni dokumenti (za direktive)</w:t>
      </w:r>
    </w:p>
    <w:p>
      <w:pPr>
        <w:pBdr>
          <w:top w:val="nil"/>
          <w:left w:val="nil"/>
          <w:bottom w:val="nil"/>
          <w:right w:val="nil"/>
          <w:between w:val="nil"/>
          <w:bar w:val="nil"/>
        </w:pBdr>
        <w:spacing w:before="0" w:after="240"/>
        <w:rPr>
          <w:rFonts w:eastAsia="Arial Unicode MS"/>
          <w:noProof/>
        </w:rPr>
      </w:pPr>
      <w:r>
        <w:rPr>
          <w:noProof/>
        </w:rPr>
        <w:t xml:space="preserve">Za predlog niso potrebni obrazložitveni dokumenti o prenosu. </w:t>
      </w:r>
    </w:p>
    <w:p>
      <w:pPr>
        <w:pStyle w:val="ManualHeading2"/>
        <w:rPr>
          <w:rFonts w:eastAsia="Arial Unicode MS"/>
          <w:noProof/>
          <w:u w:color="000000"/>
          <w:bdr w:val="nil"/>
        </w:rPr>
      </w:pPr>
      <w:r>
        <w:rPr>
          <w:noProof/>
        </w:rPr>
        <w:t>•</w:t>
      </w:r>
      <w:r>
        <w:rPr>
          <w:noProof/>
        </w:rPr>
        <w:tab/>
        <w:t>Natančnejša pojasnitev posameznih določb predloga</w:t>
      </w:r>
    </w:p>
    <w:p>
      <w:pPr>
        <w:rPr>
          <w:noProof/>
        </w:rPr>
      </w:pPr>
      <w:r>
        <w:rPr>
          <w:noProof/>
        </w:rPr>
        <w:t>Člen 1 opredeljuje cilje izvedbenega sklepa Sveta.</w:t>
      </w:r>
    </w:p>
    <w:p>
      <w:pPr>
        <w:rPr>
          <w:noProof/>
        </w:rPr>
      </w:pPr>
      <w:r>
        <w:rPr>
          <w:noProof/>
        </w:rPr>
        <w:t xml:space="preserve">Člen 2 določa postopek za delno zamenjavo evropskih tožilcev na podlagi žreba. Odstavek 1 odraža zahtevo iz člena 16(4) Uredbe (EU) 2017/1939 in opredeljuje določitev skupine evropskih tožilcev, ki šteje eno tretjino števila sodelujočih držav članic v času uporabe teh prehodnih pravil. Odstavek 2 pojasnjuje postopek, ki se uporablja, če število sodelujočih držav članic v času uporabe prehodnih pravil ni deljivo s tri. V tem primeru se število evropskih tožilcev, ki jih je treba vključiti v posamezno skupino, zaokroži na naslednje višje </w:t>
      </w:r>
      <w:r>
        <w:rPr>
          <w:noProof/>
        </w:rPr>
        <w:lastRenderedPageBreak/>
        <w:t>celo število. Odstavek 3 generalnemu sekretariatu Sveta nalaga, da v sodelovanju s Komisijo sprejme potrebne ukrepe za izvedbo tega postopka.</w:t>
      </w:r>
    </w:p>
    <w:p>
      <w:pPr>
        <w:rPr>
          <w:noProof/>
        </w:rPr>
      </w:pPr>
      <w:r>
        <w:rPr>
          <w:noProof/>
        </w:rPr>
        <w:t xml:space="preserve">Člen 3 določa, da mandat evropskih tožilcev, izžrebanih v skladu s postopkom iz člena 2, traja tri leta in ga ni mogoče podaljšati. </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Statut"/>
        <w:rPr>
          <w:noProof/>
        </w:rPr>
      </w:pPr>
      <w:r>
        <w:rPr>
          <w:noProof/>
        </w:rPr>
        <w:lastRenderedPageBreak/>
        <w:t>Predlog</w:t>
      </w:r>
    </w:p>
    <w:p>
      <w:pPr>
        <w:pStyle w:val="Typedudocument"/>
        <w:rPr>
          <w:noProof/>
        </w:rPr>
      </w:pPr>
      <w:r>
        <w:rPr>
          <w:noProof/>
        </w:rPr>
        <w:t>IZVEDBENI SKLEP SVETA</w:t>
      </w:r>
    </w:p>
    <w:p>
      <w:pPr>
        <w:pStyle w:val="Titreobjet"/>
        <w:rPr>
          <w:noProof/>
        </w:rPr>
      </w:pPr>
      <w:r>
        <w:rPr>
          <w:noProof/>
        </w:rPr>
        <w:t>o prehodnih pravilih za imenovanje evropskih tožilcev, ki veljajo za prvo mandatno obdobje in med njim, iz člena 16(4) Uredbe (EU) 2017/1939 o izvajanju okrepljenega sodelovanja v zvezi z ustanovitvijo Evropskega javnega tožilstva (EJT)</w:t>
      </w:r>
    </w:p>
    <w:p>
      <w:pPr>
        <w:pStyle w:val="Institutionquiagit"/>
        <w:rPr>
          <w:noProof/>
        </w:rPr>
      </w:pPr>
      <w:r>
        <w:rPr>
          <w:noProof/>
        </w:rPr>
        <w:t>SVET EVROPSKE UNIJE JE –</w:t>
      </w:r>
    </w:p>
    <w:p>
      <w:pPr>
        <w:rPr>
          <w:noProof/>
        </w:rPr>
      </w:pPr>
      <w:r>
        <w:rPr>
          <w:noProof/>
        </w:rPr>
        <w:t xml:space="preserve">ob upoštevanju Pogodbe o delovanju Evropske unije, </w:t>
      </w:r>
    </w:p>
    <w:p>
      <w:pPr>
        <w:rPr>
          <w:noProof/>
        </w:rPr>
      </w:pPr>
      <w:r>
        <w:rPr>
          <w:noProof/>
        </w:rPr>
        <w:t>ob upoštevanju Uredbe Sveta (EU) 2017/1939 z dne 12. oktobra 2017 o izvajanju okrepljenega sodelovanja v zvezi z ustanovitvijo Evropskega javnega tožilstva (EJT)</w:t>
      </w:r>
      <w:r>
        <w:rPr>
          <w:rStyle w:val="FootnoteReference"/>
          <w:noProof/>
        </w:rPr>
        <w:footnoteReference w:id="2"/>
      </w:r>
      <w:r>
        <w:rPr>
          <w:noProof/>
        </w:rPr>
        <w:t xml:space="preserve"> in zlasti člena 16(4) Uredbe,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V skladu s členom 16(3) Uredbe (EU) 2017/1939 Svet imenuje evropske tožilce za mandat šestih let brez možnosti podaljšanja, ki pa se lahko ob koncu šestletnega obdobja podaljša za največ tri leta.</w:t>
      </w:r>
    </w:p>
    <w:p>
      <w:pPr>
        <w:pStyle w:val="ManualConsidrant"/>
        <w:rPr>
          <w:noProof/>
        </w:rPr>
      </w:pPr>
      <w:r>
        <w:t>(2)</w:t>
      </w:r>
      <w:r>
        <w:tab/>
      </w:r>
      <w:r>
        <w:rPr>
          <w:noProof/>
        </w:rPr>
        <w:t>V skladu s členom 16(4) bi se morala vsaka tri leta izvesti delna zamenjava ene tretjine evropskih tožilcev. Svet bi moral z navadno večino sprejeti prehodna pravila za imenovanje evropskih tožilcev, ki veljajo med prvim mandatnim obdobjem.</w:t>
      </w:r>
    </w:p>
    <w:p>
      <w:pPr>
        <w:pStyle w:val="ManualConsidrant"/>
        <w:rPr>
          <w:noProof/>
        </w:rPr>
      </w:pPr>
      <w:r>
        <w:t>(3)</w:t>
      </w:r>
      <w:r>
        <w:tab/>
      </w:r>
      <w:r>
        <w:rPr>
          <w:noProof/>
        </w:rPr>
        <w:t>Ta prehodna pravila bi morala zagotoviti pravilno uporabo načela rednega zamenjevanja evropskih tožilcev, ki so bili prvič imenovani na EJT, da se zagotovi kontinuiteta dela kolegija evropskih tožilcev. Hkrati bi morala upoštevati posebne potrebe EJT v prvih letih po njegovi ustanovitvi in začetku delovanja.</w:t>
      </w:r>
    </w:p>
    <w:p>
      <w:pPr>
        <w:pStyle w:val="ManualConsidrant"/>
        <w:rPr>
          <w:noProof/>
        </w:rPr>
      </w:pPr>
      <w:r>
        <w:t>(4)</w:t>
      </w:r>
      <w:r>
        <w:tab/>
      </w:r>
      <w:r>
        <w:rPr>
          <w:noProof/>
        </w:rPr>
        <w:t xml:space="preserve">Zato bi bilo treba določiti posebna pravila o trajanju mandata evropskih tožilcev, ki so prvič imenovani neposredno po začetku veljavnosti Uredbe (EU) 2017/1939. </w:t>
      </w:r>
    </w:p>
    <w:p>
      <w:pPr>
        <w:pStyle w:val="ManualConsidrant"/>
        <w:rPr>
          <w:noProof/>
        </w:rPr>
      </w:pPr>
      <w:r>
        <w:t>(5)</w:t>
      </w:r>
      <w:r>
        <w:tab/>
      </w:r>
      <w:r>
        <w:rPr>
          <w:noProof/>
        </w:rPr>
        <w:t>Za zagotovitev popolne preglednosti in nepristranskosti pri določanju tistih evropskih tožilcev, katerih mandat v prvem mandatnem obdobju namesto šest let traja tri leta, je treba uporabiti sistem, ki temelji na žrebu. Ta sistem bo zagotovil tudi geografsko nevtralnost izbire evropskih tožilcev s krajšim mandatom –</w:t>
      </w:r>
    </w:p>
    <w:p>
      <w:pPr>
        <w:pStyle w:val="Formuledadoption"/>
        <w:rPr>
          <w:noProof/>
        </w:rPr>
      </w:pPr>
      <w:r>
        <w:rPr>
          <w:noProof/>
        </w:rPr>
        <w:t xml:space="preserve">SPREJEL NASLEDNJI SKLEP: </w:t>
      </w:r>
    </w:p>
    <w:p>
      <w:pPr>
        <w:pStyle w:val="Titrearticle"/>
        <w:rPr>
          <w:noProof/>
        </w:rPr>
      </w:pPr>
      <w:r>
        <w:rPr>
          <w:noProof/>
        </w:rPr>
        <w:t>Člen 1</w:t>
      </w:r>
    </w:p>
    <w:p>
      <w:pPr>
        <w:rPr>
          <w:noProof/>
        </w:rPr>
      </w:pPr>
      <w:r>
        <w:rPr>
          <w:noProof/>
        </w:rPr>
        <w:t>Ta sklep določa prehodna pravila za imenovanje evropskih tožilcev, ki veljajo za prvo mandatno obdobje po začetku veljavnosti Uredbe (EU) 2017/1939 in med njim.</w:t>
      </w:r>
    </w:p>
    <w:p>
      <w:pPr>
        <w:pStyle w:val="Titrearticle"/>
        <w:rPr>
          <w:noProof/>
        </w:rPr>
      </w:pPr>
      <w:r>
        <w:rPr>
          <w:noProof/>
        </w:rPr>
        <w:lastRenderedPageBreak/>
        <w:t>Člen 2</w:t>
      </w:r>
    </w:p>
    <w:p>
      <w:pPr>
        <w:pStyle w:val="ManualNumPar1"/>
        <w:rPr>
          <w:noProof/>
        </w:rPr>
      </w:pPr>
      <w:r>
        <w:t>1.</w:t>
      </w:r>
      <w:r>
        <w:tab/>
      </w:r>
      <w:r>
        <w:rPr>
          <w:noProof/>
        </w:rPr>
        <w:t xml:space="preserve">Takoj po imenovanju evropskih tožilcev se z žrebom določi skupina evropskih tožilcev, ki šteje eno tretjino števila sodelujočih držav članic v času uporabe teh prehodnih pravil. </w:t>
      </w:r>
    </w:p>
    <w:p>
      <w:pPr>
        <w:pStyle w:val="ManualNumPar1"/>
        <w:rPr>
          <w:noProof/>
          <w:szCs w:val="24"/>
        </w:rPr>
      </w:pPr>
      <w:r>
        <w:t>2.</w:t>
      </w:r>
      <w:r>
        <w:tab/>
      </w:r>
      <w:r>
        <w:rPr>
          <w:noProof/>
        </w:rPr>
        <w:t>Če število sodelujočih držav članic v času uporabe teh prehodnih pravil ni deljivo s tri, se število evropskih tožilcev, ki se vključijo v to skupino, zaokroži na najbližje višje celo število.</w:t>
      </w:r>
    </w:p>
    <w:p>
      <w:pPr>
        <w:pStyle w:val="ManualNumPar1"/>
        <w:rPr>
          <w:noProof/>
          <w:szCs w:val="24"/>
        </w:rPr>
      </w:pPr>
      <w:r>
        <w:t>3.</w:t>
      </w:r>
      <w:r>
        <w:tab/>
      </w:r>
      <w:r>
        <w:rPr>
          <w:noProof/>
        </w:rPr>
        <w:t>Generalni sekretariat Sveta v tesnem sodelovanju s Komisijo sprejme potrebne ukrepe za izvajanje postopka žrebanja.</w:t>
      </w:r>
    </w:p>
    <w:p>
      <w:pPr>
        <w:pStyle w:val="Titrearticle"/>
        <w:rPr>
          <w:noProof/>
        </w:rPr>
      </w:pPr>
      <w:r>
        <w:rPr>
          <w:noProof/>
        </w:rPr>
        <w:t>Člen 3</w:t>
      </w:r>
    </w:p>
    <w:p>
      <w:pPr>
        <w:rPr>
          <w:noProof/>
        </w:rPr>
      </w:pPr>
      <w:r>
        <w:rPr>
          <w:noProof/>
        </w:rPr>
        <w:t>Mandat evropskih tožilcev, vključenih v skupino, sestavljeno v skladu s členom 2, traja tri leta. Imenovanja teh evropskih tožilcev ni mogoče podaljšati.</w:t>
      </w:r>
    </w:p>
    <w:p>
      <w:pPr>
        <w:pStyle w:val="Titrearticle"/>
        <w:rPr>
          <w:noProof/>
        </w:rPr>
      </w:pPr>
      <w:r>
        <w:rPr>
          <w:noProof/>
        </w:rPr>
        <w:t>Člen 4</w:t>
      </w:r>
    </w:p>
    <w:p>
      <w:pPr>
        <w:keepNext/>
        <w:keepLines/>
        <w:rPr>
          <w:noProof/>
        </w:rPr>
      </w:pPr>
      <w:r>
        <w:rPr>
          <w:noProof/>
        </w:rPr>
        <w:t xml:space="preserve">Ta sklep začne veljati [dvajseti…] dan po objavi v </w:t>
      </w:r>
      <w:r>
        <w:rPr>
          <w:i/>
          <w:noProof/>
        </w:rPr>
        <w:t>Uradnem listu Evropske unije</w:t>
      </w:r>
      <w:r>
        <w:rPr>
          <w:noProof/>
        </w:rPr>
        <w:t>.</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Glej npr. člen 46(2) Akta o pogojih pristopa Češke republike, Republike Estonije, Republike Ciper, Republike Latvije, Republike Litve, Republike Madžarske, Republike Malte, Republike Poljske, Republike Slovenije in Slovaške republike in prilagoditvah Pogodb, na katerih temelji Evropska unija (UL L 236, 23.9. 2003, str. 47) ter člen 21(2) Uredbe (EU, Euratom) št. 883/2013 Evropskega parlamenta in Sveta z dne 11. septembra 2013 o preiskavah, ki jih izvaja Evropski urad za boj proti goljufijam (OLAF), ter razveljavitvi Uredbe (ES) št. 1073/1999 Evropskega parlamenta in Sveta in Uredbe Sveta (Euratom) št. 1074/1999 (UL L 248, 18.9. 2013, str. 16).</w:t>
      </w:r>
    </w:p>
  </w:footnote>
  <w:footnote w:id="2">
    <w:p>
      <w:pPr>
        <w:pStyle w:val="FootnoteText"/>
      </w:pPr>
      <w:r>
        <w:rPr>
          <w:rStyle w:val="FootnoteReference"/>
        </w:rPr>
        <w:footnoteRef/>
      </w:r>
      <w:r>
        <w:tab/>
        <w:t>UL L 283, 31.10.2017,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30472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474DA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60816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36682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1420F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B29A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D005E68"/>
    <w:lvl w:ilvl="0">
      <w:start w:val="1"/>
      <w:numFmt w:val="decimal"/>
      <w:pStyle w:val="ListNumber"/>
      <w:lvlText w:val="%1."/>
      <w:lvlJc w:val="left"/>
      <w:pPr>
        <w:tabs>
          <w:tab w:val="num" w:pos="360"/>
        </w:tabs>
        <w:ind w:left="360" w:hanging="360"/>
      </w:pPr>
    </w:lvl>
  </w:abstractNum>
  <w:abstractNum w:abstractNumId="7">
    <w:nsid w:val="FFFFFF89"/>
    <w:multiLevelType w:val="singleLevel"/>
    <w:tmpl w:val="B7BE70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VORSKY Jan (SJ)">
    <w15:presenceInfo w15:providerId="None" w15:userId="JAVORSKY Jan (SJ)"/>
  </w15:person>
  <w15:person w15:author="BAQUERO CRUZ Julio (SJ)">
    <w15:presenceInfo w15:providerId="None" w15:userId="BAQUERO CRUZ Julio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7 09:32: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3830F5F-CB90-4932-8C6E-F1532C363265"/>
    <w:docVar w:name="LW_COVERPAGE_TYPE" w:val="1"/>
    <w:docVar w:name="LW_CROSSREFERENCE" w:val="&lt;UNUSED&gt;"/>
    <w:docVar w:name="LW_DocType" w:val="COM"/>
    <w:docVar w:name="LW_EMISSION" w:val="11.1.2019"/>
    <w:docVar w:name="LW_EMISSION_ISODATE" w:val="2019-01-11"/>
    <w:docVar w:name="LW_EMISSION_LOCATION" w:val="BRX"/>
    <w:docVar w:name="LW_EMISSION_PREFIX" w:val="Bruselj, "/>
    <w:docVar w:name="LW_EMISSION_SUFFIX" w:val=" "/>
    <w:docVar w:name="LW_ID_DOCMODEL" w:val="SJ-021"/>
    <w:docVar w:name="LW_ID_DOCSIGNATURE" w:val="SJ-021"/>
    <w:docVar w:name="LW_ID_DOCSTRUCTURE" w:val="COM/PL/ORG"/>
    <w:docVar w:name="LW_ID_DOCTYPE" w:val="SJ-021"/>
    <w:docVar w:name="LW_ID_EXP.MOTIFS.NEW" w:val="EM_PL_"/>
    <w:docVar w:name="LW_ID_STATUT" w:val="SJ-021"/>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9) 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prehodnih pravilih za imenovanje evropskih to\u382?ilcev, ki veljajo za prvo mandatno obdobje in med njim, iz \u269?lena 16(4) Uredbe (EU) 2017/1939 o izvajanju okrepljenega sodelovanja v zvezi z ustanovitvijo Evropskega javnega to\u382?ilstva (EJT)"/>
    <w:docVar w:name="LW_TYPE.DOC.CP" w:val="IZVEDBENI 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1168</Words>
  <Characters>6766</Characters>
  <Application>Microsoft Office Word</Application>
  <DocSecurity>0</DocSecurity>
  <Lines>130</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dcterms:created xsi:type="dcterms:W3CDTF">2019-01-04T13:37:00Z</dcterms:created>
  <dcterms:modified xsi:type="dcterms:W3CDTF">2019-01-07T08:32:00Z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SJ-021</vt:lpwstr>
  </property>
  <property fmtid="{D5CDD505-2E9C-101B-9397-08002B2CF9AE}" pid="10" name="DQCStatus">
    <vt:lpwstr>Green (DQC version 03)</vt:lpwstr>
  </property>
</Properties>
</file>