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9A52DB2-3B3F-4DE1-A74E-D4B843775D94"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rFonts w:eastAsia="Times New Roman"/>
          <w:noProof/>
        </w:rPr>
      </w:pPr>
      <w:r>
        <w:rPr>
          <w:noProof/>
        </w:rPr>
        <w:t>Az Európai Ügyészség létrehozására vonatkozó megerősített együttműködés bevezetéséről szóló (EU) 2017/1939 tanácsi rendeletet 2017. október 12-én fogadták el, és 2017. november 20-án lépett hatályba. Az (EU) 2017/1939 tanácsi rendelet 16. cikkének (3) bekezdésével összhangban az európai ügyészeket 6 éves, nem megújítható időtartamra nevezik ki. A Tanács legfeljebb három évvel meghosszabbítja a megbízatásuk időtartamát.</w:t>
      </w:r>
    </w:p>
    <w:p>
      <w:pPr>
        <w:pBdr>
          <w:top w:val="nil"/>
          <w:left w:val="nil"/>
          <w:bottom w:val="nil"/>
          <w:right w:val="nil"/>
          <w:between w:val="nil"/>
          <w:bar w:val="nil"/>
        </w:pBdr>
        <w:spacing w:before="0" w:after="240"/>
        <w:rPr>
          <w:rFonts w:eastAsia="Times New Roman"/>
          <w:noProof/>
        </w:rPr>
      </w:pPr>
      <w:r>
        <w:rPr>
          <w:noProof/>
        </w:rPr>
        <w:t>Az (EU) 2017/1939 tanácsi rendelet 16. cikkének (4) bekezdése értelmében az európai ügyészek egyharmadának helyére háromévente új személyeket kell kinevezni. A Tanács – egyszerű többséggel – átmeneti szabályokat fogad el az európai ügyészeknek az első hivatali időre szóló, illetve az első hivatali idő alatt történő kinevezésére vonatkozóan.</w:t>
      </w:r>
    </w:p>
    <w:p>
      <w:pPr>
        <w:pBdr>
          <w:top w:val="nil"/>
          <w:left w:val="nil"/>
          <w:bottom w:val="nil"/>
          <w:right w:val="nil"/>
          <w:between w:val="nil"/>
          <w:bar w:val="nil"/>
        </w:pBdr>
        <w:spacing w:before="0" w:after="240"/>
        <w:rPr>
          <w:rFonts w:eastAsia="Times New Roman"/>
          <w:noProof/>
        </w:rPr>
      </w:pPr>
      <w:r>
        <w:rPr>
          <w:noProof/>
        </w:rPr>
        <w:t>A jelen javaslat megállapítja a kinevezett európai ügyészek első csoportja részleges megújításának szabályait. A javasolt szabályok szerint ezen európai ügyészek egyharmadának megbízatása az (EU) 2017/1939 rendeletben megállapított szokásos hat év helyett hároméves időtartamra szól, majd ezt követően helyükre új európai ügyészeket kell kinevezni annak érdekében, hogy teljesüljön a 16. cikk (4) bekezdésében előírt, a részleges megújításról szóló szabály.</w:t>
      </w:r>
    </w:p>
    <w:p>
      <w:pPr>
        <w:pBdr>
          <w:top w:val="nil"/>
          <w:left w:val="nil"/>
          <w:bottom w:val="nil"/>
          <w:right w:val="nil"/>
          <w:between w:val="nil"/>
          <w:bar w:val="nil"/>
        </w:pBdr>
        <w:spacing w:before="0" w:after="240"/>
        <w:rPr>
          <w:rFonts w:eastAsia="Times New Roman"/>
          <w:noProof/>
        </w:rPr>
      </w:pPr>
      <w:r>
        <w:rPr>
          <w:noProof/>
        </w:rPr>
        <w:t>Annak érdekében, hogy pártatlan, átlátható és igazságos rendszer alakuljon ki annak meghatározására, hogy mely európai ügyészeket nevezik ki rövidebb első hivatali időre, a javaslat sorsoláson alapuló rendszer létrehozását tartalmazza. Ez a rendszer biztosítani fogja, hogy az érintett európai ügyészek meghatározása ne elfogult módon történjen, többek között az állampolgárság alapján. Az Európai Ügyészi Kollégiumban a tagállamok földrajzi lefedettségét az biztosítja, hogy abban tagállamonként egy európai ügyész folyamatosan tagsággal rendelkezik, valamint egy földrajzi szempontból semleges, a véletlenen alapuló rendszer kerül alkalmazásra. Ez összhangban áll az (EU) 2017/1939 rendelet (42) preambulumbekezdésében foglaltakkal.</w:t>
      </w:r>
    </w:p>
    <w:p>
      <w:pPr>
        <w:pBdr>
          <w:top w:val="nil"/>
          <w:left w:val="nil"/>
          <w:bottom w:val="nil"/>
          <w:right w:val="nil"/>
          <w:between w:val="nil"/>
          <w:bar w:val="nil"/>
        </w:pBdr>
        <w:spacing w:before="0" w:after="240"/>
        <w:rPr>
          <w:rFonts w:eastAsia="Times New Roman"/>
          <w:noProof/>
        </w:rPr>
      </w:pPr>
      <w:r>
        <w:rPr>
          <w:noProof/>
        </w:rPr>
        <w:t>A sorsoláson alapuló rendszer létrehozása más hasonló uniós szakpolitikai területeken elfogadott hasonló mechanizmusokkal</w:t>
      </w:r>
      <w:r>
        <w:rPr>
          <w:rStyle w:val="FootnoteReference"/>
          <w:noProof/>
        </w:rPr>
        <w:footnoteReference w:id="1"/>
      </w:r>
      <w:r>
        <w:rPr>
          <w:noProof/>
        </w:rPr>
        <w:t xml:space="preserve"> is összhangban áll.</w:t>
      </w:r>
    </w:p>
    <w:p>
      <w:pPr>
        <w:pBdr>
          <w:top w:val="nil"/>
          <w:left w:val="nil"/>
          <w:bottom w:val="nil"/>
          <w:right w:val="nil"/>
          <w:between w:val="nil"/>
          <w:bar w:val="nil"/>
        </w:pBdr>
        <w:spacing w:before="0" w:after="240"/>
        <w:rPr>
          <w:rFonts w:eastAsia="Times New Roman"/>
          <w:noProof/>
        </w:rPr>
      </w:pPr>
      <w:r>
        <w:rPr>
          <w:noProof/>
        </w:rPr>
        <w:t>A javaslat továbbá rendelkezéseket tartalmaz a sorsolás esetén követendő eljárásra vonatkozóan, beleértve a felelős intézmények megjelölését is.</w:t>
      </w:r>
    </w:p>
    <w:p>
      <w:pPr>
        <w:pBdr>
          <w:top w:val="nil"/>
          <w:left w:val="nil"/>
          <w:bottom w:val="nil"/>
          <w:right w:val="nil"/>
          <w:between w:val="nil"/>
          <w:bar w:val="nil"/>
        </w:pBdr>
        <w:spacing w:before="0" w:after="240"/>
        <w:rPr>
          <w:rFonts w:eastAsia="Times New Roman"/>
          <w:noProof/>
        </w:rPr>
      </w:pPr>
      <w:r>
        <w:rPr>
          <w:noProof/>
        </w:rPr>
        <w:t>Ezeket az intézkedéseket az (EU) 2017/1939 rendelet írja elő az Európai Ügyészi Kollégium létrehozásának feltételeként.</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 xml:space="preserve">Ez a végrehajtási intézkedés az Európai Ügyészség létrehozásának folyamatában szükséges lépés, ezért teljes mértékben összhangban áll az e szakpolitikai területre vonatkozó egyéb meglévő rendelkezésekkel. A Bizottság a tanácsi végrehajtási határozatra irányuló jelen javaslat előterjesztésével az (EU) 2017/1939 </w:t>
      </w:r>
      <w:r>
        <w:rPr>
          <w:noProof/>
          <w:color w:val="000000" w:themeColor="text1"/>
        </w:rPr>
        <w:t>tanácsi</w:t>
      </w:r>
      <w:r>
        <w:rPr>
          <w:noProof/>
        </w:rPr>
        <w:t xml:space="preserve"> rendelet 16. cikkének (4) bekezdésében előírt kötelezettségének tesz eleget. Ez a javaslat lehetővé teszi majd az európai ügyészek első mandátumára vonatkozó megfelelő átmeneti szabályok megállapítását.</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rFonts w:eastAsia="Arial Unicode MS"/>
          <w:noProof/>
        </w:rPr>
      </w:pPr>
      <w:r>
        <w:rPr>
          <w:noProof/>
        </w:rPr>
        <w:t>E javaslat összhangban áll az Unió egyéb szakpolitikáival, valamint az Unió pénzügyi érdekei védelmének megerősítésére irányuló jogszabályi változásokkal.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rFonts w:eastAsia="Arial Unicode MS"/>
          <w:noProof/>
        </w:rPr>
      </w:pPr>
      <w:r>
        <w:rPr>
          <w:noProof/>
        </w:rPr>
        <w:t>A javaslat az EUMSZ 291. cikkén alapul, összefüggésben az (EU) 2017/1939 tanácsi rendelet 16. cikkének (4) bekezdésében foglaltakkal.</w:t>
      </w:r>
    </w:p>
    <w:p>
      <w:pPr>
        <w:pStyle w:val="ManualHeading2"/>
        <w:rPr>
          <w:rFonts w:eastAsia="Arial Unicode MS"/>
          <w:noProof/>
          <w:u w:color="000000"/>
          <w:bdr w:val="nil"/>
        </w:rPr>
      </w:pPr>
      <w:r>
        <w:rPr>
          <w:noProof/>
        </w:rPr>
        <w:t>•</w:t>
      </w:r>
      <w:r>
        <w:rPr>
          <w:noProof/>
        </w:rPr>
        <w:tab/>
        <w:t>Szubszidiaritás (nem kizárólagos hatáskör esetén)</w:t>
      </w:r>
    </w:p>
    <w:p>
      <w:pPr>
        <w:pBdr>
          <w:top w:val="nil"/>
          <w:left w:val="nil"/>
          <w:bottom w:val="nil"/>
          <w:right w:val="nil"/>
          <w:between w:val="nil"/>
          <w:bar w:val="nil"/>
        </w:pBdr>
        <w:spacing w:before="0" w:after="240"/>
        <w:rPr>
          <w:rFonts w:eastAsia="Arial Unicode MS"/>
          <w:noProof/>
          <w:color w:val="000000" w:themeColor="text1"/>
        </w:rPr>
      </w:pPr>
      <w:r>
        <w:rPr>
          <w:noProof/>
        </w:rPr>
        <w:t>Az (EU) 2017/1939 tanácsi rendeletnek megfelelően a Tanács átmeneti szabályokat fogad el az európai ügyészeknek az első hivatali időre szóló, illetve az első hivatali idő alatt történő kinevezésére vonatkozóan. Az említett rendelet ezért uniós szintű fellépést tesz szükségessé.</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E javaslat a javasolt célok eléréséhez szükséges mértékre korlátozódik, következésképpen megfelel az arányosság elvének. E javaslat közvetlenül kapcsolódik az (EU) 2017/1939 tanácsi rendelet hatálybalépéséhez, és elengedhetetlen az Európai Ügyészség gyors létrehozásának biztosításához.</w:t>
      </w:r>
    </w:p>
    <w:p>
      <w:pPr>
        <w:pStyle w:val="ManualHeading1"/>
        <w:rPr>
          <w:noProof/>
        </w:rPr>
      </w:pPr>
      <w:r>
        <w:rPr>
          <w:noProof/>
        </w:rPr>
        <w:t>3.</w:t>
      </w:r>
      <w:r>
        <w:rPr>
          <w:noProof/>
        </w:rPr>
        <w:tab/>
        <w:t>AZ UTÓLAGOS ÉRTÉKELÉSEK, AZ ÉRDEKELT FELEKKEL FOLYTATOTT KONZULTÁCIÓK ÉS A HATÁSVIZSGÁLATOK EREDMÉNYEI</w:t>
      </w:r>
    </w:p>
    <w:p>
      <w:pPr>
        <w:pBdr>
          <w:top w:val="nil"/>
          <w:left w:val="nil"/>
          <w:bottom w:val="nil"/>
          <w:right w:val="nil"/>
          <w:between w:val="nil"/>
          <w:bar w:val="nil"/>
        </w:pBdr>
        <w:spacing w:before="0" w:after="240"/>
        <w:rPr>
          <w:rFonts w:eastAsia="Arial Unicode MS"/>
          <w:noProof/>
        </w:rPr>
      </w:pPr>
      <w:r>
        <w:rPr>
          <w:noProof/>
        </w:rPr>
        <w:t>E javaslat célzott és korlátozott jellegére, valamint arra tekintettel, hogy az a Bizottságnak az (EU) 2017/1939 tanácsi rendelet 16. cikkének (4) bekezdésében foglalt kötelezettségét hajtja végre, utólagos értékelésekre, az érdekelt felekkel folytatott konzultációkra és hatásvizsgálatra nem került sor.</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javaslatnak nincsenek közvetlen költségvetési vonzatai; az Európai Ügyészség működési költségeihez nyújtott uniós költségvetési hozzájárulás fedezi az európai ügyészek illetményét és juttatásait.</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Ezen intézkedés jellegéből adódóan nincs szükség végrehajtási tervre vagy a végrehajtásra vonatkozó nyomonkövetési szabályokra.</w:t>
      </w:r>
    </w:p>
    <w:p>
      <w:pPr>
        <w:pStyle w:val="ManualHeading2"/>
        <w:rPr>
          <w:rFonts w:eastAsia="Arial Unicode MS"/>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rFonts w:eastAsia="Arial Unicode MS"/>
          <w:noProof/>
        </w:rPr>
      </w:pPr>
      <w:r>
        <w:rPr>
          <w:noProof/>
        </w:rPr>
        <w:t>E javaslathoz nincs szükség az átültetésre vonatkozó magyarázó dokumentumokra.</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Az 1. cikk meghatározza a tanácsi végrehajtási határozat célkitűzéseit.</w:t>
      </w:r>
    </w:p>
    <w:p>
      <w:pPr>
        <w:rPr>
          <w:noProof/>
        </w:rPr>
      </w:pPr>
      <w:r>
        <w:rPr>
          <w:noProof/>
        </w:rPr>
        <w:t>A 2. cikk az európai ügyészek testületének sorsolás alapján történő részleges megújítására irányuló eljárást ír elő. Az (1) bekezdés tartalmazza az (EU) 2017/1939 rendelet 16. cikkének (4) bekezdésében foglalt követelményt, amelynek értelmében meg kell határozni az európai ügyészek azon csoportját, amely a jelen átmeneti szabályok alkalmazásának időpontjában részt vevő tagállamok számának egyharmadát teszi ki. A (2) bekezdés tisztázza a követendő eljárást abban az esetben, ha az átmeneti szabályok alkalmazásának időpontjában részt vevő tagállamok száma nem osztható hárommal. Ebben az esetben az egyes csoportokba felveendő európai ügyészek számát a legközelebbi egész számra felfelé kell kerekíteni. A (3) bekezdés értelmében az ezen eljárás végrehajtásához szükséges intézkedéseket a Tanács Főtitkársága teszi meg a Bizottsággal együttműködve.</w:t>
      </w:r>
    </w:p>
    <w:p>
      <w:pPr>
        <w:rPr>
          <w:noProof/>
        </w:rPr>
      </w:pPr>
      <w:r>
        <w:rPr>
          <w:noProof/>
        </w:rPr>
        <w:t>A 3. cikk úgy rendelkezik, hogy a 2. cikkben megállapított eljárás szerint sorsolással kiválasztott európai ügyészek megbízatása hároméves hivatali időre szól, amely nem meghosszabbítható.</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Javaslat</w:t>
      </w:r>
    </w:p>
    <w:p>
      <w:pPr>
        <w:pStyle w:val="Typedudocument"/>
        <w:rPr>
          <w:noProof/>
        </w:rPr>
      </w:pPr>
      <w:r>
        <w:rPr>
          <w:noProof/>
        </w:rPr>
        <w:t>A TANÁCS VÉGREHAJTÁSI HATÁROZATA</w:t>
      </w:r>
    </w:p>
    <w:p>
      <w:pPr>
        <w:pStyle w:val="Titreobjet"/>
        <w:rPr>
          <w:noProof/>
        </w:rPr>
      </w:pPr>
      <w:r>
        <w:rPr>
          <w:noProof/>
        </w:rPr>
        <w:t>az európai ügyészek első hivatali időre szóló, illetve az első hivatali idő alatt történő kinevezésére vonatkozó, az Európai Ügyészség létrehozására vonatkozó megerősített együttműködés bevezetéséről szóló (EU) 2017/1939 rendelet 16. cikkének (4) bekezdésében előírt átmeneti szabályokról</w:t>
      </w:r>
    </w:p>
    <w:p>
      <w:pPr>
        <w:pStyle w:val="Institutionquiagit"/>
        <w:rPr>
          <w:noProof/>
        </w:rPr>
      </w:pPr>
      <w:r>
        <w:rPr>
          <w:noProof/>
        </w:rPr>
        <w:t>AZ EURÓPAI UNIÓ TANÁCSA,</w:t>
      </w:r>
    </w:p>
    <w:p>
      <w:pPr>
        <w:rPr>
          <w:noProof/>
        </w:rPr>
      </w:pPr>
      <w:r>
        <w:rPr>
          <w:noProof/>
        </w:rPr>
        <w:t>tekintettel az Európai Unió működéséről szóló szerződésre,</w:t>
      </w:r>
    </w:p>
    <w:p>
      <w:pPr>
        <w:rPr>
          <w:noProof/>
        </w:rPr>
      </w:pPr>
      <w:r>
        <w:rPr>
          <w:noProof/>
        </w:rPr>
        <w:t>tekintettel az Európai Ügyészség létrehozására vonatkozó megerősített együttműködés bevezetéséről szóló, 2017. október 12-i (EU) 2017/1939 tanácsi rendeletre</w:t>
      </w:r>
      <w:r>
        <w:rPr>
          <w:rStyle w:val="FootnoteReference"/>
          <w:noProof/>
        </w:rPr>
        <w:footnoteReference w:id="2"/>
      </w:r>
      <w:r>
        <w:rPr>
          <w:noProof/>
        </w:rPr>
        <w:t xml:space="preserve"> és különösen annak 16. cikke (4)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 2017/1939 rendelet 16. cikkének (3) bekezdése értelmében az európai ügyészeket a Tanács nevezi ki egyszerű többséggel hatéves, nem megújítható időtartamra. A hatéves időszak leteltével az európai ügyészek megbízatása legfeljebb három évvel meghosszabbítható.</w:t>
      </w:r>
    </w:p>
    <w:p>
      <w:pPr>
        <w:pStyle w:val="ManualConsidrant"/>
        <w:rPr>
          <w:noProof/>
        </w:rPr>
      </w:pPr>
      <w:r>
        <w:t>(2)</w:t>
      </w:r>
      <w:r>
        <w:tab/>
      </w:r>
      <w:r>
        <w:rPr>
          <w:noProof/>
        </w:rPr>
        <w:t>A 16. cikk (4) bekezdése szerint az európai ügyészek egyharmadának helyére háromévente új személyeket kell kinevezni. A Tanács – egyszerű többséggel – átmeneti szabályokat fogad el az európai ügyészeknek az első hivatali idő alatt történő kinevezésére vonatkozóan.</w:t>
      </w:r>
    </w:p>
    <w:p>
      <w:pPr>
        <w:pStyle w:val="ManualConsidrant"/>
        <w:rPr>
          <w:noProof/>
        </w:rPr>
      </w:pPr>
      <w:r>
        <w:t>(3)</w:t>
      </w:r>
      <w:r>
        <w:tab/>
      </w:r>
      <w:r>
        <w:rPr>
          <w:noProof/>
        </w:rPr>
        <w:t>Ezek az átmeneti szabályok az Európai Ügyészséghez első alkalommal kinevezett ügyészi testület rendszeres időközönként történő megújítása elvének helyes alkalmazását hivatottak garantálni annak érdekében, hogy biztosított legyen az Európai Ügyészi Kollégium munkájának folytonossága. E szabályoknak ugyanakkor tekintettel kell lenniük az Európai Ügyészség különleges szükségleteire a létrehozását és működésének megkezdését követő első években.</w:t>
      </w:r>
    </w:p>
    <w:p>
      <w:pPr>
        <w:pStyle w:val="ManualConsidrant"/>
        <w:rPr>
          <w:noProof/>
        </w:rPr>
      </w:pPr>
      <w:r>
        <w:t>(4)</w:t>
      </w:r>
      <w:r>
        <w:tab/>
      </w:r>
      <w:r>
        <w:rPr>
          <w:noProof/>
        </w:rPr>
        <w:t>Ezért az (EU) 2017/1939 rendelet hatálybalépését követően első alkalommal kinevezett európai ügyészek megbízatásának időtartamára vonatkozóan egyedi szabályokat kell megállapítani.</w:t>
      </w:r>
    </w:p>
    <w:p>
      <w:pPr>
        <w:pStyle w:val="ManualConsidrant"/>
        <w:rPr>
          <w:noProof/>
        </w:rPr>
      </w:pPr>
      <w:r>
        <w:t>(5)</w:t>
      </w:r>
      <w:r>
        <w:tab/>
      </w:r>
      <w:r>
        <w:rPr>
          <w:noProof/>
        </w:rPr>
        <w:t>Annak érdekében, hogy biztosítható legyen a teljes átláthatóság és pártatlanság annak meghatározása során, hogy az első megbízatás mely európai ügyészek esetében szól hat év helyett hároméves hivatali időre, sorsoláson alapuló rendszert kell alkalmazni. Ez a rendszer azt is biztosítani fogja, hogy földrajzi értelemben semleges módon történjen azon európai ügyészek kiválasztása, akiknek hivatali ideje rövidebb lesz,</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Ez a határozat átmeneti szabályokat állapít meg az európai ügyészeknek az (EU) 2017/1939 rendelet hatálybalépését követő első hivatali időre szóló, illetve az első hivatali idő alatt történő kinevezésére vonatkozóan.</w:t>
      </w:r>
    </w:p>
    <w:p>
      <w:pPr>
        <w:pStyle w:val="Titrearticle"/>
        <w:rPr>
          <w:noProof/>
        </w:rPr>
      </w:pPr>
      <w:r>
        <w:rPr>
          <w:noProof/>
        </w:rPr>
        <w:t>2. cikk</w:t>
      </w:r>
    </w:p>
    <w:p>
      <w:pPr>
        <w:pStyle w:val="Point0"/>
        <w:rPr>
          <w:noProof/>
        </w:rPr>
      </w:pPr>
      <w:r>
        <w:rPr>
          <w:noProof/>
        </w:rPr>
        <w:t>(1)</w:t>
      </w:r>
      <w:r>
        <w:rPr>
          <w:noProof/>
        </w:rPr>
        <w:tab/>
        <w:t>Közvetlenül az európai ügyészek kinevezését követően, sorsolással meg kell határozni az európai ügyészek azon csoportját, amely a jelen átmeneti szabályok alkalmazásának időpontjában részt vevő tagállamok számának egyharmadát teszi ki.</w:t>
      </w:r>
    </w:p>
    <w:p>
      <w:pPr>
        <w:pStyle w:val="Point0"/>
        <w:rPr>
          <w:noProof/>
          <w:szCs w:val="24"/>
        </w:rPr>
      </w:pPr>
      <w:r>
        <w:rPr>
          <w:noProof/>
        </w:rPr>
        <w:t>(2)</w:t>
      </w:r>
      <w:r>
        <w:rPr>
          <w:noProof/>
        </w:rPr>
        <w:tab/>
        <w:t>Ha az átmeneti szabályok alkalmazásának időpontjában részt vevő tagállamok száma nem osztható hárommal, a csoportba kerülő európai ügyészek számát a legközelebbi egész számra felfelé kell kerekíteni.</w:t>
      </w:r>
    </w:p>
    <w:p>
      <w:pPr>
        <w:pStyle w:val="Point0"/>
        <w:rPr>
          <w:noProof/>
          <w:szCs w:val="24"/>
        </w:rPr>
      </w:pPr>
      <w:r>
        <w:rPr>
          <w:noProof/>
        </w:rPr>
        <w:t>(3)</w:t>
      </w:r>
      <w:r>
        <w:rPr>
          <w:noProof/>
        </w:rPr>
        <w:tab/>
        <w:t>A sorsolásos eljárás végrehajtásához szükséges intézkedéseket a Tanács Főtitkársága a Bizottsággal szoros együttműködésben teszi meg.</w:t>
      </w:r>
    </w:p>
    <w:p>
      <w:pPr>
        <w:pStyle w:val="Titrearticle"/>
        <w:rPr>
          <w:noProof/>
        </w:rPr>
      </w:pPr>
      <w:r>
        <w:rPr>
          <w:noProof/>
        </w:rPr>
        <w:t>3. cikk</w:t>
      </w:r>
    </w:p>
    <w:p>
      <w:pPr>
        <w:rPr>
          <w:noProof/>
        </w:rPr>
      </w:pPr>
      <w:r>
        <w:rPr>
          <w:noProof/>
        </w:rPr>
        <w:t>A 2. cikkel összhangban létrehozott csoportba tartozó európai ügyészek megbízatásának időtartama három év. Ezeknek az európai ügyészeknek a megbízatása nem újítható meg.</w:t>
      </w:r>
    </w:p>
    <w:p>
      <w:pPr>
        <w:pStyle w:val="Titrearticle"/>
        <w:rPr>
          <w:noProof/>
        </w:rPr>
      </w:pPr>
      <w:r>
        <w:rPr>
          <w:noProof/>
        </w:rPr>
        <w:t>4. cikk</w:t>
      </w:r>
    </w:p>
    <w:p>
      <w:pPr>
        <w:keepNext/>
        <w:keepLines/>
        <w:rPr>
          <w:noProof/>
        </w:rPr>
      </w:pPr>
      <w:r>
        <w:rPr>
          <w:noProof/>
        </w:rPr>
        <w:t xml:space="preserve">Ez a határozat az </w:t>
      </w:r>
      <w:r>
        <w:rPr>
          <w:i/>
          <w:noProof/>
        </w:rPr>
        <w:t>Európai Unió Hivatalos Lapjában</w:t>
      </w:r>
      <w:r>
        <w:rPr>
          <w:noProof/>
        </w:rPr>
        <w:t xml:space="preserve"> való kihirdetését követő [huszadik…] napon lép hatályba.</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Lásd például a Cseh Köztársaság, az Észt Köztársaság, a Ciprusi Köztársaság, a Lett Köztársaság, a Litván Köztársaság, a Magyar Köztársaság, a Máltai Köztársaság, a Lengyel Köztársaság, a Szlovén Köztársaság és a Szlovák Köztársaság csatlakozásának feltételeiről, valamint az Európai Unió alapját képező szerződések kiigazításáról szóló okmány (HL L 236., 2003.9.23., 47. o.) 46. cikkének (2) bekezdését; az Európai Csalás Elleni Hivatal (OLAF) által lefolytatott vizsgálatokról, valamint az 1073/1999/EK európai parlamenti és tanácsi rendelet és az 1074/1999/Euratom tanácsi rendelet hatályon kívül helyezéséről szóló, 2013. szeptember 11-i 883/2013/EU, Euratom európai parlamenti és tanácsi rendelet (HL L 248., 2013.9.18., 16. o.) 21. cikkének (2) bekezdését.</w:t>
      </w:r>
    </w:p>
  </w:footnote>
  <w:footnote w:id="2">
    <w:p>
      <w:pPr>
        <w:pStyle w:val="FootnoteText"/>
      </w:pPr>
      <w:r>
        <w:rPr>
          <w:rStyle w:val="FootnoteReference"/>
        </w:rPr>
        <w:footnoteRef/>
      </w:r>
      <w:r>
        <w:tab/>
        <w:t>HL L 283., 2017.10.31.,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0472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74DA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081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6682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420F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B29A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D005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B7BE7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rson w15:author="BAQUERO CRUZ Julio (SJ)">
    <w15:presenceInfo w15:providerId="None" w15:userId="BAQUERO CRUZ Julio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7 09:33: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A52DB2-3B3F-4DE1-A74E-D4B843775D94"/>
    <w:docVar w:name="LW_COVERPAGE_TYPE" w:val="1"/>
    <w:docVar w:name="LW_CROSSREFERENCE" w:val="&lt;UNUSED&gt;"/>
    <w:docVar w:name="LW_DocType" w:val="COM"/>
    <w:docVar w:name="LW_EMISSION" w:val="2019.1.11."/>
    <w:docVar w:name="LW_EMISSION_ISODATE" w:val="2019-01-11"/>
    <w:docVar w:name="LW_EMISSION_LOCATION" w:val="BRX"/>
    <w:docVar w:name="LW_EMISSION_PREFIX" w:val="Brüsszel,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9)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ügyészek els\u337? hivatali id\u337?re szóló, illetve az els\u337? hivatali id\u337? alatt történ\u337? kinevezésére vonatkozó, az Európai Ügyészség létrehozására vonatkozó meger\u337?sített együttm\u369?ködés bevezetésér\u337?l szóló (EU) 2017/1939 rendelet 16. cikkének (4) bekezdésében el\u337?írt átmeneti szabályokról"/>
    <w:docVar w:name="LW_TYPE.DOC.CP" w:val="A TANÁCS VÉGREHAJTÁSI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1206</Words>
  <Characters>8455</Characters>
  <Application>Microsoft Office Word</Application>
  <DocSecurity>0</DocSecurity>
  <Lines>150</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2019-01-04T10:24:00Z</dcterms:created>
  <dcterms:modified xsi:type="dcterms:W3CDTF">2019-01-07T08:33:00Z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