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7FEF5791-5FF4-46BD-9F16-3F74DC893FB1" style="width:450.45pt;height:351.9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DÔVODOVÁ SPRÁVA</w:t>
      </w:r>
    </w:p>
    <w:p>
      <w:pPr>
        <w:pStyle w:val="ManualHeading1"/>
        <w:rPr>
          <w:noProof/>
        </w:rPr>
      </w:pPr>
      <w:r>
        <w:rPr>
          <w:noProof/>
        </w:rPr>
        <w:t>1.</w:t>
      </w:r>
      <w:r>
        <w:rPr>
          <w:noProof/>
        </w:rPr>
        <w:tab/>
        <w:t>KONTEXT NÁVRHU</w:t>
      </w:r>
    </w:p>
    <w:p>
      <w:pPr>
        <w:pStyle w:val="ManualHeading2"/>
        <w:rPr>
          <w:rFonts w:eastAsia="Arial Unicode MS"/>
          <w:noProof/>
        </w:rPr>
      </w:pPr>
      <w:r>
        <w:rPr>
          <w:noProof/>
          <w:color w:val="000000"/>
          <w:u w:color="000000"/>
          <w:bdr w:val="nil"/>
        </w:rPr>
        <w:t>•</w:t>
      </w:r>
      <w:r>
        <w:rPr>
          <w:noProof/>
        </w:rPr>
        <w:tab/>
        <w:t>Dôvody a ciele návrhu</w:t>
      </w:r>
    </w:p>
    <w:p>
      <w:pPr>
        <w:spacing w:before="0" w:after="0"/>
        <w:rPr>
          <w:noProof/>
        </w:rPr>
      </w:pPr>
      <w:r>
        <w:rPr>
          <w:noProof/>
        </w:rPr>
        <w:t>Dohoda o vedeckej a technickej spolupráci medzi Európskym spoločenstvom a vládou Ruskej federácie</w:t>
      </w:r>
      <w:r>
        <w:rPr>
          <w:rStyle w:val="FootnoteReference"/>
          <w:noProof/>
        </w:rPr>
        <w:footnoteReference w:id="1"/>
      </w:r>
      <w:r>
        <w:rPr>
          <w:noProof/>
        </w:rPr>
        <w:t xml:space="preserve"> (ďalej len „dohoda“) bola podpísaná v Bruseli 16. novembra 2000 a nadobudla platnosť 10. mája 2001. Odvtedy bola dohoda v súlade s jej článkom 12 obnovená trikrát, a to v rokoch 2004</w:t>
      </w:r>
      <w:r>
        <w:rPr>
          <w:rStyle w:val="FootnoteReference"/>
          <w:noProof/>
        </w:rPr>
        <w:footnoteReference w:id="2"/>
      </w:r>
      <w:r>
        <w:rPr>
          <w:noProof/>
        </w:rPr>
        <w:t>, 2009</w:t>
      </w:r>
      <w:r>
        <w:rPr>
          <w:rStyle w:val="FootnoteReference"/>
          <w:noProof/>
        </w:rPr>
        <w:footnoteReference w:id="3"/>
      </w:r>
      <w:r>
        <w:rPr>
          <w:noProof/>
        </w:rPr>
        <w:t xml:space="preserve"> a 2014</w:t>
      </w:r>
      <w:r>
        <w:rPr>
          <w:rStyle w:val="FootnoteReference"/>
          <w:noProof/>
        </w:rPr>
        <w:footnoteReference w:id="4"/>
      </w:r>
      <w:r>
        <w:rPr>
          <w:noProof/>
        </w:rPr>
        <w:t>, vždy na obdobie 5 rokov.</w:t>
      </w:r>
    </w:p>
    <w:p>
      <w:pPr>
        <w:spacing w:before="0" w:after="0"/>
        <w:ind w:left="-46"/>
        <w:rPr>
          <w:noProof/>
        </w:rPr>
      </w:pPr>
    </w:p>
    <w:p>
      <w:pPr>
        <w:spacing w:before="0" w:after="0"/>
        <w:ind w:left="-46"/>
        <w:rPr>
          <w:noProof/>
        </w:rPr>
      </w:pPr>
      <w:r>
        <w:rPr>
          <w:noProof/>
        </w:rPr>
        <w:t xml:space="preserve">Platnosť súčasnej dohody uplynie 20. februára 2019. </w:t>
      </w:r>
    </w:p>
    <w:p>
      <w:pPr>
        <w:spacing w:before="0" w:after="0"/>
        <w:ind w:left="-46"/>
        <w:rPr>
          <w:noProof/>
        </w:rPr>
      </w:pPr>
    </w:p>
    <w:p>
      <w:pPr>
        <w:spacing w:before="0" w:after="0"/>
        <w:ind w:left="-46"/>
        <w:rPr>
          <w:noProof/>
        </w:rPr>
      </w:pPr>
      <w:r>
        <w:rPr>
          <w:noProof/>
        </w:rPr>
        <w:t>Je v záujme EÚ túto dohodu obnoviť, aby sa aj naďalej uľahčovala spolupráca s Ruskou federáciou v spoločných prioritných oblastiach vedy a techniky, ktorá je prínosom pre obe zmluvné strany.</w:t>
      </w:r>
    </w:p>
    <w:p>
      <w:pPr>
        <w:spacing w:before="0" w:after="0"/>
        <w:ind w:left="-46"/>
        <w:rPr>
          <w:noProof/>
        </w:rPr>
      </w:pPr>
    </w:p>
    <w:p>
      <w:pPr>
        <w:spacing w:before="0" w:after="0"/>
        <w:ind w:left="-46"/>
        <w:rPr>
          <w:noProof/>
        </w:rPr>
      </w:pPr>
      <w:r>
        <w:rPr>
          <w:noProof/>
        </w:rPr>
        <w:t>Rusko je najdôležitejším aktérom v oblasti vedy, techniky a inovácií (STI) v susedstve EÚ, ktorý nie je spojený s programom Horizont 2020.</w:t>
      </w:r>
      <w:r>
        <w:rPr>
          <w:noProof/>
          <w:color w:val="010202"/>
        </w:rPr>
        <w:t xml:space="preserve"> </w:t>
      </w:r>
      <w:r>
        <w:rPr>
          <w:noProof/>
        </w:rPr>
        <w:t>Spolupráca v oblasti vedy, techniky a inovácií medzi EÚ a Ruskom bola tradične veľmi aktívna, najmä v oblasti výskumných infraštruktúr, dopravy a životného prostredia. Napriek tomu, že v rámci siedmeho rámcového programu v oblasti výskumu a technického rozvoja (FP7) bolo Rusko najaktívnejším účastníkom z nepridruženej tretej krajiny, v rámci iniciatívy Horizont 2020 je úroveň spolupráce oveľa nižšia ako je jej potenciál. Vo veľkej miere je to spôsobené zmenou pravidiel financovania v programe Horizont 2020, podľa ktorých právnické subjekty z Ruska (spolu s Brazíliou, Indiou, Čínou a Mexikom) už nie sú automaticky oprávnené na financovanie z EÚ, ale aj politickými okolnosťami.</w:t>
      </w:r>
    </w:p>
    <w:p>
      <w:pPr>
        <w:spacing w:before="0" w:after="0"/>
        <w:ind w:left="-46"/>
        <w:rPr>
          <w:noProof/>
        </w:rPr>
      </w:pPr>
    </w:p>
    <w:p>
      <w:pPr>
        <w:spacing w:before="0" w:after="0"/>
        <w:ind w:left="-46"/>
        <w:rPr>
          <w:noProof/>
          <w:color w:val="010202"/>
          <w:szCs w:val="24"/>
        </w:rPr>
      </w:pPr>
      <w:r>
        <w:rPr>
          <w:noProof/>
          <w:color w:val="010202"/>
        </w:rPr>
        <w:t>Rusko sa v súčasnosti spomedzi nepridružených krajín nachádza na 6. mieste, pokiaľ ide o účasť na projektoch spolupráce v rámci programu Horizont 2020. Pracovný program Horizont 2020 na roky 2018 – 2020 sa okrem toho zameriava na prehĺbenie spolupráce s Ruskom v otázkach spoločného záujmu a prospechu. Okrem všeobecnej otvorenosti programu Horizont 2020 pre všetky subjekty z celého sveta vrátane Ruska existujú dve hlavné iniciatívy bilaterálnej spolupráce s Ruskom, a to v oblasti výskumných infraštruktúr a zdravotníctva, ako aj hlavná iniciatíva multilaterálnej spolupráce v oblasti aeronautiky, ktorá je zameraná aj na Rusko.</w:t>
      </w:r>
    </w:p>
    <w:p>
      <w:pPr>
        <w:spacing w:before="0" w:after="0"/>
        <w:ind w:left="-46"/>
        <w:rPr>
          <w:noProof/>
        </w:rPr>
      </w:pPr>
    </w:p>
    <w:p>
      <w:pPr>
        <w:spacing w:before="0" w:after="0"/>
        <w:ind w:left="-46"/>
        <w:rPr>
          <w:noProof/>
        </w:rPr>
      </w:pPr>
      <w:r>
        <w:rPr>
          <w:noProof/>
        </w:rPr>
        <w:t xml:space="preserve">Obnovenie dohody je v súlade s prístupom EÚ založeným na piatich hlavných zásadách na riadenie súčasných vzťahov EÚ s Ruskom, ktoré sa dohodli na zasadnutí Rady EÚ pre zahraničné veci 14. marca 2016 a boli potvrdené na zasadnutí Rady EÚ pre zahraničné veci 16. apríla 2018. Vedecká diplomacia môže byť v našich vzťahoch s Ruskom užitočným nástrojom, keďže poskytuje pozitívny program spolupráce a je zdrojom „mäkkej moci“, ktorá môže pomôcť pri vytváraní a rozvoji komunikačných kanálov a budovaní dôvery medzi našimi spoločnosťami. Dohoda poskytuje rámec na posilnenie osobných kontaktov a spolupráce v oblasti vedy, techniky a inovácií, ktoré v nadchádzajúcich rokoch predstavujú pre EÚ strategický záujem, s cieľom čeliť trendu znižujúcej sa intenzity vo vedeckej spolupráci medzi účastníkmi z EÚ a Ruska. Z týchto dôvodov je vhodné dohodu obnoviť na ďalšie päťročné obdobie. </w:t>
      </w:r>
    </w:p>
    <w:p>
      <w:pPr>
        <w:spacing w:before="0" w:after="0"/>
        <w:ind w:left="-46"/>
        <w:rPr>
          <w:noProof/>
        </w:rPr>
      </w:pPr>
    </w:p>
    <w:p>
      <w:pPr>
        <w:pBdr>
          <w:top w:val="nil"/>
          <w:left w:val="nil"/>
          <w:bottom w:val="nil"/>
          <w:right w:val="nil"/>
          <w:between w:val="nil"/>
          <w:bar w:val="nil"/>
        </w:pBdr>
        <w:spacing w:before="0" w:after="240"/>
        <w:rPr>
          <w:noProof/>
        </w:rPr>
      </w:pPr>
      <w:r>
        <w:rPr>
          <w:noProof/>
        </w:rPr>
        <w:t>Na zasadnutí spoločného výboru EÚ – Rusko pre spoluprácu v oblasti vedy a techniky ustanoveného dohodou, ktoré sa konalo 28. septembra 2018 v Moskve, obidve strany vzali na vedomie svoj zámer obnoviť dohodu na ďalšie päťročné obdobie bez akýchkoľvek zmien, čím uznali pokrok dosiahnutý pri prehlbovaní spolupráce medzi EÚ a Ruskom v oblasti výskumu a inovácií.</w:t>
      </w:r>
    </w:p>
    <w:p>
      <w:pPr>
        <w:spacing w:before="0" w:after="0"/>
        <w:rPr>
          <w:noProof/>
          <w:color w:val="010202"/>
          <w:szCs w:val="24"/>
        </w:rPr>
      </w:pPr>
      <w:r>
        <w:rPr>
          <w:noProof/>
        </w:rPr>
        <w:t>Obsah obnovenej dohody bude totožný s obsahom súčasnej dohody tak, ako bol prediskutovaný a odsúhlasený s ruskou protistranou. Pre EÚ nevznikajú žiadne nové práva a povinnosti, ale namiesto toho sa predĺži právny režim, ktorý už existuje medzi zmluvnými stranami v oblasti v oblasti vedecko-technickej spolupráce.</w:t>
      </w:r>
    </w:p>
    <w:p>
      <w:pPr>
        <w:pStyle w:val="ManualHeading2"/>
        <w:rPr>
          <w:rFonts w:eastAsia="Arial Unicode MS"/>
          <w:noProof/>
          <w:color w:val="000000"/>
          <w:u w:color="000000"/>
          <w:bdr w:val="nil"/>
        </w:rPr>
      </w:pPr>
      <w:r>
        <w:rPr>
          <w:noProof/>
          <w:color w:val="000000"/>
          <w:u w:color="000000"/>
          <w:bdr w:val="nil"/>
        </w:rPr>
        <w:t>•</w:t>
      </w:r>
      <w:r>
        <w:rPr>
          <w:noProof/>
        </w:rPr>
        <w:tab/>
        <w:t>Súlad s existujúcimi ustanoveniami v tejto oblasti politiky</w:t>
      </w:r>
    </w:p>
    <w:p>
      <w:pPr>
        <w:pBdr>
          <w:top w:val="nil"/>
          <w:left w:val="nil"/>
          <w:bottom w:val="nil"/>
          <w:right w:val="nil"/>
          <w:between w:val="nil"/>
          <w:bar w:val="nil"/>
        </w:pBdr>
        <w:spacing w:before="0" w:after="240"/>
        <w:rPr>
          <w:noProof/>
        </w:rPr>
      </w:pPr>
      <w:r>
        <w:rPr>
          <w:noProof/>
        </w:rPr>
        <w:t>Táto iniciatíva je v úplnom súlade so stratégiou EÚ pre medzinárodnú spoluprácu týkajúcu sa výskumu a inovácií</w:t>
      </w:r>
      <w:r>
        <w:rPr>
          <w:rStyle w:val="FootnoteReference"/>
          <w:noProof/>
        </w:rPr>
        <w:footnoteReference w:id="5"/>
      </w:r>
      <w:r>
        <w:rPr>
          <w:noProof/>
        </w:rPr>
        <w:t>, pričom Rusko je v tejto oblasti strategickým partnerom EÚ. V stratégii EÚ sa jasne uvádza význam dohôd v oblasti vedy a techniky ako nástroja na vymedzenie a vykonávanie viacročných plánov spolupráce s krajinami, ktoré nie sú členmi EÚ. Táto dohoda je aj prostriedkom na vykonávanie stratégie EÚ týkajúcej sa medzinárodnej spolupráce v oblasti výskumu a inovácií, v ktorej sa vyzýva na väčšiu internacionalizáciu a otvorenosť v európskom priestore výskumu a inovácií.</w:t>
      </w:r>
    </w:p>
    <w:p>
      <w:pPr>
        <w:pStyle w:val="ManualHeading2"/>
        <w:rPr>
          <w:rFonts w:eastAsia="Arial Unicode MS"/>
          <w:noProof/>
        </w:rPr>
      </w:pPr>
      <w:r>
        <w:rPr>
          <w:noProof/>
          <w:color w:val="000000"/>
          <w:u w:color="000000"/>
          <w:bdr w:val="nil"/>
        </w:rPr>
        <w:t>•</w:t>
      </w:r>
      <w:r>
        <w:rPr>
          <w:noProof/>
        </w:rPr>
        <w:tab/>
        <w:t>Súlad s ostatnými politikami Únie</w:t>
      </w:r>
    </w:p>
    <w:p>
      <w:pPr>
        <w:pBdr>
          <w:top w:val="nil"/>
          <w:left w:val="nil"/>
          <w:bottom w:val="nil"/>
          <w:right w:val="nil"/>
          <w:between w:val="nil"/>
          <w:bar w:val="nil"/>
        </w:pBdr>
        <w:spacing w:before="0" w:after="240"/>
        <w:rPr>
          <w:noProof/>
          <w:szCs w:val="24"/>
        </w:rPr>
      </w:pPr>
      <w:r>
        <w:rPr>
          <w:noProof/>
        </w:rPr>
        <w:t>Globálna stratégia EÚ pre zahraničnú a bezpečnostnú politiku EÚ potvrdzuje, že spolupráca vo výskume je dôležitým aspektom zahraničnej politiky EÚ a je pre ňu podstatným prvkom silnejších sociálnoekonomických väzieb.</w:t>
      </w:r>
    </w:p>
    <w:p>
      <w:pPr>
        <w:pBdr>
          <w:top w:val="nil"/>
          <w:left w:val="nil"/>
          <w:bottom w:val="nil"/>
          <w:right w:val="nil"/>
          <w:between w:val="nil"/>
          <w:bar w:val="nil"/>
        </w:pBdr>
        <w:spacing w:before="0" w:after="240"/>
        <w:rPr>
          <w:noProof/>
        </w:rPr>
      </w:pPr>
      <w:r>
        <w:rPr>
          <w:noProof/>
        </w:rPr>
        <w:t>Iniciatíva je v súlade so zásadami, ktorými sa riadia súčasné vzťahy medzi EÚ a Ruskom, v zmysle dohody na zasadnutí Rady EÚ pre zahraničné veci 14. marca 2016 a ktoré boli potvrdené na zasadnutí Rady EÚ pre zahraničné veci 16. apríla 2018.</w:t>
      </w:r>
    </w:p>
    <w:p>
      <w:pPr>
        <w:pBdr>
          <w:top w:val="nil"/>
          <w:left w:val="nil"/>
          <w:bottom w:val="nil"/>
          <w:right w:val="nil"/>
          <w:between w:val="nil"/>
          <w:bar w:val="nil"/>
        </w:pBdr>
        <w:spacing w:before="0" w:after="240"/>
        <w:rPr>
          <w:noProof/>
        </w:rPr>
      </w:pPr>
      <w:r>
        <w:rPr>
          <w:noProof/>
        </w:rPr>
        <w:t>Komisia zabezpečí súlad vykonávania obnovenej dohody s reštriktívnymi opatreniami EÚ.</w:t>
      </w:r>
    </w:p>
    <w:p>
      <w:pPr>
        <w:pStyle w:val="ManualHeading1"/>
        <w:rPr>
          <w:noProof/>
        </w:rPr>
      </w:pPr>
      <w:r>
        <w:rPr>
          <w:noProof/>
        </w:rPr>
        <w:t>2.</w:t>
      </w:r>
      <w:r>
        <w:rPr>
          <w:noProof/>
        </w:rPr>
        <w:tab/>
        <w:t>PRÁVNY ZÁKLAD, SUBSIDIARITA A PROPORCIONALITA</w:t>
      </w:r>
    </w:p>
    <w:p>
      <w:pPr>
        <w:pStyle w:val="ManualHeading2"/>
        <w:rPr>
          <w:rFonts w:eastAsia="Arial Unicode MS"/>
          <w:noProof/>
          <w:u w:color="000000"/>
          <w:bdr w:val="nil"/>
        </w:rPr>
      </w:pPr>
      <w:r>
        <w:rPr>
          <w:noProof/>
        </w:rPr>
        <w:t>•</w:t>
      </w:r>
      <w:r>
        <w:rPr>
          <w:noProof/>
        </w:rPr>
        <w:tab/>
        <w:t>Právny základ</w:t>
      </w:r>
    </w:p>
    <w:p>
      <w:pPr>
        <w:pBdr>
          <w:top w:val="nil"/>
          <w:left w:val="nil"/>
          <w:bottom w:val="nil"/>
          <w:right w:val="nil"/>
          <w:between w:val="nil"/>
          <w:bar w:val="nil"/>
        </w:pBdr>
        <w:spacing w:before="0" w:after="240"/>
        <w:rPr>
          <w:noProof/>
        </w:rPr>
      </w:pPr>
      <w:r>
        <w:rPr>
          <w:noProof/>
        </w:rPr>
        <w:t>Právomoc EÚ konať na medzinárodnej úrovni v oblasti výskumu a technologického rozvoja sa zakladá na článku 186 ZFEÚ. Procesnoprávnym základom návrhu je článok 218 ods. 6 druhý pododsek písm. a) bod v) ZFEÚ.</w:t>
      </w:r>
    </w:p>
    <w:p>
      <w:pPr>
        <w:pStyle w:val="ManualHeading2"/>
        <w:rPr>
          <w:rFonts w:eastAsia="Arial Unicode MS"/>
          <w:noProof/>
          <w:u w:color="000000"/>
          <w:bdr w:val="nil"/>
        </w:rPr>
      </w:pPr>
      <w:r>
        <w:rPr>
          <w:noProof/>
        </w:rPr>
        <w:t>•</w:t>
      </w:r>
      <w:r>
        <w:rPr>
          <w:noProof/>
        </w:rPr>
        <w:tab/>
        <w:t xml:space="preserve">Subsidiarita (v prípade inej ako výlučnej právomoci) </w:t>
      </w:r>
    </w:p>
    <w:p>
      <w:pPr>
        <w:pBdr>
          <w:top w:val="nil"/>
          <w:left w:val="nil"/>
          <w:bottom w:val="nil"/>
          <w:right w:val="nil"/>
          <w:between w:val="nil"/>
          <w:bar w:val="nil"/>
        </w:pBdr>
        <w:spacing w:before="0" w:after="240"/>
        <w:rPr>
          <w:rFonts w:eastAsia="Arial Unicode MS"/>
          <w:noProof/>
          <w:szCs w:val="24"/>
        </w:rPr>
      </w:pPr>
      <w:r>
        <w:rPr>
          <w:noProof/>
        </w:rPr>
        <w:t>EÚ a jej členské štáty majú paralelné právomoci v oblasti výskumu a technického rozvoja v súlade s článkom 4 ods. 3 ZFEÚ. Preto opatrenia EÚ nemôže nahradiť činnosť členských štátov.</w:t>
      </w:r>
    </w:p>
    <w:p>
      <w:pPr>
        <w:pStyle w:val="ManualHeading1"/>
        <w:rPr>
          <w:noProof/>
        </w:rPr>
      </w:pPr>
      <w:r>
        <w:rPr>
          <w:noProof/>
        </w:rPr>
        <w:t>3.</w:t>
      </w:r>
      <w:r>
        <w:rPr>
          <w:noProof/>
        </w:rPr>
        <w:tab/>
        <w:t>VÝSLEDKY HODNOTENÍ EX POST, KONZULTÁCIÍ SO ZAINTERESOVANÝMI STRANAMI A POSÚDENÍ VPLYVU</w:t>
      </w:r>
    </w:p>
    <w:p>
      <w:pPr>
        <w:pStyle w:val="ManualHeading2"/>
        <w:rPr>
          <w:rFonts w:eastAsia="Arial Unicode MS"/>
          <w:noProof/>
          <w:u w:color="000000"/>
          <w:bdr w:val="nil"/>
        </w:rPr>
      </w:pPr>
      <w:r>
        <w:rPr>
          <w:noProof/>
        </w:rPr>
        <w:t>•</w:t>
      </w:r>
      <w:r>
        <w:rPr>
          <w:noProof/>
        </w:rPr>
        <w:tab/>
        <w:t>Regulačná vhodnosť a zjednodušenie</w:t>
      </w:r>
    </w:p>
    <w:p>
      <w:pPr>
        <w:pBdr>
          <w:top w:val="nil"/>
          <w:left w:val="nil"/>
          <w:bottom w:val="nil"/>
          <w:right w:val="nil"/>
          <w:between w:val="nil"/>
          <w:bar w:val="nil"/>
        </w:pBdr>
        <w:spacing w:before="0" w:after="240"/>
        <w:rPr>
          <w:noProof/>
          <w:szCs w:val="24"/>
        </w:rPr>
      </w:pPr>
      <w:r>
        <w:rPr>
          <w:noProof/>
        </w:rPr>
        <w:t xml:space="preserve">Táto iniciatíva nie je súčasťou programu REFIT. </w:t>
      </w:r>
    </w:p>
    <w:p>
      <w:pPr>
        <w:pStyle w:val="ManualHeading1"/>
        <w:rPr>
          <w:noProof/>
          <w:szCs w:val="24"/>
        </w:rPr>
      </w:pPr>
      <w:r>
        <w:rPr>
          <w:noProof/>
        </w:rPr>
        <w:t>4.</w:t>
      </w:r>
      <w:r>
        <w:rPr>
          <w:noProof/>
        </w:rPr>
        <w:tab/>
        <w:t>VPLYV NA ROZPOČET</w:t>
      </w:r>
    </w:p>
    <w:p>
      <w:pPr>
        <w:pBdr>
          <w:top w:val="nil"/>
          <w:left w:val="nil"/>
          <w:bottom w:val="nil"/>
          <w:right w:val="nil"/>
          <w:between w:val="nil"/>
          <w:bar w:val="nil"/>
        </w:pBdr>
        <w:spacing w:before="0" w:after="240"/>
        <w:rPr>
          <w:noProof/>
        </w:rPr>
      </w:pPr>
      <w:r>
        <w:rPr>
          <w:noProof/>
        </w:rPr>
        <w:t>Požadujú sa len ľudské a administratívne zdroje; uvádzajú sa v legislatívnom finančnom výkaze.</w:t>
      </w:r>
    </w:p>
    <w:p>
      <w:pPr>
        <w:pBdr>
          <w:top w:val="nil"/>
          <w:left w:val="nil"/>
          <w:bottom w:val="nil"/>
          <w:right w:val="nil"/>
          <w:between w:val="nil"/>
          <w:bar w:val="nil"/>
        </w:pBdr>
        <w:spacing w:before="0" w:after="240"/>
        <w:rPr>
          <w:noProof/>
          <w:szCs w:val="24"/>
        </w:rPr>
      </w:pPr>
      <w:r>
        <w:rPr>
          <w:noProof/>
        </w:rPr>
        <w:t xml:space="preserve">Na základe uvedených skutočností Komisia požaduje, aby Rada: </w:t>
      </w:r>
    </w:p>
    <w:p>
      <w:pPr>
        <w:pBdr>
          <w:top w:val="nil"/>
          <w:left w:val="nil"/>
          <w:bottom w:val="nil"/>
          <w:right w:val="nil"/>
          <w:between w:val="nil"/>
          <w:bar w:val="nil"/>
        </w:pBdr>
        <w:spacing w:before="0" w:after="240"/>
        <w:rPr>
          <w:rFonts w:eastAsia="Arial Unicode MS"/>
          <w:noProof/>
          <w:color w:val="008000"/>
          <w:szCs w:val="24"/>
        </w:rPr>
      </w:pPr>
      <w:r>
        <w:rPr>
          <w:noProof/>
        </w:rPr>
        <w:t>– v mene Únie a so súhlasom Európskeho parlamentu schválila predĺženie platnosti Dohody o vedeckej a technickej spolupráci medzi Európskym spoločenstvom a vládou Ruskej federácie na ďalších päť rokov (t. j. od 20. 2. 2019 do 19. 2. 2024),</w:t>
      </w:r>
    </w:p>
    <w:p>
      <w:pPr>
        <w:rPr>
          <w:noProof/>
          <w:szCs w:val="24"/>
        </w:rPr>
      </w:pPr>
      <w:r>
        <w:rPr>
          <w:noProof/>
        </w:rPr>
        <w:t>– poverila predsedu Rady, aby vymenoval osobu(-y) splnomocnenú(-é) oznámiť vláde Ruskej federácie, že Únia ukončila vnútorné postupy potrebné na vstup tejto obnovenej dohody do platnosti.</w:t>
      </w:r>
    </w:p>
    <w:p>
      <w:pPr>
        <w:rPr>
          <w:noProof/>
          <w:szCs w:val="24"/>
        </w:rPr>
        <w:sectPr>
          <w:footerReference w:type="default" r:id="rId16"/>
          <w:footerReference w:type="first" r:id="rId17"/>
          <w:pgSz w:w="11907" w:h="16839"/>
          <w:pgMar w:top="1134" w:right="1417" w:bottom="1134" w:left="1417" w:header="709" w:footer="709" w:gutter="0"/>
          <w:cols w:space="708"/>
          <w:docGrid w:linePitch="360"/>
        </w:sectPr>
      </w:pPr>
    </w:p>
    <w:p>
      <w:pPr>
        <w:pStyle w:val="Rfrenceinterinstitutionnelle"/>
        <w:rPr>
          <w:noProof/>
        </w:rPr>
      </w:pPr>
      <w:r>
        <w:rPr>
          <w:noProof/>
        </w:rPr>
        <w:t>2019/0005 (NLE)</w:t>
      </w:r>
    </w:p>
    <w:p>
      <w:pPr>
        <w:pStyle w:val="Statut"/>
        <w:rPr>
          <w:noProof/>
        </w:rPr>
      </w:pPr>
      <w:r>
        <w:rPr>
          <w:noProof/>
        </w:rPr>
        <w:t>Návrh</w:t>
      </w:r>
    </w:p>
    <w:p>
      <w:pPr>
        <w:pStyle w:val="Typedudocument"/>
        <w:rPr>
          <w:noProof/>
        </w:rPr>
      </w:pPr>
      <w:r>
        <w:rPr>
          <w:noProof/>
        </w:rPr>
        <w:t>ROZHODNUTIE RADY</w:t>
      </w:r>
    </w:p>
    <w:p>
      <w:pPr>
        <w:pStyle w:val="Titreobjet"/>
        <w:rPr>
          <w:noProof/>
        </w:rPr>
      </w:pPr>
      <w:r>
        <w:rPr>
          <w:noProof/>
        </w:rPr>
        <w:t xml:space="preserve">o obnovení Dohody o vedeckej a technickej spolupráci medzi Európskym spoločenstvom a vládou Ruskej federácie </w:t>
      </w:r>
    </w:p>
    <w:p>
      <w:pPr>
        <w:pStyle w:val="Institutionquiagit"/>
        <w:rPr>
          <w:noProof/>
        </w:rPr>
      </w:pPr>
      <w:r>
        <w:rPr>
          <w:noProof/>
        </w:rPr>
        <w:t>RADA EURÓPSKEJ ÚNIE,</w:t>
      </w:r>
    </w:p>
    <w:p>
      <w:pPr>
        <w:rPr>
          <w:noProof/>
          <w:sz w:val="23"/>
          <w:szCs w:val="23"/>
        </w:rPr>
      </w:pPr>
      <w:r>
        <w:rPr>
          <w:noProof/>
        </w:rPr>
        <w:t>so zreteľom na Zmluvu o fungovaní Európskej únie, a najmä na jej článok 186 v spojení s jej článkom 218 ods. 6 písm. a),</w:t>
      </w:r>
    </w:p>
    <w:p>
      <w:pPr>
        <w:rPr>
          <w:noProof/>
        </w:rPr>
      </w:pPr>
      <w:r>
        <w:rPr>
          <w:noProof/>
        </w:rPr>
        <w:t>so zreteľom na návrh Európskej komisie,</w:t>
      </w:r>
    </w:p>
    <w:p>
      <w:pPr>
        <w:rPr>
          <w:noProof/>
        </w:rPr>
      </w:pPr>
      <w:r>
        <w:rPr>
          <w:noProof/>
        </w:rPr>
        <w:t>so zreteľom na súhlas Európskeho parlamentu,</w:t>
      </w:r>
    </w:p>
    <w:p>
      <w:pPr>
        <w:rPr>
          <w:noProof/>
        </w:rPr>
      </w:pPr>
      <w:r>
        <w:rPr>
          <w:noProof/>
        </w:rPr>
        <w:t>keďže:</w:t>
      </w:r>
    </w:p>
    <w:p>
      <w:pPr>
        <w:pStyle w:val="ManualConsidrant"/>
        <w:rPr>
          <w:noProof/>
        </w:rPr>
      </w:pPr>
      <w:r>
        <w:rPr>
          <w:noProof/>
        </w:rPr>
        <w:t>(1)</w:t>
      </w:r>
      <w:r>
        <w:rPr>
          <w:noProof/>
        </w:rPr>
        <w:tab/>
        <w:t>Rada svojím rozhodnutím 2000/742/ES</w:t>
      </w:r>
      <w:r>
        <w:rPr>
          <w:rStyle w:val="FootnoteReference"/>
          <w:noProof/>
        </w:rPr>
        <w:footnoteReference w:id="6"/>
      </w:r>
      <w:r>
        <w:rPr>
          <w:noProof/>
        </w:rPr>
        <w:t xml:space="preserve"> schválila uzavretie Dohody o vedeckej a technickej spolupráci medzi Európskym spoločenstvom a vládou Ruskej federácie (ďalej len „dohoda“). Dohoda bola podpísaná v Bruseli, 16. novembra 2000 a nadobudla platnosť 10. mája 2001.</w:t>
      </w:r>
    </w:p>
    <w:p>
      <w:pPr>
        <w:pStyle w:val="ManualConsidrant"/>
        <w:rPr>
          <w:noProof/>
        </w:rPr>
      </w:pPr>
      <w:r>
        <w:rPr>
          <w:noProof/>
        </w:rPr>
        <w:t>(2)</w:t>
      </w:r>
      <w:r>
        <w:rPr>
          <w:noProof/>
        </w:rPr>
        <w:tab/>
        <w:t xml:space="preserve">V súlade s článkom 12 písm. b) dohody sa stanovuje, že dohoda, pôvodne uzavretá do 31. decembra 2002, je obnoviteľná spoločnou dohodou strán na ďalšie obdobie piatich rokov. </w:t>
      </w:r>
    </w:p>
    <w:p>
      <w:pPr>
        <w:pStyle w:val="ManualConsidrant"/>
        <w:rPr>
          <w:noProof/>
        </w:rPr>
      </w:pPr>
      <w:r>
        <w:rPr>
          <w:noProof/>
        </w:rPr>
        <w:t>(3)</w:t>
      </w:r>
      <w:r>
        <w:rPr>
          <w:noProof/>
        </w:rPr>
        <w:tab/>
        <w:t>Rozhodnutiami 2003/798/ES</w:t>
      </w:r>
      <w:r>
        <w:rPr>
          <w:rStyle w:val="FootnoteReference"/>
          <w:noProof/>
        </w:rPr>
        <w:footnoteReference w:id="7"/>
      </w:r>
      <w:r>
        <w:rPr>
          <w:noProof/>
        </w:rPr>
        <w:t>, 2009/313/ES</w:t>
      </w:r>
      <w:r>
        <w:rPr>
          <w:rStyle w:val="FootnoteReference"/>
          <w:noProof/>
        </w:rPr>
        <w:footnoteReference w:id="8"/>
      </w:r>
      <w:r>
        <w:rPr>
          <w:noProof/>
        </w:rPr>
        <w:t xml:space="preserve"> a 2014/50/EÚ</w:t>
      </w:r>
      <w:r>
        <w:rPr>
          <w:rStyle w:val="FootnoteReference"/>
          <w:noProof/>
        </w:rPr>
        <w:footnoteReference w:id="9"/>
      </w:r>
      <w:r>
        <w:rPr>
          <w:noProof/>
        </w:rPr>
        <w:t xml:space="preserve"> Rada schválila predĺženie platnosti dohody, zakaždým na ďalšie obdobie piatich rokov. Platnosť súčasnej dohody uplynie 20. februára 2019. </w:t>
      </w:r>
    </w:p>
    <w:p>
      <w:pPr>
        <w:pStyle w:val="ManualConsidrant"/>
        <w:rPr>
          <w:rFonts w:eastAsia="Times New Roman"/>
          <w:noProof/>
          <w:color w:val="000000"/>
        </w:rPr>
      </w:pPr>
      <w:r>
        <w:rPr>
          <w:noProof/>
        </w:rPr>
        <w:t>(4)</w:t>
      </w:r>
      <w:r>
        <w:rPr>
          <w:noProof/>
        </w:rPr>
        <w:tab/>
        <w:t>Obidve strany potvrdili svoj zámer obnoviť platnosť dohody na ďalšie obdobie piatich rokov bez akýchkoľvek zmien dohody.</w:t>
      </w:r>
      <w:r>
        <w:rPr>
          <w:noProof/>
          <w:color w:val="000000"/>
        </w:rPr>
        <w:t xml:space="preserve"> </w:t>
      </w:r>
    </w:p>
    <w:p>
      <w:pPr>
        <w:pStyle w:val="ManualConsidrant"/>
        <w:rPr>
          <w:rFonts w:eastAsia="Times New Roman"/>
          <w:noProof/>
          <w:color w:val="000000"/>
        </w:rPr>
      </w:pPr>
      <w:r>
        <w:rPr>
          <w:noProof/>
        </w:rPr>
        <w:t>(5)</w:t>
      </w:r>
      <w:r>
        <w:rPr>
          <w:noProof/>
        </w:rPr>
        <w:tab/>
      </w:r>
      <w:r>
        <w:rPr>
          <w:noProof/>
          <w:color w:val="000000"/>
        </w:rPr>
        <w:t>Na činnosti vyplývajúce z dohody sa prísne uplatňujú podmienky a postupy stanovené reštriktívnymi opatreniami prijatými v zmysle článku 215 ZFEÚ</w:t>
      </w:r>
      <w:r>
        <w:rPr>
          <w:rStyle w:val="FootnoteReference"/>
          <w:noProof/>
        </w:rPr>
        <w:footnoteReference w:id="10"/>
      </w:r>
      <w:r>
        <w:rPr>
          <w:noProof/>
          <w:color w:val="000000"/>
        </w:rPr>
        <w:t>.</w:t>
      </w:r>
    </w:p>
    <w:p>
      <w:pPr>
        <w:pStyle w:val="ManualConsidrant"/>
        <w:rPr>
          <w:noProof/>
        </w:rPr>
      </w:pPr>
      <w:r>
        <w:rPr>
          <w:noProof/>
        </w:rPr>
        <w:t>(6)</w:t>
      </w:r>
      <w:r>
        <w:rPr>
          <w:noProof/>
        </w:rPr>
        <w:tab/>
        <w:t xml:space="preserve">Obnovenie platnosti dohody by sa malo schváliť v mene Európskej únie, </w:t>
      </w:r>
    </w:p>
    <w:p>
      <w:pPr>
        <w:pStyle w:val="Formuledadoption"/>
        <w:rPr>
          <w:noProof/>
        </w:rPr>
      </w:pPr>
      <w:r>
        <w:rPr>
          <w:noProof/>
        </w:rPr>
        <w:t xml:space="preserve">PRIJALA TOTO ROZHODNUTIE: </w:t>
      </w:r>
    </w:p>
    <w:p>
      <w:pPr>
        <w:pStyle w:val="Titrearticle"/>
        <w:rPr>
          <w:noProof/>
        </w:rPr>
      </w:pPr>
      <w:r>
        <w:rPr>
          <w:noProof/>
        </w:rPr>
        <w:t>Článok 1</w:t>
      </w:r>
    </w:p>
    <w:p>
      <w:pPr>
        <w:rPr>
          <w:noProof/>
          <w:color w:val="0000FF"/>
        </w:rPr>
      </w:pPr>
      <w:r>
        <w:rPr>
          <w:noProof/>
          <w:sz w:val="23"/>
        </w:rPr>
        <w:t>Týmto sa v mene Európskej únie schvaľuje obnovenie Dohody o vedeckej a technickej spolupráci medzi Európskym spoločenstvom a vládou Ruskej federácie na ďalšie obdobie piatich rokov.</w:t>
      </w:r>
    </w:p>
    <w:p>
      <w:pPr>
        <w:pStyle w:val="Titrearticle"/>
        <w:keepNext w:val="0"/>
        <w:rPr>
          <w:noProof/>
        </w:rPr>
      </w:pPr>
      <w:r>
        <w:rPr>
          <w:noProof/>
        </w:rPr>
        <w:t>Článok 2</w:t>
      </w:r>
    </w:p>
    <w:p>
      <w:pPr>
        <w:rPr>
          <w:noProof/>
          <w:szCs w:val="24"/>
        </w:rPr>
      </w:pPr>
      <w:r>
        <w:rPr>
          <w:noProof/>
        </w:rPr>
        <w:t>Predseda Rady určí osobu(-y) splnomocnenú(-é) oznámiť v mene Únie vláde Ruskej federácie, že Únia ukončila svoje vnútorné postupy potrebné na obnovenie platnosti dohody v súlade s článkom 12 písm. b) dohody.</w:t>
      </w:r>
      <w:r>
        <w:rPr>
          <w:noProof/>
          <w:sz w:val="23"/>
        </w:rPr>
        <w:t xml:space="preserve"> </w:t>
      </w:r>
    </w:p>
    <w:p>
      <w:pPr>
        <w:pStyle w:val="Titrearticle"/>
        <w:keepNext w:val="0"/>
        <w:rPr>
          <w:noProof/>
        </w:rPr>
      </w:pPr>
      <w:r>
        <w:rPr>
          <w:noProof/>
        </w:rPr>
        <w:t>Článok 3</w:t>
      </w:r>
    </w:p>
    <w:p>
      <w:pPr>
        <w:rPr>
          <w:noProof/>
        </w:rPr>
      </w:pPr>
      <w:r>
        <w:rPr>
          <w:noProof/>
          <w:sz w:val="23"/>
        </w:rPr>
        <w:t>Toto rozhodnutie nadobúda účinnosť dňom jeho prijatia.</w:t>
      </w:r>
    </w:p>
    <w:p>
      <w:pPr>
        <w:rPr>
          <w:noProof/>
        </w:rPr>
      </w:pPr>
    </w:p>
    <w:p>
      <w:pPr>
        <w:pStyle w:val="Fait"/>
        <w:rPr>
          <w:noProof/>
        </w:rPr>
      </w:pPr>
      <w:r>
        <w:t>V Bruseli</w:t>
      </w:r>
    </w:p>
    <w:p>
      <w:pPr>
        <w:pStyle w:val="Institutionquisigne"/>
        <w:rPr>
          <w:noProof/>
        </w:rPr>
      </w:pPr>
      <w:r>
        <w:rPr>
          <w:noProof/>
        </w:rPr>
        <w:tab/>
        <w:t>Za Radu</w:t>
      </w:r>
    </w:p>
    <w:p>
      <w:pPr>
        <w:pStyle w:val="Personnequisigne"/>
        <w:rPr>
          <w:noProof/>
        </w:rPr>
      </w:pPr>
      <w:r>
        <w:rPr>
          <w:noProof/>
        </w:rPr>
        <w:tab/>
        <w:t>predseda</w:t>
      </w:r>
    </w:p>
    <w:p>
      <w:pPr>
        <w:rPr>
          <w:noProof/>
        </w:rPr>
        <w:sectPr>
          <w:pgSz w:w="11907" w:h="16839"/>
          <w:pgMar w:top="1134" w:right="1417" w:bottom="1134" w:left="1417" w:header="709" w:footer="709" w:gutter="0"/>
          <w:cols w:space="708"/>
          <w:docGrid w:linePitch="360"/>
        </w:sectPr>
      </w:pPr>
    </w:p>
    <w:p>
      <w:pPr>
        <w:pStyle w:val="Fichefinanciretitre"/>
        <w:rPr>
          <w:noProof/>
        </w:rPr>
      </w:pPr>
      <w:r>
        <w:rPr>
          <w:noProof/>
        </w:rPr>
        <w:t>LEGISLATÍVNY FINANČNÝ VÝKAZ</w:t>
      </w:r>
    </w:p>
    <w:p>
      <w:pPr>
        <w:pStyle w:val="ManualHeading1"/>
        <w:rPr>
          <w:noProof/>
        </w:rPr>
      </w:pPr>
      <w:r>
        <w:rPr>
          <w:noProof/>
        </w:rPr>
        <w:t>1.</w:t>
      </w:r>
      <w:r>
        <w:rPr>
          <w:noProof/>
        </w:rPr>
        <w:tab/>
        <w:t xml:space="preserve">RÁMEC NÁVRHU/INICIATÍVY </w:t>
      </w:r>
    </w:p>
    <w:p>
      <w:pPr>
        <w:pStyle w:val="ManualHeading2"/>
        <w:rPr>
          <w:b w:val="0"/>
          <w:noProof/>
        </w:rPr>
      </w:pPr>
      <w:r>
        <w:rPr>
          <w:noProof/>
        </w:rPr>
        <w:tab/>
      </w:r>
      <w:r>
        <w:rPr>
          <w:b w:val="0"/>
          <w:noProof/>
        </w:rPr>
        <w:t>1.1.</w:t>
      </w:r>
      <w:r>
        <w:rPr>
          <w:noProof/>
        </w:rPr>
        <w:tab/>
      </w:r>
      <w:r>
        <w:rPr>
          <w:b w:val="0"/>
          <w:noProof/>
        </w:rPr>
        <w:t xml:space="preserve">Názov návrhu/iniciatívy </w:t>
      </w:r>
    </w:p>
    <w:p>
      <w:pPr>
        <w:pStyle w:val="ManualHeading2"/>
        <w:rPr>
          <w:b w:val="0"/>
          <w:noProof/>
        </w:rPr>
      </w:pPr>
      <w:r>
        <w:rPr>
          <w:noProof/>
        </w:rPr>
        <w:tab/>
      </w:r>
      <w:r>
        <w:rPr>
          <w:b w:val="0"/>
          <w:noProof/>
        </w:rPr>
        <w:t>1.2.</w:t>
      </w:r>
      <w:r>
        <w:rPr>
          <w:noProof/>
        </w:rPr>
        <w:tab/>
      </w:r>
      <w:r>
        <w:rPr>
          <w:b w:val="0"/>
          <w:noProof/>
        </w:rPr>
        <w:t>Príslušné oblasti politiky v rámci ABM/ABB</w:t>
      </w:r>
    </w:p>
    <w:p>
      <w:pPr>
        <w:pStyle w:val="ManualHeading2"/>
        <w:rPr>
          <w:b w:val="0"/>
          <w:noProof/>
        </w:rPr>
      </w:pPr>
      <w:r>
        <w:rPr>
          <w:noProof/>
        </w:rPr>
        <w:tab/>
      </w:r>
      <w:r>
        <w:rPr>
          <w:b w:val="0"/>
          <w:noProof/>
        </w:rPr>
        <w:t>1.3.</w:t>
      </w:r>
      <w:r>
        <w:rPr>
          <w:noProof/>
        </w:rPr>
        <w:tab/>
      </w:r>
      <w:r>
        <w:rPr>
          <w:b w:val="0"/>
          <w:noProof/>
        </w:rPr>
        <w:t xml:space="preserve">Druh návrhu/iniciatívy </w:t>
      </w:r>
    </w:p>
    <w:p>
      <w:pPr>
        <w:pStyle w:val="ManualHeading2"/>
        <w:rPr>
          <w:b w:val="0"/>
          <w:noProof/>
        </w:rPr>
      </w:pPr>
      <w:r>
        <w:rPr>
          <w:noProof/>
        </w:rPr>
        <w:tab/>
      </w:r>
      <w:r>
        <w:rPr>
          <w:b w:val="0"/>
          <w:noProof/>
        </w:rPr>
        <w:t>1.4.</w:t>
      </w:r>
      <w:r>
        <w:rPr>
          <w:noProof/>
        </w:rPr>
        <w:tab/>
      </w:r>
      <w:r>
        <w:rPr>
          <w:b w:val="0"/>
          <w:noProof/>
        </w:rPr>
        <w:t xml:space="preserve">Ciele </w:t>
      </w:r>
    </w:p>
    <w:p>
      <w:pPr>
        <w:pStyle w:val="ManualHeading2"/>
        <w:rPr>
          <w:b w:val="0"/>
          <w:noProof/>
        </w:rPr>
      </w:pPr>
      <w:r>
        <w:rPr>
          <w:noProof/>
        </w:rPr>
        <w:tab/>
      </w:r>
      <w:r>
        <w:rPr>
          <w:b w:val="0"/>
          <w:noProof/>
        </w:rPr>
        <w:t>1.5.</w:t>
      </w:r>
      <w:r>
        <w:rPr>
          <w:noProof/>
        </w:rPr>
        <w:tab/>
      </w:r>
      <w:r>
        <w:rPr>
          <w:b w:val="0"/>
          <w:noProof/>
        </w:rPr>
        <w:t xml:space="preserve">Dôvody návrhu/iniciatívy </w:t>
      </w:r>
    </w:p>
    <w:p>
      <w:pPr>
        <w:pStyle w:val="ManualHeading2"/>
        <w:rPr>
          <w:b w:val="0"/>
          <w:noProof/>
        </w:rPr>
      </w:pPr>
      <w:r>
        <w:rPr>
          <w:noProof/>
        </w:rPr>
        <w:tab/>
      </w:r>
      <w:r>
        <w:rPr>
          <w:b w:val="0"/>
          <w:noProof/>
        </w:rPr>
        <w:t>1.6.</w:t>
      </w:r>
      <w:r>
        <w:rPr>
          <w:noProof/>
        </w:rPr>
        <w:tab/>
      </w:r>
      <w:r>
        <w:rPr>
          <w:b w:val="0"/>
          <w:noProof/>
        </w:rPr>
        <w:t xml:space="preserve">Trvanie a finančný vplyv </w:t>
      </w:r>
    </w:p>
    <w:p>
      <w:pPr>
        <w:pStyle w:val="ManualHeading2"/>
        <w:rPr>
          <w:b w:val="0"/>
          <w:noProof/>
        </w:rPr>
      </w:pPr>
      <w:r>
        <w:rPr>
          <w:noProof/>
        </w:rPr>
        <w:tab/>
      </w:r>
      <w:r>
        <w:rPr>
          <w:b w:val="0"/>
          <w:noProof/>
        </w:rPr>
        <w:t>1.7.</w:t>
      </w:r>
      <w:r>
        <w:rPr>
          <w:noProof/>
        </w:rPr>
        <w:tab/>
      </w:r>
      <w:r>
        <w:rPr>
          <w:b w:val="0"/>
          <w:noProof/>
        </w:rPr>
        <w:t xml:space="preserve">Plánovaný spôsob riadenia </w:t>
      </w:r>
    </w:p>
    <w:p>
      <w:pPr>
        <w:pStyle w:val="ManualHeading1"/>
        <w:rPr>
          <w:noProof/>
        </w:rPr>
      </w:pPr>
      <w:r>
        <w:rPr>
          <w:noProof/>
        </w:rPr>
        <w:t>2.</w:t>
      </w:r>
      <w:r>
        <w:rPr>
          <w:noProof/>
        </w:rPr>
        <w:tab/>
        <w:t xml:space="preserve">OPATRENIA V OBLASTI RIADENIA </w:t>
      </w:r>
    </w:p>
    <w:p>
      <w:pPr>
        <w:pStyle w:val="ManualHeading2"/>
        <w:rPr>
          <w:b w:val="0"/>
          <w:noProof/>
        </w:rPr>
      </w:pPr>
      <w:r>
        <w:rPr>
          <w:noProof/>
        </w:rPr>
        <w:tab/>
      </w:r>
      <w:r>
        <w:rPr>
          <w:b w:val="0"/>
          <w:noProof/>
        </w:rPr>
        <w:t>2.1.</w:t>
      </w:r>
      <w:r>
        <w:rPr>
          <w:noProof/>
        </w:rPr>
        <w:tab/>
      </w:r>
      <w:r>
        <w:rPr>
          <w:b w:val="0"/>
          <w:noProof/>
        </w:rPr>
        <w:t xml:space="preserve">Opatrenia týkajúce sa monitorovania a predkladania správ </w:t>
      </w:r>
    </w:p>
    <w:p>
      <w:pPr>
        <w:pStyle w:val="ManualHeading2"/>
        <w:rPr>
          <w:b w:val="0"/>
          <w:noProof/>
        </w:rPr>
      </w:pPr>
      <w:r>
        <w:rPr>
          <w:noProof/>
        </w:rPr>
        <w:tab/>
      </w:r>
      <w:r>
        <w:rPr>
          <w:b w:val="0"/>
          <w:noProof/>
        </w:rPr>
        <w:t>2.2.</w:t>
      </w:r>
      <w:r>
        <w:rPr>
          <w:noProof/>
        </w:rPr>
        <w:tab/>
      </w:r>
      <w:r>
        <w:rPr>
          <w:b w:val="0"/>
          <w:noProof/>
        </w:rPr>
        <w:t xml:space="preserve">Systémy riadenia a kontroly </w:t>
      </w:r>
    </w:p>
    <w:p>
      <w:pPr>
        <w:pStyle w:val="ManualHeading2"/>
        <w:rPr>
          <w:b w:val="0"/>
          <w:noProof/>
        </w:rPr>
      </w:pPr>
      <w:r>
        <w:rPr>
          <w:noProof/>
        </w:rPr>
        <w:tab/>
      </w:r>
      <w:r>
        <w:rPr>
          <w:b w:val="0"/>
          <w:noProof/>
        </w:rPr>
        <w:t>2.3.</w:t>
      </w:r>
      <w:r>
        <w:rPr>
          <w:noProof/>
        </w:rPr>
        <w:tab/>
      </w:r>
      <w:r>
        <w:rPr>
          <w:b w:val="0"/>
          <w:noProof/>
        </w:rPr>
        <w:t xml:space="preserve">Opatrenia na predchádzanie podvodom a nezrovnalostiam </w:t>
      </w:r>
    </w:p>
    <w:p>
      <w:pPr>
        <w:pStyle w:val="ManualHeading1"/>
        <w:rPr>
          <w:noProof/>
        </w:rPr>
      </w:pPr>
      <w:r>
        <w:rPr>
          <w:noProof/>
        </w:rPr>
        <w:t>3.</w:t>
      </w:r>
      <w:r>
        <w:rPr>
          <w:noProof/>
        </w:rPr>
        <w:tab/>
        <w:t xml:space="preserve">ODHADOVANÝ FINANČNÝ VPLYV NÁVRHU/INICIATÍVY </w:t>
      </w:r>
    </w:p>
    <w:p>
      <w:pPr>
        <w:pStyle w:val="ManualHeading2"/>
        <w:rPr>
          <w:b w:val="0"/>
          <w:noProof/>
        </w:rPr>
      </w:pPr>
      <w:r>
        <w:rPr>
          <w:noProof/>
        </w:rPr>
        <w:tab/>
      </w:r>
      <w:r>
        <w:rPr>
          <w:b w:val="0"/>
          <w:noProof/>
        </w:rPr>
        <w:t>3.1.</w:t>
      </w:r>
      <w:r>
        <w:rPr>
          <w:noProof/>
        </w:rPr>
        <w:tab/>
      </w:r>
      <w:r>
        <w:rPr>
          <w:b w:val="0"/>
          <w:noProof/>
        </w:rPr>
        <w:t xml:space="preserve">Príslušné okruhy viacročného finančného rámca a rozpočtové riadky výdavkov </w:t>
      </w:r>
    </w:p>
    <w:p>
      <w:pPr>
        <w:pStyle w:val="ManualHeading2"/>
        <w:rPr>
          <w:noProof/>
        </w:rPr>
      </w:pPr>
      <w:r>
        <w:rPr>
          <w:noProof/>
        </w:rPr>
        <w:tab/>
      </w:r>
      <w:r>
        <w:rPr>
          <w:b w:val="0"/>
          <w:noProof/>
        </w:rPr>
        <w:t>3.2.</w:t>
      </w:r>
      <w:r>
        <w:rPr>
          <w:noProof/>
        </w:rPr>
        <w:tab/>
      </w:r>
      <w:r>
        <w:rPr>
          <w:b w:val="0"/>
          <w:noProof/>
        </w:rPr>
        <w:t>Odhadovaný vplyv na výdavky</w:t>
      </w:r>
      <w:r>
        <w:rPr>
          <w:noProof/>
        </w:rPr>
        <w:t xml:space="preserve"> </w:t>
      </w:r>
    </w:p>
    <w:p>
      <w:pPr>
        <w:pStyle w:val="ManualHeading3"/>
        <w:rPr>
          <w:noProof/>
        </w:rPr>
      </w:pPr>
      <w:r>
        <w:rPr>
          <w:noProof/>
        </w:rPr>
        <w:tab/>
        <w:t>3.2.1.</w:t>
      </w:r>
      <w:r>
        <w:rPr>
          <w:noProof/>
        </w:rPr>
        <w:tab/>
        <w:t xml:space="preserve">Zhrnutie odhadovaného vplyvu na výdavky </w:t>
      </w:r>
    </w:p>
    <w:p>
      <w:pPr>
        <w:pStyle w:val="ManualHeading3"/>
        <w:rPr>
          <w:noProof/>
        </w:rPr>
      </w:pPr>
      <w:r>
        <w:rPr>
          <w:noProof/>
        </w:rPr>
        <w:tab/>
        <w:t>3.2.2.</w:t>
      </w:r>
      <w:r>
        <w:rPr>
          <w:noProof/>
        </w:rPr>
        <w:tab/>
        <w:t xml:space="preserve">Odhadovaný vplyv na operačné rozpočtové prostriedky </w:t>
      </w:r>
    </w:p>
    <w:p>
      <w:pPr>
        <w:pStyle w:val="ManualHeading3"/>
        <w:rPr>
          <w:noProof/>
        </w:rPr>
      </w:pPr>
      <w:r>
        <w:rPr>
          <w:noProof/>
        </w:rPr>
        <w:tab/>
        <w:t>3.2.3.</w:t>
      </w:r>
      <w:r>
        <w:rPr>
          <w:noProof/>
        </w:rPr>
        <w:tab/>
        <w:t>Odhadovaný vplyv na administratívne rozpočtové prostriedky</w:t>
      </w:r>
    </w:p>
    <w:p>
      <w:pPr>
        <w:pStyle w:val="ManualHeading3"/>
        <w:rPr>
          <w:noProof/>
        </w:rPr>
      </w:pPr>
      <w:r>
        <w:rPr>
          <w:noProof/>
        </w:rPr>
        <w:tab/>
        <w:t>3.2.4.</w:t>
      </w:r>
      <w:r>
        <w:rPr>
          <w:noProof/>
        </w:rPr>
        <w:tab/>
        <w:t>Súlad s platným viacročným finančným rámcom</w:t>
      </w:r>
    </w:p>
    <w:p>
      <w:pPr>
        <w:pStyle w:val="ManualHeading3"/>
        <w:rPr>
          <w:noProof/>
        </w:rPr>
      </w:pPr>
      <w:r>
        <w:rPr>
          <w:noProof/>
        </w:rPr>
        <w:tab/>
        <w:t>3.2.5.</w:t>
      </w:r>
      <w:r>
        <w:rPr>
          <w:noProof/>
        </w:rPr>
        <w:tab/>
        <w:t xml:space="preserve">Príspevky od tretích strán </w:t>
      </w:r>
    </w:p>
    <w:p>
      <w:pPr>
        <w:pStyle w:val="ManualHeading2"/>
        <w:jc w:val="left"/>
        <w:rPr>
          <w:b w:val="0"/>
          <w:noProof/>
        </w:rPr>
        <w:sectPr>
          <w:pgSz w:w="11907" w:h="16840" w:code="9"/>
          <w:pgMar w:top="1134" w:right="1418" w:bottom="1134" w:left="1418" w:header="709" w:footer="709" w:gutter="0"/>
          <w:cols w:space="708"/>
          <w:docGrid w:linePitch="360"/>
        </w:sectPr>
      </w:pPr>
      <w:r>
        <w:rPr>
          <w:noProof/>
        </w:rPr>
        <w:tab/>
      </w:r>
      <w:r>
        <w:rPr>
          <w:b w:val="0"/>
          <w:noProof/>
        </w:rPr>
        <w:t>3.3.</w:t>
      </w:r>
      <w:r>
        <w:rPr>
          <w:noProof/>
        </w:rPr>
        <w:tab/>
      </w:r>
      <w:r>
        <w:rPr>
          <w:b w:val="0"/>
          <w:noProof/>
        </w:rPr>
        <w:t>Odhadovaný vplyv na príjmy</w:t>
      </w:r>
    </w:p>
    <w:p>
      <w:pPr>
        <w:jc w:val="center"/>
        <w:rPr>
          <w:noProof/>
        </w:rPr>
      </w:pPr>
      <w:r>
        <w:rPr>
          <w:b/>
          <w:noProof/>
          <w:u w:val="single"/>
        </w:rPr>
        <w:t>LEGISLATÍVNY FINANČNÝ VÝKAZ</w:t>
      </w:r>
    </w:p>
    <w:p>
      <w:pPr>
        <w:pStyle w:val="ManualHeading1"/>
        <w:rPr>
          <w:noProof/>
        </w:rPr>
      </w:pPr>
      <w:r>
        <w:rPr>
          <w:noProof/>
        </w:rPr>
        <w:t>1.</w:t>
      </w:r>
      <w:r>
        <w:rPr>
          <w:noProof/>
        </w:rPr>
        <w:tab/>
        <w:t xml:space="preserve">RÁMEC NÁVRHU/INICIATÍVY </w:t>
      </w:r>
    </w:p>
    <w:p>
      <w:pPr>
        <w:pStyle w:val="ManualHeading2"/>
        <w:rPr>
          <w:noProof/>
        </w:rPr>
      </w:pPr>
      <w:r>
        <w:rPr>
          <w:noProof/>
        </w:rPr>
        <w:t>1.1.</w:t>
      </w:r>
      <w:r>
        <w:rPr>
          <w:noProof/>
        </w:rPr>
        <w:tab/>
        <w:t xml:space="preserve">Názov návrhu/iniciatívy </w:t>
      </w:r>
    </w:p>
    <w:p>
      <w:pPr>
        <w:pStyle w:val="Text1"/>
        <w:pBdr>
          <w:top w:val="single" w:sz="4" w:space="1" w:color="auto"/>
          <w:left w:val="single" w:sz="4" w:space="4" w:color="auto"/>
          <w:bottom w:val="single" w:sz="4" w:space="1" w:color="auto"/>
          <w:right w:val="single" w:sz="4" w:space="4" w:color="auto"/>
        </w:pBdr>
        <w:rPr>
          <w:noProof/>
        </w:rPr>
      </w:pPr>
      <w:r>
        <w:rPr>
          <w:noProof/>
        </w:rPr>
        <w:t>Návrh rozhodnutia Rady o obnovení Dohody o vedeckej a technickej spolupráci medzi Európskym spoločenstvom a vládou Ruskej federácie</w:t>
      </w:r>
    </w:p>
    <w:p>
      <w:pPr>
        <w:pStyle w:val="ManualHeading2"/>
        <w:rPr>
          <w:noProof/>
          <w:szCs w:val="24"/>
        </w:rPr>
      </w:pPr>
      <w:r>
        <w:rPr>
          <w:noProof/>
        </w:rPr>
        <w:t>1.2.</w:t>
      </w:r>
      <w:r>
        <w:rPr>
          <w:noProof/>
        </w:rPr>
        <w:tab/>
        <w:t>Príslušné oblasti politiky v rámci ABM/ABB</w:t>
      </w:r>
      <w:r>
        <w:rPr>
          <w:rStyle w:val="FootnoteReference"/>
          <w:noProof/>
        </w:rPr>
        <w:footnoteReference w:id="11"/>
      </w:r>
      <w:r>
        <w:rPr>
          <w:i/>
          <w:noProof/>
        </w:rPr>
        <w:t xml:space="preserve"> </w:t>
      </w:r>
    </w:p>
    <w:p>
      <w:pPr>
        <w:pStyle w:val="Text1"/>
        <w:pBdr>
          <w:top w:val="single" w:sz="4" w:space="1" w:color="auto"/>
          <w:left w:val="single" w:sz="4" w:space="4" w:color="auto"/>
          <w:bottom w:val="single" w:sz="4" w:space="1" w:color="auto"/>
          <w:right w:val="single" w:sz="4" w:space="4" w:color="auto"/>
        </w:pBdr>
        <w:rPr>
          <w:noProof/>
        </w:rPr>
      </w:pPr>
      <w:r>
        <w:rPr>
          <w:noProof/>
          <w:sz w:val="23"/>
        </w:rPr>
        <w:t>Stratégia politiky a koordinácia predovšetkým týchto generálnych riaditeľstiev</w:t>
      </w:r>
      <w:r>
        <w:rPr>
          <w:rStyle w:val="FootnoteReference"/>
          <w:noProof/>
          <w:sz w:val="23"/>
        </w:rPr>
        <w:footnoteReference w:id="12"/>
      </w:r>
      <w:r>
        <w:rPr>
          <w:noProof/>
          <w:sz w:val="23"/>
        </w:rPr>
        <w:t>: RTD, AGRI, CLIMA, JRC, EAC, ENER, GROW, CNECT, MARE a MOVE.</w:t>
      </w:r>
    </w:p>
    <w:p>
      <w:pPr>
        <w:pStyle w:val="ManualHeading2"/>
        <w:rPr>
          <w:bCs/>
          <w:noProof/>
        </w:rPr>
      </w:pPr>
      <w:r>
        <w:rPr>
          <w:noProof/>
        </w:rPr>
        <w:t>1.3.</w:t>
      </w:r>
      <w:r>
        <w:rPr>
          <w:noProof/>
        </w:rPr>
        <w:tab/>
        <w:t>Druh návrhu/iniciatívy</w:t>
      </w:r>
    </w:p>
    <w:p>
      <w:pPr>
        <w:pStyle w:val="Text1"/>
        <w:rPr>
          <w:noProof/>
        </w:rPr>
      </w:pPr>
      <w:r>
        <w:rPr>
          <w:noProof/>
          <w:sz w:val="22"/>
        </w:rPr>
        <w:sym w:font="Wingdings" w:char="F0A8"/>
      </w:r>
      <w:r>
        <w:rPr>
          <w:noProof/>
        </w:rPr>
        <w:t xml:space="preserve">Návrh/iniciatíva sa týka </w:t>
      </w:r>
      <w:r>
        <w:rPr>
          <w:b/>
          <w:noProof/>
        </w:rPr>
        <w:t>novej akcie</w:t>
      </w:r>
      <w:r>
        <w:rPr>
          <w:noProof/>
        </w:rPr>
        <w:t xml:space="preserve"> </w:t>
      </w:r>
    </w:p>
    <w:p>
      <w:pPr>
        <w:pStyle w:val="Text1"/>
        <w:rPr>
          <w:b/>
          <w:noProof/>
        </w:rPr>
      </w:pPr>
      <w:r>
        <w:rPr>
          <w:noProof/>
          <w:sz w:val="22"/>
        </w:rPr>
        <w:sym w:font="Wingdings" w:char="F0A8"/>
      </w:r>
      <w:r>
        <w:rPr>
          <w:noProof/>
        </w:rPr>
        <w:t xml:space="preserve">Návrh/iniciatíva sa týka novej akcie, ktorá nadväzuje </w:t>
      </w:r>
      <w:r>
        <w:rPr>
          <w:b/>
          <w:noProof/>
        </w:rPr>
        <w:t xml:space="preserve">na pilotný projekt/prípravnú akciu </w:t>
      </w:r>
    </w:p>
    <w:p>
      <w:pPr>
        <w:pStyle w:val="Text1"/>
        <w:rPr>
          <w:noProof/>
        </w:rPr>
      </w:pPr>
      <w:r>
        <w:rPr>
          <w:noProof/>
          <w:sz w:val="22"/>
        </w:rPr>
        <w:sym w:font="Wingdings" w:char="F0FE"/>
      </w:r>
      <w:r>
        <w:rPr>
          <w:noProof/>
        </w:rPr>
        <w:t xml:space="preserve">Návrh/iniciatíva sa týka </w:t>
      </w:r>
      <w:r>
        <w:rPr>
          <w:b/>
          <w:noProof/>
        </w:rPr>
        <w:t>predĺženia trvania existujúcej akcie</w:t>
      </w:r>
      <w:r>
        <w:rPr>
          <w:noProof/>
        </w:rPr>
        <w:t xml:space="preserve"> </w:t>
      </w:r>
    </w:p>
    <w:p>
      <w:pPr>
        <w:pStyle w:val="Text1"/>
        <w:rPr>
          <w:noProof/>
        </w:rPr>
      </w:pPr>
      <w:r>
        <w:rPr>
          <w:noProof/>
          <w:sz w:val="22"/>
        </w:rPr>
        <w:sym w:font="Wingdings" w:char="F0A8"/>
      </w:r>
      <w:r>
        <w:rPr>
          <w:noProof/>
        </w:rPr>
        <w:t xml:space="preserve">Návrh/iniciatíva sa týka </w:t>
      </w:r>
      <w:r>
        <w:rPr>
          <w:b/>
          <w:noProof/>
        </w:rPr>
        <w:t>akcie presmerovanej na novú akciu</w:t>
      </w:r>
    </w:p>
    <w:p>
      <w:pPr>
        <w:pStyle w:val="ManualHeading2"/>
        <w:rPr>
          <w:bCs/>
          <w:noProof/>
          <w:szCs w:val="24"/>
        </w:rPr>
      </w:pPr>
      <w:r>
        <w:rPr>
          <w:noProof/>
        </w:rPr>
        <w:t>1.4.</w:t>
      </w:r>
      <w:r>
        <w:rPr>
          <w:noProof/>
        </w:rPr>
        <w:tab/>
        <w:t>Ciele</w:t>
      </w:r>
    </w:p>
    <w:p>
      <w:pPr>
        <w:pStyle w:val="ManualHeading3"/>
        <w:rPr>
          <w:noProof/>
        </w:rPr>
      </w:pPr>
      <w:r>
        <w:rPr>
          <w:noProof/>
        </w:rPr>
        <w:t>1.4.1.</w:t>
      </w:r>
      <w:r>
        <w:rPr>
          <w:noProof/>
        </w:rPr>
        <w:tab/>
        <w:t xml:space="preserve">Viacročné strategické ciele Komisie, ktoré sú predmetom návrhu/iniciatívy </w:t>
      </w:r>
    </w:p>
    <w:p>
      <w:pPr>
        <w:pStyle w:val="Text1"/>
        <w:pBdr>
          <w:top w:val="single" w:sz="4" w:space="1" w:color="auto"/>
          <w:left w:val="single" w:sz="4" w:space="4" w:color="auto"/>
          <w:bottom w:val="single" w:sz="4" w:space="1" w:color="auto"/>
          <w:right w:val="single" w:sz="4" w:space="4" w:color="auto"/>
        </w:pBdr>
        <w:rPr>
          <w:noProof/>
        </w:rPr>
      </w:pPr>
      <w:r>
        <w:rPr>
          <w:noProof/>
          <w:sz w:val="23"/>
        </w:rPr>
        <w:t>Touto iniciatívou sa obom stranám umožní zlepšiť a zintenzívniť vzájomnú spoluprácu v oblastiach spoločného vedeckého a technického záujmu.</w:t>
      </w:r>
    </w:p>
    <w:p>
      <w:pPr>
        <w:pStyle w:val="ManualHeading3"/>
        <w:rPr>
          <w:bCs/>
          <w:noProof/>
          <w:szCs w:val="24"/>
        </w:rPr>
      </w:pPr>
      <w:r>
        <w:rPr>
          <w:noProof/>
        </w:rPr>
        <w:t>1.4.2.</w:t>
      </w:r>
      <w:r>
        <w:rPr>
          <w:noProof/>
        </w:rPr>
        <w:tab/>
        <w:t xml:space="preserve">Špecifické ciele a príslušné činnosti v rámci ABM/ABB </w:t>
      </w:r>
    </w:p>
    <w:p>
      <w:pPr>
        <w:pStyle w:val="Text1"/>
        <w:pBdr>
          <w:top w:val="single" w:sz="4" w:space="1" w:color="auto"/>
          <w:left w:val="single" w:sz="4" w:space="4" w:color="auto"/>
          <w:bottom w:val="single" w:sz="4" w:space="1" w:color="auto"/>
          <w:right w:val="single" w:sz="4" w:space="3" w:color="auto"/>
        </w:pBdr>
        <w:rPr>
          <w:noProof/>
          <w:u w:val="single"/>
        </w:rPr>
      </w:pPr>
      <w:r>
        <w:rPr>
          <w:noProof/>
          <w:u w:val="single"/>
        </w:rPr>
        <w:t>Špecifický cieľ č. 4.1</w:t>
      </w:r>
    </w:p>
    <w:p>
      <w:pPr>
        <w:pStyle w:val="Text1"/>
        <w:pBdr>
          <w:top w:val="single" w:sz="4" w:space="1" w:color="auto"/>
          <w:left w:val="single" w:sz="4" w:space="4" w:color="auto"/>
          <w:bottom w:val="single" w:sz="4" w:space="1" w:color="auto"/>
          <w:right w:val="single" w:sz="4" w:space="3" w:color="auto"/>
        </w:pBdr>
        <w:rPr>
          <w:noProof/>
          <w:szCs w:val="24"/>
        </w:rPr>
      </w:pPr>
      <w:r>
        <w:rPr>
          <w:noProof/>
        </w:rPr>
        <w:t>Týmto rozhodnutím sa obom stranám umožní posilniť spoluprácu a rozvoj strategického partnerstva zvýšením rozsahu a záberu existujúcej spolupráce, a to riešením globálnych výziev a podporou recipročného prístupu k programom a financovaniu.</w:t>
      </w:r>
      <w:r>
        <w:rPr>
          <w:noProof/>
          <w:sz w:val="23"/>
        </w:rPr>
        <w:t xml:space="preserve"> </w:t>
      </w:r>
    </w:p>
    <w:p>
      <w:pPr>
        <w:pStyle w:val="Text1"/>
        <w:pBdr>
          <w:top w:val="single" w:sz="4" w:space="1" w:color="auto"/>
          <w:left w:val="single" w:sz="4" w:space="4" w:color="auto"/>
          <w:bottom w:val="single" w:sz="4" w:space="1" w:color="auto"/>
          <w:right w:val="single" w:sz="4" w:space="3" w:color="auto"/>
        </w:pBdr>
        <w:rPr>
          <w:noProof/>
          <w:u w:val="single"/>
        </w:rPr>
      </w:pPr>
      <w:r>
        <w:rPr>
          <w:noProof/>
          <w:u w:val="single"/>
        </w:rPr>
        <w:t>Príslušné činnosti v rámci ABM/ABB</w:t>
      </w:r>
    </w:p>
    <w:p>
      <w:pPr>
        <w:pStyle w:val="Text1"/>
        <w:pBdr>
          <w:top w:val="single" w:sz="4" w:space="1" w:color="auto"/>
          <w:left w:val="single" w:sz="4" w:space="4" w:color="auto"/>
          <w:bottom w:val="single" w:sz="4" w:space="1" w:color="auto"/>
          <w:right w:val="single" w:sz="4" w:space="3" w:color="auto"/>
        </w:pBdr>
        <w:rPr>
          <w:noProof/>
        </w:rPr>
      </w:pPr>
    </w:p>
    <w:p>
      <w:pPr>
        <w:pStyle w:val="ManualHeading3"/>
        <w:rPr>
          <w:bCs/>
          <w:noProof/>
          <w:szCs w:val="24"/>
        </w:rPr>
      </w:pPr>
      <w:r>
        <w:rPr>
          <w:noProof/>
        </w:rPr>
        <w:br w:type="page"/>
        <w:t>1.4.3.</w:t>
      </w:r>
      <w:r>
        <w:rPr>
          <w:noProof/>
        </w:rPr>
        <w:tab/>
        <w:t>Očakávané výsledky a vplyv</w:t>
      </w:r>
    </w:p>
    <w:p>
      <w:pPr>
        <w:pStyle w:val="Text1"/>
        <w:rPr>
          <w:i/>
          <w:noProof/>
          <w:sz w:val="20"/>
        </w:rPr>
      </w:pPr>
      <w:r>
        <w:rPr>
          <w:i/>
          <w:noProof/>
          <w:sz w:val="20"/>
        </w:rPr>
        <w:t>Uveďte, aký vplyv by mal mať návrh/iniciatíva na prijímateľov/cieľové skupiny.</w:t>
      </w:r>
    </w:p>
    <w:p>
      <w:pPr>
        <w:pStyle w:val="Text1"/>
        <w:pBdr>
          <w:top w:val="single" w:sz="4" w:space="1" w:color="auto"/>
          <w:left w:val="single" w:sz="4" w:space="4" w:color="auto"/>
          <w:bottom w:val="single" w:sz="4" w:space="1" w:color="auto"/>
          <w:right w:val="single" w:sz="4" w:space="4" w:color="auto"/>
        </w:pBdr>
        <w:rPr>
          <w:noProof/>
          <w:szCs w:val="24"/>
        </w:rPr>
      </w:pPr>
      <w:r>
        <w:rPr>
          <w:noProof/>
        </w:rPr>
        <w:t>Týmto rozhodnutím sa Európskej únii a Rusku umožní využívať vzájomné výhody z vedeckého a technického pokroku dosiahnutého prostredníctvom činností v rámci prebiehajúcej spolupráce. Umožní sa ním výmena špecifických znalostí a prenos know-how v prospech vedeckej obce, priemyslu a občanov oboch strán.</w:t>
      </w:r>
    </w:p>
    <w:p>
      <w:pPr>
        <w:pStyle w:val="Text1"/>
        <w:pBdr>
          <w:top w:val="single" w:sz="4" w:space="1" w:color="auto"/>
          <w:left w:val="single" w:sz="4" w:space="4" w:color="auto"/>
          <w:bottom w:val="single" w:sz="4" w:space="1" w:color="auto"/>
          <w:right w:val="single" w:sz="4" w:space="4" w:color="auto"/>
        </w:pBdr>
        <w:rPr>
          <w:noProof/>
        </w:rPr>
      </w:pPr>
    </w:p>
    <w:p>
      <w:pPr>
        <w:pStyle w:val="ManualHeading3"/>
        <w:rPr>
          <w:bCs/>
          <w:noProof/>
          <w:szCs w:val="24"/>
        </w:rPr>
      </w:pPr>
      <w:r>
        <w:rPr>
          <w:noProof/>
        </w:rPr>
        <w:t>1.4.4.</w:t>
      </w:r>
      <w:r>
        <w:rPr>
          <w:noProof/>
        </w:rPr>
        <w:tab/>
        <w:t xml:space="preserve">Ukazovatele výsledkov a vplyvu </w:t>
      </w:r>
    </w:p>
    <w:p>
      <w:pPr>
        <w:pStyle w:val="Text1"/>
        <w:rPr>
          <w:i/>
          <w:noProof/>
          <w:sz w:val="20"/>
        </w:rPr>
      </w:pPr>
      <w:r>
        <w:rPr>
          <w:i/>
          <w:noProof/>
          <w:sz w:val="20"/>
        </w:rPr>
        <w:t>Uveďte ukazovatele, pomocou ktorých je možné sledovať uskutočňovanie návrhu/iniciatívy.</w:t>
      </w:r>
    </w:p>
    <w:p>
      <w:pPr>
        <w:pStyle w:val="Text1"/>
        <w:pBdr>
          <w:top w:val="single" w:sz="4" w:space="1" w:color="auto"/>
          <w:left w:val="single" w:sz="4" w:space="4" w:color="auto"/>
          <w:bottom w:val="single" w:sz="4" w:space="1" w:color="auto"/>
          <w:right w:val="single" w:sz="4" w:space="4" w:color="auto"/>
        </w:pBdr>
        <w:rPr>
          <w:noProof/>
          <w:szCs w:val="24"/>
        </w:rPr>
      </w:pPr>
      <w:r>
        <w:rPr>
          <w:noProof/>
        </w:rPr>
        <w:t>Útvary Komisie budú pravidelne sledovať všetky opatrenia vykonávané v rámci dohody vrátane činností spolupráce. Toto hodnotenie sa bude okrem iného týkať týchto bodov:</w:t>
      </w:r>
    </w:p>
    <w:p>
      <w:pPr>
        <w:pStyle w:val="Text1"/>
        <w:pBdr>
          <w:top w:val="single" w:sz="4" w:space="1" w:color="auto"/>
          <w:left w:val="single" w:sz="4" w:space="4" w:color="auto"/>
          <w:bottom w:val="single" w:sz="4" w:space="1" w:color="auto"/>
          <w:right w:val="single" w:sz="4" w:space="4" w:color="auto"/>
        </w:pBdr>
        <w:rPr>
          <w:noProof/>
          <w:szCs w:val="24"/>
        </w:rPr>
      </w:pPr>
      <w:r>
        <w:rPr>
          <w:noProof/>
        </w:rPr>
        <w:t>a) ukazovatele spolupráce — analýza počtu a druhu účasti ruských subjektov v programoch financovaných Úniou (napríklad počet návrhov, počet podpísaných dohôd o grante, hlavné väzby spolupráce, hlavné témy, realizované výstupy) a naopak (keď sú údaje k dispozícii);</w:t>
      </w:r>
    </w:p>
    <w:p>
      <w:pPr>
        <w:pStyle w:val="Text1"/>
        <w:pBdr>
          <w:top w:val="single" w:sz="4" w:space="1" w:color="auto"/>
          <w:left w:val="single" w:sz="4" w:space="4" w:color="auto"/>
          <w:bottom w:val="single" w:sz="4" w:space="1" w:color="auto"/>
          <w:right w:val="single" w:sz="4" w:space="4" w:color="auto"/>
        </w:pBdr>
        <w:rPr>
          <w:noProof/>
          <w:szCs w:val="24"/>
        </w:rPr>
      </w:pPr>
      <w:r>
        <w:rPr>
          <w:noProof/>
        </w:rPr>
        <w:t>b) ukazovatele výkonnosti — miera úspešnosti ruských subjektov zapojených do rámcových programov subjektov zúčastňujúcich sa na rámcových programoch EÚ v porovnaní s inými nečlenskými krajinami EÚ a členskými štátmi/pridruženými krajinami rámcového programu pre výskum; analýza kvality účasti (napríklad počet najlepšie hodnotených univerzít zúčastňujúcich sa na programe, počet patentov a publikácií, ktoré vzišli z projektov spolupráce);</w:t>
      </w:r>
    </w:p>
    <w:p>
      <w:pPr>
        <w:pStyle w:val="Text1"/>
        <w:pBdr>
          <w:top w:val="single" w:sz="4" w:space="1" w:color="auto"/>
          <w:left w:val="single" w:sz="4" w:space="4" w:color="auto"/>
          <w:bottom w:val="single" w:sz="4" w:space="1" w:color="auto"/>
          <w:right w:val="single" w:sz="4" w:space="4" w:color="auto"/>
        </w:pBdr>
        <w:rPr>
          <w:noProof/>
          <w:szCs w:val="24"/>
        </w:rPr>
      </w:pPr>
      <w:r>
        <w:rPr>
          <w:noProof/>
        </w:rPr>
        <w:t>c) zber údajov o činnostiach spolupráce a väzby, ktoré idú nad rámec príslušných programov financovania výskumu, ako aj posúdenie vplyvu týchto činností, ako napríklad účasť vo viacstranných iniciatívach a pracovných skupinách.</w:t>
      </w:r>
    </w:p>
    <w:p>
      <w:pPr>
        <w:pStyle w:val="ManualHeading2"/>
        <w:rPr>
          <w:bCs/>
          <w:noProof/>
          <w:szCs w:val="24"/>
        </w:rPr>
      </w:pPr>
      <w:r>
        <w:rPr>
          <w:noProof/>
        </w:rPr>
        <w:t>1.5.</w:t>
      </w:r>
      <w:r>
        <w:rPr>
          <w:noProof/>
        </w:rPr>
        <w:tab/>
        <w:t xml:space="preserve">Dôvody návrhu/iniciatívy </w:t>
      </w:r>
    </w:p>
    <w:p>
      <w:pPr>
        <w:pStyle w:val="ManualHeading3"/>
        <w:rPr>
          <w:noProof/>
        </w:rPr>
      </w:pPr>
      <w:r>
        <w:rPr>
          <w:noProof/>
        </w:rPr>
        <w:t>1.5.1.</w:t>
      </w:r>
      <w:r>
        <w:rPr>
          <w:noProof/>
        </w:rPr>
        <w:tab/>
        <w:t xml:space="preserve">Potreby, ktoré sa majú uspokojiť v krátkodobom alebo dlhodobom horizonte </w:t>
      </w:r>
    </w:p>
    <w:p>
      <w:pPr>
        <w:pStyle w:val="Text1"/>
        <w:pBdr>
          <w:top w:val="single" w:sz="4" w:space="1" w:color="auto"/>
          <w:left w:val="single" w:sz="4" w:space="4" w:color="auto"/>
          <w:bottom w:val="single" w:sz="4" w:space="1" w:color="auto"/>
          <w:right w:val="single" w:sz="4" w:space="4" w:color="auto"/>
        </w:pBdr>
        <w:rPr>
          <w:noProof/>
          <w:szCs w:val="24"/>
        </w:rPr>
      </w:pPr>
      <w:r>
        <w:rPr>
          <w:noProof/>
        </w:rPr>
        <w:t>Týmto rozhodnutím sa obom stranám umožní pokračovať v zdokonaľovaní a zintenzívnení spolupráce vo vedeckej a technickej oblasti, ktorá bude prínosom pre obe zmluvné strany.</w:t>
      </w:r>
    </w:p>
    <w:p>
      <w:pPr>
        <w:pStyle w:val="ManualHeading3"/>
        <w:rPr>
          <w:bCs/>
          <w:noProof/>
          <w:szCs w:val="24"/>
        </w:rPr>
      </w:pPr>
      <w:r>
        <w:rPr>
          <w:noProof/>
        </w:rPr>
        <w:t>1.5.2.</w:t>
      </w:r>
      <w:r>
        <w:rPr>
          <w:noProof/>
        </w:rPr>
        <w:tab/>
        <w:t>Prínos zapojenia Európskej únie</w:t>
      </w:r>
    </w:p>
    <w:p>
      <w:pPr>
        <w:pStyle w:val="Text1"/>
        <w:pBdr>
          <w:top w:val="single" w:sz="4" w:space="1" w:color="auto"/>
          <w:left w:val="single" w:sz="4" w:space="4" w:color="auto"/>
          <w:bottom w:val="single" w:sz="4" w:space="1" w:color="auto"/>
          <w:right w:val="single" w:sz="4" w:space="4" w:color="auto"/>
        </w:pBdr>
        <w:rPr>
          <w:noProof/>
          <w:szCs w:val="24"/>
        </w:rPr>
      </w:pPr>
      <w:r>
        <w:rPr>
          <w:noProof/>
        </w:rPr>
        <w:t xml:space="preserve">Spolupráca medzi EÚ a Ruskou federáciou v oblasti výskumu a inovácií sa v uplynulých rokoch stále zintenzívňuje. Zapojenie EÚ umožňuje činnosti s väčším rozsahom a záberom a prospech z toho majú všetky členské štáty. Obnovenie platnosti tejto dohody umožní EÚ ľahší prístup k vedeckým poznatkom, ku ktorým sa dospelo v Ruskej federácii, a zapojenie do viacerých činností spolupráce, čo povedie k ďalšej výmene poznatkov a technológií. </w:t>
      </w:r>
    </w:p>
    <w:p>
      <w:pPr>
        <w:pStyle w:val="ManualHeading3"/>
        <w:rPr>
          <w:bCs/>
          <w:noProof/>
          <w:szCs w:val="24"/>
        </w:rPr>
      </w:pPr>
      <w:r>
        <w:rPr>
          <w:noProof/>
        </w:rPr>
        <w:t>1.5.3.</w:t>
      </w:r>
      <w:r>
        <w:rPr>
          <w:noProof/>
        </w:rPr>
        <w:tab/>
        <w:t>Poznatky získané z podobných skúseností v minulosti</w:t>
      </w:r>
    </w:p>
    <w:p>
      <w:pPr>
        <w:pStyle w:val="Text1"/>
        <w:pBdr>
          <w:top w:val="single" w:sz="4" w:space="1" w:color="auto"/>
          <w:left w:val="single" w:sz="4" w:space="4" w:color="auto"/>
          <w:bottom w:val="single" w:sz="4" w:space="1" w:color="auto"/>
          <w:right w:val="single" w:sz="4" w:space="4" w:color="auto"/>
        </w:pBdr>
        <w:rPr>
          <w:noProof/>
          <w:szCs w:val="24"/>
        </w:rPr>
      </w:pPr>
      <w:r>
        <w:rPr>
          <w:noProof/>
        </w:rPr>
        <w:t>Na základe doterajších skúseností v oblasti vedeckej a technologickej spolupráce sa považuje za vzájomne prospešné pokračovať vo výskumnej spolupráci s Ruskou federáciou ako strategickým partnerom EÚ v oblasti výskumu a inovácií.</w:t>
      </w:r>
    </w:p>
    <w:p>
      <w:pPr>
        <w:pStyle w:val="ManualHeading3"/>
        <w:rPr>
          <w:bCs/>
          <w:noProof/>
          <w:szCs w:val="24"/>
        </w:rPr>
      </w:pPr>
      <w:r>
        <w:rPr>
          <w:noProof/>
        </w:rPr>
        <w:t>1.5.4.</w:t>
      </w:r>
      <w:r>
        <w:rPr>
          <w:noProof/>
        </w:rPr>
        <w:tab/>
        <w:t>Zlučiteľnosť a možná synergia s inými vhodnými nástrojmi</w:t>
      </w:r>
    </w:p>
    <w:p>
      <w:pPr>
        <w:pStyle w:val="Text1"/>
        <w:pBdr>
          <w:top w:val="single" w:sz="4" w:space="1" w:color="auto"/>
          <w:left w:val="single" w:sz="4" w:space="4" w:color="auto"/>
          <w:bottom w:val="single" w:sz="4" w:space="1" w:color="auto"/>
          <w:right w:val="single" w:sz="4" w:space="4" w:color="auto"/>
        </w:pBdr>
        <w:rPr>
          <w:noProof/>
          <w:szCs w:val="24"/>
        </w:rPr>
      </w:pPr>
      <w:r>
        <w:rPr>
          <w:noProof/>
        </w:rPr>
        <w:t xml:space="preserve">Obnovenie platnosti dohody s Ruskou federáciou sa považuje za plne konzistentné s celkovým politickým rámcom medzinárodnej spolupráce v oblasti výskumu a inovácií [COM(2012) 497]. </w:t>
      </w:r>
    </w:p>
    <w:p>
      <w:pPr>
        <w:pStyle w:val="ManualHeading2"/>
        <w:rPr>
          <w:bCs/>
          <w:noProof/>
          <w:szCs w:val="24"/>
        </w:rPr>
      </w:pPr>
      <w:r>
        <w:rPr>
          <w:noProof/>
        </w:rPr>
        <w:br w:type="page"/>
        <w:t>1.6.</w:t>
      </w:r>
      <w:r>
        <w:rPr>
          <w:noProof/>
        </w:rPr>
        <w:tab/>
        <w:t xml:space="preserve">Trvanie a finančný vplyv </w:t>
      </w:r>
    </w:p>
    <w:p>
      <w:pPr>
        <w:pStyle w:val="Text1"/>
        <w:rPr>
          <w:noProof/>
        </w:rPr>
      </w:pPr>
      <w:r>
        <w:rPr>
          <w:noProof/>
        </w:rPr>
        <w:sym w:font="Wingdings" w:char="F0FE"/>
      </w:r>
      <w:r>
        <w:rPr>
          <w:noProof/>
        </w:rPr>
        <w:t xml:space="preserve">Návrh/iniciatíva s </w:t>
      </w:r>
      <w:r>
        <w:rPr>
          <w:b/>
          <w:noProof/>
        </w:rPr>
        <w:t xml:space="preserve">obmedzeným trvaním </w:t>
      </w:r>
    </w:p>
    <w:p>
      <w:pPr>
        <w:pStyle w:val="ListDash2"/>
        <w:rPr>
          <w:noProof/>
        </w:rPr>
      </w:pPr>
      <w:r>
        <w:rPr>
          <w:noProof/>
        </w:rPr>
        <w:sym w:font="Wingdings" w:char="F0FE"/>
      </w:r>
      <w:r>
        <w:rPr>
          <w:noProof/>
        </w:rPr>
        <w:tab/>
        <w:t>Návrh/iniciatíva bude v platnosti od 20. 2. 2019 do 19. 2. 2024.</w:t>
      </w:r>
    </w:p>
    <w:p>
      <w:pPr>
        <w:pStyle w:val="ListDash2"/>
        <w:rPr>
          <w:noProof/>
        </w:rPr>
      </w:pPr>
      <w:r>
        <w:rPr>
          <w:noProof/>
        </w:rPr>
        <w:sym w:font="Wingdings" w:char="F0FE"/>
      </w:r>
      <w:r>
        <w:rPr>
          <w:noProof/>
        </w:rPr>
        <w:tab/>
        <w:t>Finančný vplyv trvá od 20. 2. 2019 do 19. 2. 2024.</w:t>
      </w:r>
    </w:p>
    <w:p>
      <w:pPr>
        <w:pStyle w:val="Text1"/>
        <w:rPr>
          <w:noProof/>
        </w:rPr>
      </w:pPr>
      <w:r>
        <w:rPr>
          <w:noProof/>
        </w:rPr>
        <w:sym w:font="Wingdings" w:char="F0A8"/>
      </w:r>
      <w:r>
        <w:rPr>
          <w:noProof/>
        </w:rPr>
        <w:t xml:space="preserve">Návrh/iniciatíva s </w:t>
      </w:r>
      <w:r>
        <w:rPr>
          <w:b/>
          <w:noProof/>
        </w:rPr>
        <w:t>neobmedzeným trvaním</w:t>
      </w:r>
    </w:p>
    <w:p>
      <w:pPr>
        <w:pStyle w:val="ListDash1"/>
        <w:rPr>
          <w:noProof/>
        </w:rPr>
      </w:pPr>
      <w:r>
        <w:rPr>
          <w:noProof/>
        </w:rPr>
        <w:t>Počiatočná fáza vykonávania bude trvať od RRRR do RRRR,</w:t>
      </w:r>
    </w:p>
    <w:p>
      <w:pPr>
        <w:pStyle w:val="ListDash1"/>
        <w:rPr>
          <w:noProof/>
        </w:rPr>
      </w:pPr>
      <w:r>
        <w:rPr>
          <w:noProof/>
        </w:rPr>
        <w:t>–a potom bude implementácia pokračovať v plnom rozsahu.</w:t>
      </w:r>
    </w:p>
    <w:p>
      <w:pPr>
        <w:pStyle w:val="ManualHeading2"/>
        <w:rPr>
          <w:bCs/>
          <w:noProof/>
          <w:szCs w:val="24"/>
        </w:rPr>
      </w:pPr>
      <w:r>
        <w:rPr>
          <w:noProof/>
        </w:rPr>
        <w:t>1.7.</w:t>
      </w:r>
      <w:r>
        <w:rPr>
          <w:noProof/>
        </w:rPr>
        <w:tab/>
        <w:t>Plánovaný spôsob riadenia</w:t>
      </w:r>
      <w:r>
        <w:rPr>
          <w:rStyle w:val="FootnoteReference"/>
          <w:noProof/>
        </w:rPr>
        <w:footnoteReference w:id="13"/>
      </w:r>
      <w:r>
        <w:rPr>
          <w:rStyle w:val="FootnoteReference"/>
          <w:noProof/>
        </w:rPr>
        <w:t xml:space="preserve"> </w:t>
      </w:r>
    </w:p>
    <w:p>
      <w:pPr>
        <w:pStyle w:val="Text1"/>
        <w:rPr>
          <w:noProof/>
        </w:rPr>
      </w:pPr>
      <w:r>
        <w:rPr>
          <w:noProof/>
        </w:rPr>
        <w:sym w:font="Wingdings" w:char="F0FE"/>
      </w:r>
      <w:r>
        <w:rPr>
          <w:b/>
          <w:noProof/>
        </w:rPr>
        <w:t>Priame riadenie</w:t>
      </w:r>
      <w:r>
        <w:rPr>
          <w:noProof/>
        </w:rPr>
        <w:t xml:space="preserve"> na úrovni Komisie</w:t>
      </w:r>
    </w:p>
    <w:p>
      <w:pPr>
        <w:pStyle w:val="ListDash2"/>
        <w:rPr>
          <w:rFonts w:cs="EUAlbertina"/>
          <w:noProof/>
        </w:rPr>
      </w:pPr>
      <w:r>
        <w:rPr>
          <w:noProof/>
        </w:rPr>
        <w:sym w:font="Wingdings" w:char="F0A8"/>
      </w:r>
      <w:r>
        <w:rPr>
          <w:noProof/>
        </w:rPr>
        <w:t xml:space="preserve">prostredníctvom jej útvarov vrátane zamestnancov v delegáciách Únie </w:t>
      </w:r>
    </w:p>
    <w:p>
      <w:pPr>
        <w:pStyle w:val="ListDash2"/>
        <w:rPr>
          <w:noProof/>
        </w:rPr>
      </w:pPr>
      <w:r>
        <w:rPr>
          <w:noProof/>
        </w:rPr>
        <w:sym w:font="Wingdings" w:char="F0A8"/>
      </w:r>
      <w:r>
        <w:rPr>
          <w:noProof/>
        </w:rPr>
        <w:tab/>
        <w:t xml:space="preserve">prostredníctvom výkonných agentúr </w:t>
      </w:r>
    </w:p>
    <w:p>
      <w:pPr>
        <w:pStyle w:val="Text1"/>
        <w:rPr>
          <w:noProof/>
        </w:rPr>
      </w:pPr>
      <w:r>
        <w:rPr>
          <w:noProof/>
        </w:rPr>
        <w:sym w:font="Wingdings" w:char="F0A8"/>
      </w:r>
      <w:r>
        <w:rPr>
          <w:b/>
          <w:noProof/>
        </w:rPr>
        <w:t>Zdieľané riadenie</w:t>
      </w:r>
      <w:r>
        <w:rPr>
          <w:noProof/>
        </w:rPr>
        <w:t xml:space="preserve"> s členskými štátmi </w:t>
      </w:r>
    </w:p>
    <w:p>
      <w:pPr>
        <w:pStyle w:val="Text1"/>
        <w:rPr>
          <w:noProof/>
        </w:rPr>
      </w:pPr>
      <w:r>
        <w:rPr>
          <w:noProof/>
        </w:rPr>
        <w:sym w:font="Wingdings" w:char="F0A8"/>
      </w:r>
      <w:r>
        <w:rPr>
          <w:b/>
          <w:noProof/>
        </w:rPr>
        <w:t>Nepriame riadenie</w:t>
      </w:r>
      <w:r>
        <w:rPr>
          <w:noProof/>
        </w:rPr>
        <w:t>, pri ktorom sa plnením rozpočtu poveria:</w:t>
      </w:r>
    </w:p>
    <w:p>
      <w:pPr>
        <w:pStyle w:val="ListDash2"/>
        <w:rPr>
          <w:noProof/>
        </w:rPr>
      </w:pPr>
      <w:r>
        <w:rPr>
          <w:noProof/>
        </w:rPr>
        <w:sym w:font="Wingdings" w:char="F0A8"/>
      </w:r>
      <w:r>
        <w:rPr>
          <w:noProof/>
        </w:rPr>
        <w:t xml:space="preserve"> tretie krajiny alebo subjekty, ktoré tieto krajiny určili,</w:t>
      </w:r>
    </w:p>
    <w:p>
      <w:pPr>
        <w:pStyle w:val="ListDash2"/>
        <w:rPr>
          <w:noProof/>
        </w:rPr>
      </w:pPr>
      <w:r>
        <w:rPr>
          <w:noProof/>
        </w:rPr>
        <w:sym w:font="Wingdings" w:char="F0A8"/>
      </w:r>
      <w:r>
        <w:rPr>
          <w:noProof/>
        </w:rPr>
        <w:t xml:space="preserve"> medzinárodné organizácie a ich agentúry (uveďte),</w:t>
      </w:r>
    </w:p>
    <w:p>
      <w:pPr>
        <w:pStyle w:val="ListDash2"/>
        <w:rPr>
          <w:noProof/>
        </w:rPr>
      </w:pPr>
      <w:r>
        <w:rPr>
          <w:noProof/>
        </w:rPr>
        <w:sym w:font="Wingdings" w:char="F0A8"/>
      </w:r>
      <w:r>
        <w:rPr>
          <w:noProof/>
        </w:rPr>
        <w:t xml:space="preserve"> Európska investičná banka (EIB) a Európsky investičný fond,</w:t>
      </w:r>
    </w:p>
    <w:p>
      <w:pPr>
        <w:pStyle w:val="ListDash2"/>
        <w:rPr>
          <w:noProof/>
        </w:rPr>
      </w:pPr>
      <w:r>
        <w:rPr>
          <w:noProof/>
        </w:rPr>
        <w:sym w:font="Wingdings" w:char="F0A8"/>
      </w:r>
      <w:r>
        <w:rPr>
          <w:noProof/>
        </w:rPr>
        <w:t xml:space="preserve"> subjekty uvedené v článkoch 208 a 209 nariadenia o rozpočtových pravidlách,</w:t>
      </w:r>
    </w:p>
    <w:p>
      <w:pPr>
        <w:pStyle w:val="ListDash2"/>
        <w:rPr>
          <w:noProof/>
        </w:rPr>
      </w:pPr>
      <w:r>
        <w:rPr>
          <w:noProof/>
        </w:rPr>
        <w:sym w:font="Wingdings" w:char="F0A8"/>
      </w:r>
      <w:r>
        <w:rPr>
          <w:noProof/>
        </w:rPr>
        <w:t xml:space="preserve"> verejnoprávne subjekty,</w:t>
      </w:r>
    </w:p>
    <w:p>
      <w:pPr>
        <w:pStyle w:val="ListDash2"/>
        <w:rPr>
          <w:noProof/>
        </w:rPr>
      </w:pPr>
      <w:r>
        <w:rPr>
          <w:noProof/>
        </w:rPr>
        <w:sym w:font="Wingdings" w:char="F0A8"/>
      </w:r>
      <w:r>
        <w:rPr>
          <w:noProof/>
        </w:rPr>
        <w:t xml:space="preserve"> súkromnoprávne subjekty poverené vykonávaním verejnej služby, pokiaľ tieto subjekty poskytujú dostatočné finančné záruky,</w:t>
      </w:r>
    </w:p>
    <w:p>
      <w:pPr>
        <w:pStyle w:val="ListDash2"/>
        <w:rPr>
          <w:noProof/>
        </w:rPr>
      </w:pPr>
      <w:r>
        <w:rPr>
          <w:noProof/>
        </w:rPr>
        <w:sym w:font="Wingdings" w:char="F0A8"/>
      </w:r>
      <w:r>
        <w:rPr>
          <w:noProof/>
        </w:rPr>
        <w:t xml:space="preserve"> súkromnoprávne subjekty spravované právom členského štátu, ktoré sú poverené vykonávaním verejno-súkromného partnerstva a ktoré poskytujú dostatočné finančné záruky,</w:t>
      </w:r>
    </w:p>
    <w:p>
      <w:pPr>
        <w:pStyle w:val="ListDash2"/>
        <w:rPr>
          <w:noProof/>
        </w:rPr>
      </w:pPr>
      <w:r>
        <w:rPr>
          <w:noProof/>
        </w:rPr>
        <w:sym w:font="Wingdings" w:char="F0A8"/>
      </w:r>
      <w:r>
        <w:rPr>
          <w:noProof/>
        </w:rPr>
        <w:t xml:space="preserve"> osoby poverené vykonávaním osobitných činností v oblasti SZBP podľa hlavy V Zmluvy o Európskej únii a určené v príslušnom základnom akte.</w:t>
      </w:r>
    </w:p>
    <w:p>
      <w:pPr>
        <w:pStyle w:val="ListDash2"/>
        <w:rPr>
          <w:i/>
          <w:noProof/>
          <w:sz w:val="18"/>
          <w:u w:val="single"/>
        </w:rPr>
      </w:pPr>
      <w:r>
        <w:rPr>
          <w:i/>
          <w:noProof/>
          <w:sz w:val="18"/>
        </w:rPr>
        <w:t>V prípade viacerých spôsobov riadenia uveďte v oddiele „Poznámky“ presnejšie vysvetlenie.</w:t>
      </w:r>
    </w:p>
    <w:p>
      <w:pPr>
        <w:rPr>
          <w:noProof/>
        </w:rPr>
      </w:pPr>
      <w:r>
        <w:rPr>
          <w:noProof/>
        </w:rPr>
        <w:t xml:space="preserve">Poznámky: </w:t>
      </w:r>
    </w:p>
    <w:p>
      <w:pPr>
        <w:pBdr>
          <w:top w:val="single" w:sz="4" w:space="1" w:color="auto"/>
          <w:left w:val="single" w:sz="4" w:space="4" w:color="auto"/>
          <w:bottom w:val="single" w:sz="4" w:space="1" w:color="auto"/>
          <w:right w:val="single" w:sz="4" w:space="4" w:color="auto"/>
        </w:pBdr>
        <w:rPr>
          <w:noProof/>
        </w:rPr>
        <w:sectPr>
          <w:pgSz w:w="11907" w:h="16840" w:code="9"/>
          <w:pgMar w:top="1134" w:right="1418" w:bottom="1134" w:left="1418" w:header="709" w:footer="709" w:gutter="0"/>
          <w:cols w:space="708"/>
          <w:docGrid w:linePitch="360"/>
        </w:sectPr>
      </w:pPr>
    </w:p>
    <w:p>
      <w:pPr>
        <w:pStyle w:val="ManualHeading1"/>
        <w:rPr>
          <w:bCs/>
          <w:noProof/>
          <w:szCs w:val="24"/>
        </w:rPr>
      </w:pPr>
      <w:r>
        <w:rPr>
          <w:noProof/>
        </w:rPr>
        <w:t>2.</w:t>
      </w:r>
      <w:r>
        <w:rPr>
          <w:noProof/>
        </w:rPr>
        <w:tab/>
        <w:t xml:space="preserve">OPATRENIA V OBLASTI RIADENIA </w:t>
      </w:r>
    </w:p>
    <w:p>
      <w:pPr>
        <w:pStyle w:val="ManualHeading2"/>
        <w:rPr>
          <w:noProof/>
        </w:rPr>
      </w:pPr>
      <w:r>
        <w:rPr>
          <w:noProof/>
        </w:rPr>
        <w:t>2.1.</w:t>
      </w:r>
      <w:r>
        <w:rPr>
          <w:noProof/>
        </w:rPr>
        <w:tab/>
        <w:t xml:space="preserve">Opatrenia týkajúce sa monitorovania a predkladania správ </w:t>
      </w:r>
    </w:p>
    <w:p>
      <w:pPr>
        <w:pStyle w:val="Text1"/>
        <w:rPr>
          <w:i/>
          <w:noProof/>
          <w:sz w:val="20"/>
          <w:u w:val="single"/>
        </w:rPr>
      </w:pPr>
      <w:r>
        <w:rPr>
          <w:i/>
          <w:noProof/>
          <w:sz w:val="20"/>
        </w:rPr>
        <w:t>Uveďte časový interval a podmienky, ktoré sa vzťahujú na tieto opatrenia.</w:t>
      </w:r>
    </w:p>
    <w:p>
      <w:pPr>
        <w:pStyle w:val="Text1"/>
        <w:pBdr>
          <w:top w:val="single" w:sz="4" w:space="1" w:color="auto"/>
          <w:left w:val="single" w:sz="4" w:space="4" w:color="auto"/>
          <w:bottom w:val="single" w:sz="4" w:space="1" w:color="auto"/>
          <w:right w:val="single" w:sz="4" w:space="4" w:color="auto"/>
        </w:pBdr>
        <w:rPr>
          <w:rFonts w:eastAsia="Times New Roman"/>
          <w:noProof/>
        </w:rPr>
      </w:pPr>
      <w:r>
        <w:rPr>
          <w:noProof/>
        </w:rPr>
        <w:t>Účasť subjektov z Ruska na rámcovom programe pre výskum a inovácie a ďalšie činnosti týkajúce sa spolupráce vyplývajúcej z dohody sa budú pravidelne monitorovať na zasadaniach Spoločného výboru zriadeného podľa článku 6 písm. a) dohody.</w:t>
      </w:r>
    </w:p>
    <w:p>
      <w:pPr>
        <w:pStyle w:val="ManualHeading2"/>
        <w:rPr>
          <w:bCs/>
          <w:noProof/>
          <w:szCs w:val="24"/>
        </w:rPr>
      </w:pPr>
      <w:r>
        <w:rPr>
          <w:noProof/>
        </w:rPr>
        <w:t>2.2.</w:t>
      </w:r>
      <w:r>
        <w:rPr>
          <w:noProof/>
        </w:rPr>
        <w:tab/>
        <w:t xml:space="preserve">Systémy riadenia a kontroly </w:t>
      </w:r>
    </w:p>
    <w:p>
      <w:pPr>
        <w:pStyle w:val="ManualHeading3"/>
        <w:rPr>
          <w:noProof/>
        </w:rPr>
      </w:pPr>
      <w:r>
        <w:rPr>
          <w:noProof/>
        </w:rPr>
        <w:t>2.2.1.</w:t>
      </w:r>
      <w:r>
        <w:rPr>
          <w:noProof/>
        </w:rPr>
        <w:tab/>
        <w:t xml:space="preserve">Zistené riziká </w:t>
      </w:r>
    </w:p>
    <w:p>
      <w:pPr>
        <w:pStyle w:val="Text1"/>
        <w:pBdr>
          <w:top w:val="single" w:sz="4" w:space="1" w:color="auto"/>
          <w:left w:val="single" w:sz="4" w:space="4" w:color="auto"/>
          <w:bottom w:val="single" w:sz="4" w:space="1" w:color="auto"/>
          <w:right w:val="single" w:sz="4" w:space="4" w:color="auto"/>
        </w:pBdr>
        <w:rPr>
          <w:noProof/>
          <w:szCs w:val="24"/>
        </w:rPr>
      </w:pPr>
      <w:r>
        <w:rPr>
          <w:noProof/>
        </w:rPr>
        <w:t>Uskutočňujú sa pravidelné zasadnutia a dvojstranné kontakty umožňujúce systematické zdieľanie informácií a kontrolu. V kontrolnom systéme sa nezistili žiadne riziká.</w:t>
      </w:r>
    </w:p>
    <w:p>
      <w:pPr>
        <w:pStyle w:val="ManualHeading3"/>
        <w:rPr>
          <w:bCs/>
          <w:noProof/>
          <w:szCs w:val="24"/>
        </w:rPr>
      </w:pPr>
      <w:r>
        <w:rPr>
          <w:noProof/>
        </w:rPr>
        <w:t>2.2.2.</w:t>
      </w:r>
      <w:r>
        <w:rPr>
          <w:noProof/>
        </w:rPr>
        <w:tab/>
        <w:t>Údaje o zavedenom systéme vnútornej kontroly.</w:t>
      </w:r>
    </w:p>
    <w:p>
      <w:pPr>
        <w:pStyle w:val="Text1"/>
        <w:pBdr>
          <w:top w:val="single" w:sz="4" w:space="1" w:color="auto"/>
          <w:left w:val="single" w:sz="4" w:space="4" w:color="auto"/>
          <w:bottom w:val="single" w:sz="4" w:space="1" w:color="auto"/>
          <w:right w:val="single" w:sz="4" w:space="4" w:color="auto"/>
        </w:pBdr>
        <w:rPr>
          <w:noProof/>
        </w:rPr>
      </w:pPr>
      <w:r>
        <w:rPr>
          <w:noProof/>
        </w:rPr>
        <w:t>Neuplatňuje sa</w:t>
      </w:r>
    </w:p>
    <w:p>
      <w:pPr>
        <w:pStyle w:val="Text1"/>
        <w:pBdr>
          <w:top w:val="single" w:sz="4" w:space="1" w:color="auto"/>
          <w:left w:val="single" w:sz="4" w:space="4" w:color="auto"/>
          <w:bottom w:val="single" w:sz="4" w:space="1" w:color="auto"/>
          <w:right w:val="single" w:sz="4" w:space="4" w:color="auto"/>
        </w:pBdr>
        <w:rPr>
          <w:noProof/>
        </w:rPr>
      </w:pPr>
    </w:p>
    <w:p>
      <w:pPr>
        <w:pStyle w:val="ManualHeading3"/>
        <w:rPr>
          <w:noProof/>
        </w:rPr>
      </w:pPr>
      <w:r>
        <w:rPr>
          <w:noProof/>
        </w:rPr>
        <w:t>2.2.3.</w:t>
      </w:r>
      <w:r>
        <w:rPr>
          <w:noProof/>
        </w:rPr>
        <w:tab/>
        <w:t xml:space="preserve">Odhad nákladov a prínosov kontrol a posúdenie očakávanej úrovne rizika chyby. </w:t>
      </w:r>
    </w:p>
    <w:p>
      <w:pPr>
        <w:pStyle w:val="Text1"/>
        <w:pBdr>
          <w:top w:val="single" w:sz="4" w:space="1" w:color="auto"/>
          <w:left w:val="single" w:sz="4" w:space="4" w:color="auto"/>
          <w:bottom w:val="single" w:sz="4" w:space="1" w:color="auto"/>
          <w:right w:val="single" w:sz="4" w:space="4" w:color="auto"/>
        </w:pBdr>
        <w:rPr>
          <w:noProof/>
        </w:rPr>
      </w:pPr>
      <w:r>
        <w:rPr>
          <w:noProof/>
        </w:rPr>
        <w:t>Neuplatňuje sa</w:t>
      </w:r>
    </w:p>
    <w:p>
      <w:pPr>
        <w:pStyle w:val="Text1"/>
        <w:pBdr>
          <w:top w:val="single" w:sz="4" w:space="1" w:color="auto"/>
          <w:left w:val="single" w:sz="4" w:space="4" w:color="auto"/>
          <w:bottom w:val="single" w:sz="4" w:space="1" w:color="auto"/>
          <w:right w:val="single" w:sz="4" w:space="4" w:color="auto"/>
        </w:pBdr>
        <w:rPr>
          <w:noProof/>
        </w:rPr>
      </w:pPr>
    </w:p>
    <w:p>
      <w:pPr>
        <w:pStyle w:val="ManualHeading2"/>
        <w:rPr>
          <w:bCs/>
          <w:noProof/>
          <w:szCs w:val="24"/>
        </w:rPr>
      </w:pPr>
      <w:r>
        <w:rPr>
          <w:noProof/>
        </w:rPr>
        <w:t>2.3.</w:t>
      </w:r>
      <w:r>
        <w:rPr>
          <w:noProof/>
        </w:rPr>
        <w:tab/>
        <w:t xml:space="preserve">Opatrenia na predchádzanie podvodom a nezrovnalostiam </w:t>
      </w:r>
    </w:p>
    <w:p>
      <w:pPr>
        <w:pStyle w:val="Text1"/>
        <w:rPr>
          <w:i/>
          <w:noProof/>
          <w:sz w:val="20"/>
        </w:rPr>
      </w:pPr>
      <w:r>
        <w:rPr>
          <w:i/>
          <w:noProof/>
          <w:sz w:val="20"/>
        </w:rPr>
        <w:t>Uveďte existujúce a plánované preventívne a ochranné opatrenia.</w:t>
      </w:r>
    </w:p>
    <w:p>
      <w:pPr>
        <w:pStyle w:val="Text1"/>
        <w:pBdr>
          <w:top w:val="single" w:sz="4" w:space="1" w:color="auto"/>
          <w:left w:val="single" w:sz="4" w:space="4" w:color="auto"/>
          <w:bottom w:val="single" w:sz="4" w:space="1" w:color="auto"/>
          <w:right w:val="single" w:sz="4" w:space="4" w:color="auto"/>
        </w:pBdr>
        <w:rPr>
          <w:noProof/>
          <w:szCs w:val="24"/>
        </w:rPr>
      </w:pPr>
      <w:r>
        <w:rPr>
          <w:noProof/>
        </w:rPr>
        <w:t>V prípade, že si vykonávanie rámcového programu vyžaduje zapojenie externých zmluvných partnerov alebo poskytovanie finančných príspevkov tretím stranám, Komisia v opodstatnených prípadoch uskutoční finančné audity, najmä ak má dôvod pochybovať o reálnej povahe uskutočnených činností alebo činností uvedených v správach o činnosti.</w:t>
      </w:r>
    </w:p>
    <w:p>
      <w:pPr>
        <w:pStyle w:val="Text1"/>
        <w:pBdr>
          <w:top w:val="single" w:sz="4" w:space="1" w:color="auto"/>
          <w:left w:val="single" w:sz="4" w:space="4" w:color="auto"/>
          <w:bottom w:val="single" w:sz="4" w:space="1" w:color="auto"/>
          <w:right w:val="single" w:sz="4" w:space="4" w:color="auto"/>
        </w:pBdr>
        <w:rPr>
          <w:noProof/>
          <w:szCs w:val="24"/>
        </w:rPr>
      </w:pPr>
      <w:r>
        <w:rPr>
          <w:noProof/>
        </w:rPr>
        <w:t>Finančné audity Únie budú vykonávať jej vlastní pracovníci alebo odborníci na účtovníctvo schválení v súlade s právnymi predpismi strany, u ktorej sa má audit vykonať. Únia si ich vyberie podľa vlastného uváženia so zreteľom na potrebu vyhnúť sa riziku konfliktu záujmov, na ktorý by ju mohla upozorniť strana, ktorá je podrobená auditu. Okrem toho Komisia pri vykonávaní výskumných činností zaistí, aby boli finančné záujmy Únie chránené účinnými kontrolami, a v prípade zistených nezrovnalostí prijme primerané a odradzujúce opatrenia a sankcie.</w:t>
      </w:r>
    </w:p>
    <w:p>
      <w:pPr>
        <w:pStyle w:val="Text1"/>
        <w:pBdr>
          <w:top w:val="single" w:sz="4" w:space="1" w:color="auto"/>
          <w:left w:val="single" w:sz="4" w:space="4" w:color="auto"/>
          <w:bottom w:val="single" w:sz="4" w:space="1" w:color="auto"/>
          <w:right w:val="single" w:sz="4" w:space="4" w:color="auto"/>
        </w:pBdr>
        <w:rPr>
          <w:noProof/>
          <w:szCs w:val="24"/>
        </w:rPr>
      </w:pPr>
      <w:r>
        <w:rPr>
          <w:noProof/>
        </w:rPr>
        <w:t xml:space="preserve">Aby sa tento cieľ dosiahol, do všetkých zmlúv uplatňovaných pri vykonávaní rámcového programu sa zahrnú pravidlá týkajúce sa kontrol, opatrení a sankcií s odkazmi na nariadenia č. 2988/95, č. 2185/96 a č. 883/2013. </w:t>
      </w:r>
    </w:p>
    <w:p>
      <w:pPr>
        <w:pStyle w:val="Text1"/>
        <w:pBdr>
          <w:top w:val="single" w:sz="4" w:space="1" w:color="auto"/>
          <w:left w:val="single" w:sz="4" w:space="4" w:color="auto"/>
          <w:bottom w:val="single" w:sz="4" w:space="1" w:color="auto"/>
          <w:right w:val="single" w:sz="4" w:space="4" w:color="auto"/>
        </w:pBdr>
        <w:rPr>
          <w:noProof/>
          <w:szCs w:val="24"/>
        </w:rPr>
      </w:pPr>
      <w:r>
        <w:rPr>
          <w:noProof/>
        </w:rPr>
        <w:t>V zmluvách sa budú musieť uviesť ustanovenia týkajúce sa najmä týchto bodov:</w:t>
      </w:r>
    </w:p>
    <w:p>
      <w:pPr>
        <w:pStyle w:val="Text1"/>
        <w:pBdr>
          <w:top w:val="single" w:sz="4" w:space="1" w:color="auto"/>
          <w:left w:val="single" w:sz="4" w:space="4" w:color="auto"/>
          <w:bottom w:val="single" w:sz="4" w:space="1" w:color="auto"/>
          <w:right w:val="single" w:sz="4" w:space="4" w:color="auto"/>
        </w:pBdr>
        <w:rPr>
          <w:noProof/>
          <w:szCs w:val="24"/>
        </w:rPr>
      </w:pPr>
      <w:r>
        <w:rPr>
          <w:noProof/>
        </w:rPr>
        <w:t xml:space="preserve">– vloženie osobitných doložiek do zmlúv s cieľom chrániť finančné záujmy EÚ kontrolami a previerkami vykonanej práce, </w:t>
      </w:r>
    </w:p>
    <w:p>
      <w:pPr>
        <w:pStyle w:val="Text1"/>
        <w:pBdr>
          <w:top w:val="single" w:sz="4" w:space="1" w:color="auto"/>
          <w:left w:val="single" w:sz="4" w:space="4" w:color="auto"/>
          <w:bottom w:val="single" w:sz="4" w:space="1" w:color="auto"/>
          <w:right w:val="single" w:sz="4" w:space="4" w:color="auto"/>
        </w:pBdr>
        <w:rPr>
          <w:noProof/>
          <w:szCs w:val="24"/>
        </w:rPr>
      </w:pPr>
      <w:r>
        <w:rPr>
          <w:noProof/>
        </w:rPr>
        <w:t>– vykonávanie administratívnych kontrol ako súčasť opatrení proti podvodom v súlade s nariadeniami č. 2185/96, č. 1073/1999 a č. 1074/1999,</w:t>
      </w:r>
    </w:p>
    <w:p>
      <w:pPr>
        <w:pStyle w:val="Text1"/>
        <w:pBdr>
          <w:top w:val="single" w:sz="4" w:space="1" w:color="auto"/>
          <w:left w:val="single" w:sz="4" w:space="4" w:color="auto"/>
          <w:bottom w:val="single" w:sz="4" w:space="1" w:color="auto"/>
          <w:right w:val="single" w:sz="4" w:space="4" w:color="auto"/>
        </w:pBdr>
        <w:rPr>
          <w:noProof/>
          <w:szCs w:val="24"/>
        </w:rPr>
      </w:pPr>
      <w:r>
        <w:rPr>
          <w:noProof/>
        </w:rPr>
        <w:t>– uplatňovanie administratívnych sankcií vo všetkých prípadoch úmyselných porušení právnych predpisov alebo porušení právnych predpisov z nedbanlivosti pri vykonávaní zmlúv v súlade s rámcovým nariadením č. 2988/95 vrátane mechanizmu zostavovania čiernych listín,</w:t>
      </w:r>
    </w:p>
    <w:p>
      <w:pPr>
        <w:pStyle w:val="Text1"/>
        <w:pBdr>
          <w:top w:val="single" w:sz="4" w:space="1" w:color="auto"/>
          <w:left w:val="single" w:sz="4" w:space="4" w:color="auto"/>
          <w:bottom w:val="single" w:sz="4" w:space="1" w:color="auto"/>
          <w:right w:val="single" w:sz="4" w:space="4" w:color="auto"/>
        </w:pBdr>
        <w:rPr>
          <w:noProof/>
          <w:szCs w:val="24"/>
        </w:rPr>
      </w:pPr>
      <w:r>
        <w:rPr>
          <w:noProof/>
        </w:rPr>
        <w:t>– vykonateľnosť všetkých príkazov na vymáhanie v prípade nezrovnalostí a podvodov v súlade s článkom 299 Zmluvy o fungovaní Európskej únie.</w:t>
      </w:r>
    </w:p>
    <w:p>
      <w:pPr>
        <w:pStyle w:val="Text1"/>
        <w:pBdr>
          <w:top w:val="single" w:sz="4" w:space="1" w:color="auto"/>
          <w:left w:val="single" w:sz="4" w:space="4" w:color="auto"/>
          <w:bottom w:val="single" w:sz="4" w:space="1" w:color="auto"/>
          <w:right w:val="single" w:sz="4" w:space="4" w:color="auto"/>
        </w:pBdr>
        <w:rPr>
          <w:noProof/>
          <w:szCs w:val="24"/>
        </w:rPr>
      </w:pPr>
      <w:r>
        <w:rPr>
          <w:noProof/>
        </w:rPr>
        <w:t>Okrem toho budú zodpovední pracovníci Generálneho riaditeľstva pre výskum a inováciu (GR RTD) ako bežné opatrenie vykonávať program kontrol so zreteľom na vedecké a rozpočtové aspekty spolupráce. Vnútorný audit bude vykonávať oddelenie vnútorného auditu GR RTD a miestne inšpekcie bude uskutočňovať Európsky dvor audítorov.</w:t>
      </w:r>
    </w:p>
    <w:p>
      <w:pPr>
        <w:pStyle w:val="Text1"/>
        <w:pBdr>
          <w:top w:val="single" w:sz="4" w:space="1" w:color="auto"/>
          <w:left w:val="single" w:sz="4" w:space="0" w:color="auto"/>
          <w:bottom w:val="single" w:sz="4" w:space="1" w:color="auto"/>
          <w:right w:val="single" w:sz="4" w:space="4" w:color="auto"/>
        </w:pBdr>
        <w:rPr>
          <w:noProof/>
        </w:rPr>
        <w:sectPr>
          <w:pgSz w:w="11907" w:h="16840" w:code="9"/>
          <w:pgMar w:top="1134" w:right="1418" w:bottom="1134" w:left="1418" w:header="709" w:footer="709" w:gutter="0"/>
          <w:cols w:space="708"/>
          <w:docGrid w:linePitch="360"/>
        </w:sectPr>
      </w:pPr>
    </w:p>
    <w:p>
      <w:pPr>
        <w:pStyle w:val="ManualHeading1"/>
        <w:rPr>
          <w:bCs/>
          <w:noProof/>
          <w:szCs w:val="24"/>
        </w:rPr>
      </w:pPr>
      <w:r>
        <w:rPr>
          <w:noProof/>
        </w:rPr>
        <w:t>3.</w:t>
      </w:r>
      <w:r>
        <w:rPr>
          <w:noProof/>
        </w:rPr>
        <w:tab/>
        <w:t xml:space="preserve">ODHADOVANÝ FINANČNÝ VPLYV NÁVRHU/INICIATÍVY </w:t>
      </w:r>
    </w:p>
    <w:p>
      <w:pPr>
        <w:pStyle w:val="ManualHeading2"/>
        <w:rPr>
          <w:noProof/>
        </w:rPr>
      </w:pPr>
      <w:r>
        <w:rPr>
          <w:noProof/>
        </w:rPr>
        <w:t>3.1.</w:t>
      </w:r>
      <w:r>
        <w:rPr>
          <w:noProof/>
        </w:rPr>
        <w:tab/>
        <w:t xml:space="preserve">Príslušné okruhy viacročného finančného rámca a rozpočtové riadky výdavkov </w:t>
      </w:r>
    </w:p>
    <w:p>
      <w:pPr>
        <w:pStyle w:val="ListBullet1"/>
        <w:rPr>
          <w:noProof/>
        </w:rPr>
      </w:pPr>
      <w:r>
        <w:rPr>
          <w:noProof/>
        </w:rPr>
        <w:t>Existujúce rozpočtové riadky</w:t>
      </w:r>
      <w:r>
        <w:rPr>
          <w:rStyle w:val="FootnoteReference"/>
          <w:noProof/>
        </w:rPr>
        <w:footnoteReference w:id="14"/>
      </w:r>
    </w:p>
    <w:p>
      <w:pPr>
        <w:pStyle w:val="Text1"/>
        <w:rPr>
          <w:noProof/>
        </w:rPr>
      </w:pPr>
      <w:r>
        <w:rPr>
          <w:noProof/>
        </w:rPr>
        <w:t>V poradí, v akom za sebou nasledujú okruhy viacročného finančného rámca a rozpočtové riadky.</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448"/>
      </w:tblGrid>
      <w:tr>
        <w:tc>
          <w:tcPr>
            <w:tcW w:w="1080" w:type="dxa"/>
            <w:vMerge w:val="restart"/>
            <w:vAlign w:val="center"/>
          </w:tcPr>
          <w:p>
            <w:pPr>
              <w:spacing w:before="60" w:after="60"/>
              <w:jc w:val="center"/>
              <w:rPr>
                <w:noProof/>
                <w:sz w:val="22"/>
              </w:rPr>
            </w:pPr>
            <w:r>
              <w:rPr>
                <w:noProof/>
                <w:sz w:val="18"/>
              </w:rPr>
              <w:t>Okruh viacročného finančného rámca</w:t>
            </w:r>
          </w:p>
        </w:tc>
        <w:tc>
          <w:tcPr>
            <w:tcW w:w="3960" w:type="dxa"/>
            <w:vAlign w:val="center"/>
          </w:tcPr>
          <w:p>
            <w:pPr>
              <w:spacing w:before="60" w:after="60"/>
              <w:jc w:val="center"/>
              <w:rPr>
                <w:noProof/>
                <w:sz w:val="22"/>
              </w:rPr>
            </w:pPr>
            <w:r>
              <w:rPr>
                <w:noProof/>
                <w:sz w:val="20"/>
              </w:rPr>
              <w:t>Rozpočtový riadok</w:t>
            </w:r>
          </w:p>
        </w:tc>
        <w:tc>
          <w:tcPr>
            <w:tcW w:w="1080" w:type="dxa"/>
            <w:vAlign w:val="center"/>
          </w:tcPr>
          <w:p>
            <w:pPr>
              <w:spacing w:before="60" w:after="60"/>
              <w:jc w:val="center"/>
              <w:rPr>
                <w:noProof/>
                <w:sz w:val="22"/>
              </w:rPr>
            </w:pPr>
            <w:r>
              <w:rPr>
                <w:noProof/>
              </w:rPr>
              <w:t xml:space="preserve">Druh </w:t>
            </w:r>
            <w:r>
              <w:rPr>
                <w:noProof/>
              </w:rPr>
              <w:br/>
            </w:r>
            <w:r>
              <w:rPr>
                <w:noProof/>
                <w:sz w:val="18"/>
              </w:rPr>
              <w:t>výdavkov</w:t>
            </w:r>
          </w:p>
        </w:tc>
        <w:tc>
          <w:tcPr>
            <w:tcW w:w="4440" w:type="dxa"/>
            <w:gridSpan w:val="4"/>
            <w:vAlign w:val="center"/>
          </w:tcPr>
          <w:p>
            <w:pPr>
              <w:spacing w:before="60" w:after="60"/>
              <w:jc w:val="center"/>
              <w:rPr>
                <w:noProof/>
                <w:sz w:val="22"/>
              </w:rPr>
            </w:pPr>
            <w:r>
              <w:rPr>
                <w:noProof/>
                <w:sz w:val="20"/>
              </w:rPr>
              <w:t xml:space="preserve">Príspevky </w:t>
            </w:r>
          </w:p>
        </w:tc>
      </w:tr>
      <w:tr>
        <w:tc>
          <w:tcPr>
            <w:tcW w:w="1080" w:type="dxa"/>
            <w:vMerge/>
            <w:vAlign w:val="center"/>
          </w:tcPr>
          <w:p>
            <w:pPr>
              <w:jc w:val="center"/>
              <w:rPr>
                <w:noProof/>
                <w:sz w:val="22"/>
              </w:rPr>
            </w:pPr>
          </w:p>
        </w:tc>
        <w:tc>
          <w:tcPr>
            <w:tcW w:w="3960" w:type="dxa"/>
            <w:vAlign w:val="center"/>
          </w:tcPr>
          <w:p>
            <w:pPr>
              <w:rPr>
                <w:noProof/>
                <w:sz w:val="22"/>
              </w:rPr>
            </w:pPr>
            <w:r>
              <w:rPr>
                <w:noProof/>
                <w:sz w:val="20"/>
              </w:rPr>
              <w:t xml:space="preserve"> </w:t>
            </w:r>
            <w:r>
              <w:rPr>
                <w:noProof/>
                <w:sz w:val="22"/>
              </w:rPr>
              <w:br/>
            </w:r>
            <w:r>
              <w:rPr>
                <w:noProof/>
                <w:sz w:val="20"/>
              </w:rPr>
              <w:t>Okruh 1a – Konkurencieschopnosť pre rast a zamestnanosť</w:t>
            </w:r>
          </w:p>
        </w:tc>
        <w:tc>
          <w:tcPr>
            <w:tcW w:w="1080" w:type="dxa"/>
            <w:vAlign w:val="center"/>
          </w:tcPr>
          <w:p>
            <w:pPr>
              <w:jc w:val="center"/>
              <w:rPr>
                <w:noProof/>
                <w:sz w:val="22"/>
              </w:rPr>
            </w:pPr>
            <w:r>
              <w:rPr>
                <w:noProof/>
              </w:rPr>
              <w:t>DRP/NRP</w:t>
            </w:r>
            <w:r>
              <w:rPr>
                <w:rStyle w:val="FootnoteReference"/>
                <w:noProof/>
              </w:rPr>
              <w:footnoteReference w:id="15"/>
            </w:r>
          </w:p>
        </w:tc>
        <w:tc>
          <w:tcPr>
            <w:tcW w:w="956" w:type="dxa"/>
            <w:vAlign w:val="center"/>
          </w:tcPr>
          <w:p>
            <w:pPr>
              <w:jc w:val="center"/>
              <w:rPr>
                <w:noProof/>
                <w:sz w:val="22"/>
              </w:rPr>
            </w:pPr>
            <w:r>
              <w:rPr>
                <w:noProof/>
                <w:sz w:val="18"/>
              </w:rPr>
              <w:t>krajín EZVO</w:t>
            </w:r>
            <w:r>
              <w:rPr>
                <w:rStyle w:val="FootnoteReference"/>
                <w:noProof/>
                <w:sz w:val="18"/>
              </w:rPr>
              <w:footnoteReference w:id="16"/>
            </w:r>
          </w:p>
          <w:p>
            <w:pPr>
              <w:spacing w:before="0" w:after="0"/>
              <w:jc w:val="center"/>
              <w:rPr>
                <w:b/>
                <w:noProof/>
                <w:sz w:val="18"/>
              </w:rPr>
            </w:pPr>
          </w:p>
        </w:tc>
        <w:tc>
          <w:tcPr>
            <w:tcW w:w="1080" w:type="dxa"/>
            <w:vAlign w:val="center"/>
          </w:tcPr>
          <w:p>
            <w:pPr>
              <w:jc w:val="center"/>
              <w:rPr>
                <w:noProof/>
                <w:sz w:val="22"/>
              </w:rPr>
            </w:pPr>
            <w:r>
              <w:rPr>
                <w:noProof/>
                <w:sz w:val="18"/>
              </w:rPr>
              <w:t>kandidátskych krajín</w:t>
            </w:r>
            <w:r>
              <w:rPr>
                <w:rStyle w:val="FootnoteReference"/>
                <w:noProof/>
                <w:sz w:val="18"/>
              </w:rPr>
              <w:footnoteReference w:id="17"/>
            </w:r>
          </w:p>
          <w:p>
            <w:pPr>
              <w:spacing w:before="0" w:after="0"/>
              <w:jc w:val="center"/>
              <w:rPr>
                <w:noProof/>
                <w:sz w:val="18"/>
              </w:rPr>
            </w:pPr>
          </w:p>
        </w:tc>
        <w:tc>
          <w:tcPr>
            <w:tcW w:w="956" w:type="dxa"/>
            <w:vAlign w:val="center"/>
          </w:tcPr>
          <w:p>
            <w:pPr>
              <w:jc w:val="center"/>
              <w:rPr>
                <w:noProof/>
                <w:sz w:val="18"/>
              </w:rPr>
            </w:pPr>
            <w:r>
              <w:rPr>
                <w:noProof/>
                <w:sz w:val="18"/>
              </w:rPr>
              <w:t>tretích krajín</w:t>
            </w:r>
          </w:p>
        </w:tc>
        <w:tc>
          <w:tcPr>
            <w:tcW w:w="1448" w:type="dxa"/>
            <w:vAlign w:val="center"/>
          </w:tcPr>
          <w:p>
            <w:pPr>
              <w:jc w:val="center"/>
              <w:rPr>
                <w:noProof/>
                <w:sz w:val="22"/>
              </w:rPr>
            </w:pPr>
            <w:r>
              <w:rPr>
                <w:noProof/>
                <w:sz w:val="16"/>
              </w:rPr>
              <w:t xml:space="preserve">v zmysle článku 21 ods. 2 písm. b) nariadenia o rozpočtových pravidlách </w:t>
            </w:r>
          </w:p>
        </w:tc>
      </w:tr>
      <w:tr>
        <w:tc>
          <w:tcPr>
            <w:tcW w:w="1080" w:type="dxa"/>
            <w:vAlign w:val="center"/>
          </w:tcPr>
          <w:p>
            <w:pPr>
              <w:jc w:val="center"/>
              <w:rPr>
                <w:noProof/>
                <w:color w:val="0000FF"/>
                <w:sz w:val="22"/>
              </w:rPr>
            </w:pPr>
            <w:r>
              <w:rPr>
                <w:noProof/>
                <w:sz w:val="20"/>
              </w:rPr>
              <w:t>1a</w:t>
            </w:r>
          </w:p>
        </w:tc>
        <w:tc>
          <w:tcPr>
            <w:tcW w:w="3960" w:type="dxa"/>
            <w:vAlign w:val="center"/>
          </w:tcPr>
          <w:p>
            <w:pPr>
              <w:spacing w:before="60"/>
              <w:jc w:val="center"/>
              <w:rPr>
                <w:b/>
                <w:noProof/>
                <w:sz w:val="22"/>
              </w:rPr>
            </w:pPr>
            <w:r>
              <w:rPr>
                <w:b/>
                <w:noProof/>
                <w:sz w:val="22"/>
              </w:rPr>
              <w:t>08.01.05.01</w:t>
            </w:r>
          </w:p>
        </w:tc>
        <w:tc>
          <w:tcPr>
            <w:tcW w:w="1080" w:type="dxa"/>
            <w:vAlign w:val="center"/>
          </w:tcPr>
          <w:p>
            <w:pPr>
              <w:jc w:val="center"/>
              <w:rPr>
                <w:noProof/>
                <w:color w:val="0000FF"/>
                <w:sz w:val="22"/>
              </w:rPr>
            </w:pPr>
            <w:r>
              <w:rPr>
                <w:noProof/>
                <w:sz w:val="22"/>
              </w:rPr>
              <w:t>NRP</w:t>
            </w:r>
          </w:p>
        </w:tc>
        <w:tc>
          <w:tcPr>
            <w:tcW w:w="956" w:type="dxa"/>
            <w:vAlign w:val="center"/>
          </w:tcPr>
          <w:p>
            <w:pPr>
              <w:jc w:val="center"/>
              <w:rPr>
                <w:noProof/>
                <w:sz w:val="22"/>
              </w:rPr>
            </w:pPr>
            <w:r>
              <w:rPr>
                <w:noProof/>
                <w:sz w:val="22"/>
              </w:rPr>
              <w:t>ÁNO</w:t>
            </w:r>
          </w:p>
        </w:tc>
        <w:tc>
          <w:tcPr>
            <w:tcW w:w="1080" w:type="dxa"/>
            <w:vAlign w:val="center"/>
          </w:tcPr>
          <w:p>
            <w:pPr>
              <w:jc w:val="center"/>
              <w:rPr>
                <w:noProof/>
                <w:sz w:val="22"/>
              </w:rPr>
            </w:pPr>
            <w:r>
              <w:rPr>
                <w:noProof/>
                <w:sz w:val="22"/>
              </w:rPr>
              <w:t>ÁNO</w:t>
            </w:r>
          </w:p>
        </w:tc>
        <w:tc>
          <w:tcPr>
            <w:tcW w:w="956" w:type="dxa"/>
            <w:vAlign w:val="center"/>
          </w:tcPr>
          <w:p>
            <w:pPr>
              <w:jc w:val="center"/>
              <w:rPr>
                <w:noProof/>
                <w:sz w:val="22"/>
              </w:rPr>
            </w:pPr>
            <w:r>
              <w:rPr>
                <w:noProof/>
                <w:sz w:val="22"/>
              </w:rPr>
              <w:t>NIE</w:t>
            </w:r>
          </w:p>
        </w:tc>
        <w:tc>
          <w:tcPr>
            <w:tcW w:w="1448" w:type="dxa"/>
            <w:vAlign w:val="center"/>
          </w:tcPr>
          <w:p>
            <w:pPr>
              <w:jc w:val="center"/>
              <w:rPr>
                <w:noProof/>
                <w:sz w:val="22"/>
              </w:rPr>
            </w:pPr>
            <w:r>
              <w:rPr>
                <w:noProof/>
                <w:sz w:val="22"/>
              </w:rPr>
              <w:t>NIE</w:t>
            </w:r>
          </w:p>
        </w:tc>
      </w:tr>
      <w:tr>
        <w:tc>
          <w:tcPr>
            <w:tcW w:w="1080" w:type="dxa"/>
            <w:vAlign w:val="center"/>
          </w:tcPr>
          <w:p>
            <w:pPr>
              <w:jc w:val="center"/>
              <w:rPr>
                <w:noProof/>
                <w:color w:val="0000FF"/>
                <w:sz w:val="22"/>
              </w:rPr>
            </w:pPr>
            <w:r>
              <w:rPr>
                <w:noProof/>
                <w:sz w:val="20"/>
              </w:rPr>
              <w:t>1a</w:t>
            </w:r>
          </w:p>
        </w:tc>
        <w:tc>
          <w:tcPr>
            <w:tcW w:w="3960" w:type="dxa"/>
            <w:vAlign w:val="center"/>
          </w:tcPr>
          <w:p>
            <w:pPr>
              <w:spacing w:before="60"/>
              <w:jc w:val="center"/>
              <w:rPr>
                <w:b/>
                <w:noProof/>
                <w:sz w:val="22"/>
              </w:rPr>
            </w:pPr>
            <w:r>
              <w:rPr>
                <w:b/>
                <w:noProof/>
                <w:sz w:val="22"/>
              </w:rPr>
              <w:t>08.01.05.03</w:t>
            </w:r>
          </w:p>
        </w:tc>
        <w:tc>
          <w:tcPr>
            <w:tcW w:w="1080" w:type="dxa"/>
            <w:vAlign w:val="center"/>
          </w:tcPr>
          <w:p>
            <w:pPr>
              <w:jc w:val="center"/>
              <w:rPr>
                <w:noProof/>
                <w:color w:val="0000FF"/>
                <w:sz w:val="22"/>
              </w:rPr>
            </w:pPr>
            <w:r>
              <w:rPr>
                <w:noProof/>
                <w:sz w:val="22"/>
              </w:rPr>
              <w:t>NRP</w:t>
            </w:r>
          </w:p>
        </w:tc>
        <w:tc>
          <w:tcPr>
            <w:tcW w:w="956" w:type="dxa"/>
            <w:vAlign w:val="center"/>
          </w:tcPr>
          <w:p>
            <w:pPr>
              <w:jc w:val="center"/>
              <w:rPr>
                <w:noProof/>
                <w:sz w:val="22"/>
              </w:rPr>
            </w:pPr>
            <w:r>
              <w:rPr>
                <w:noProof/>
                <w:sz w:val="22"/>
              </w:rPr>
              <w:t>ÁNO</w:t>
            </w:r>
          </w:p>
        </w:tc>
        <w:tc>
          <w:tcPr>
            <w:tcW w:w="1080" w:type="dxa"/>
            <w:vAlign w:val="center"/>
          </w:tcPr>
          <w:p>
            <w:pPr>
              <w:jc w:val="center"/>
              <w:rPr>
                <w:noProof/>
                <w:sz w:val="22"/>
              </w:rPr>
            </w:pPr>
            <w:r>
              <w:rPr>
                <w:noProof/>
                <w:sz w:val="22"/>
              </w:rPr>
              <w:t>ÁNO</w:t>
            </w:r>
          </w:p>
        </w:tc>
        <w:tc>
          <w:tcPr>
            <w:tcW w:w="956" w:type="dxa"/>
            <w:vAlign w:val="center"/>
          </w:tcPr>
          <w:p>
            <w:pPr>
              <w:jc w:val="center"/>
              <w:rPr>
                <w:noProof/>
                <w:sz w:val="22"/>
              </w:rPr>
            </w:pPr>
            <w:r>
              <w:rPr>
                <w:noProof/>
                <w:sz w:val="22"/>
              </w:rPr>
              <w:t>NIE</w:t>
            </w:r>
          </w:p>
        </w:tc>
        <w:tc>
          <w:tcPr>
            <w:tcW w:w="1448" w:type="dxa"/>
            <w:vAlign w:val="center"/>
          </w:tcPr>
          <w:p>
            <w:pPr>
              <w:jc w:val="center"/>
              <w:rPr>
                <w:noProof/>
                <w:sz w:val="22"/>
              </w:rPr>
            </w:pPr>
            <w:r>
              <w:rPr>
                <w:noProof/>
                <w:sz w:val="22"/>
              </w:rPr>
              <w:t>NIE</w:t>
            </w:r>
          </w:p>
        </w:tc>
      </w:tr>
    </w:tbl>
    <w:p>
      <w:pPr>
        <w:pStyle w:val="ListBullet1"/>
        <w:rPr>
          <w:noProof/>
        </w:rPr>
      </w:pPr>
      <w:r>
        <w:rPr>
          <w:noProof/>
        </w:rPr>
        <w:t xml:space="preserve">Požadované nové rozpočtové riadky </w:t>
      </w:r>
    </w:p>
    <w:p>
      <w:pPr>
        <w:pStyle w:val="Text1"/>
        <w:rPr>
          <w:i/>
          <w:noProof/>
          <w:sz w:val="20"/>
        </w:rPr>
      </w:pPr>
      <w:r>
        <w:rPr>
          <w:i/>
          <w:noProof/>
          <w:u w:val="single"/>
        </w:rPr>
        <w:t>V poradí</w:t>
      </w:r>
      <w:r>
        <w:rPr>
          <w:i/>
          <w:noProof/>
        </w:rPr>
        <w:t>, v akom za sebou nasledujú okruhy viacročného finančného rámca a rozpočtové riadky.</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448"/>
      </w:tblGrid>
      <w:tr>
        <w:tc>
          <w:tcPr>
            <w:tcW w:w="1080" w:type="dxa"/>
            <w:vMerge w:val="restart"/>
            <w:vAlign w:val="center"/>
          </w:tcPr>
          <w:p>
            <w:pPr>
              <w:spacing w:before="60" w:after="60"/>
              <w:jc w:val="center"/>
              <w:rPr>
                <w:noProof/>
                <w:sz w:val="18"/>
                <w:szCs w:val="18"/>
              </w:rPr>
            </w:pPr>
            <w:r>
              <w:rPr>
                <w:noProof/>
                <w:sz w:val="18"/>
              </w:rPr>
              <w:t>Okruh viacročného finančného rámca</w:t>
            </w:r>
          </w:p>
        </w:tc>
        <w:tc>
          <w:tcPr>
            <w:tcW w:w="3960" w:type="dxa"/>
            <w:vAlign w:val="center"/>
          </w:tcPr>
          <w:p>
            <w:pPr>
              <w:spacing w:before="60" w:after="60"/>
              <w:jc w:val="center"/>
              <w:rPr>
                <w:noProof/>
                <w:sz w:val="22"/>
              </w:rPr>
            </w:pPr>
            <w:r>
              <w:rPr>
                <w:noProof/>
                <w:sz w:val="20"/>
              </w:rPr>
              <w:t>Rozpočtový riadok</w:t>
            </w:r>
          </w:p>
        </w:tc>
        <w:tc>
          <w:tcPr>
            <w:tcW w:w="1080" w:type="dxa"/>
            <w:vAlign w:val="center"/>
          </w:tcPr>
          <w:p>
            <w:pPr>
              <w:spacing w:before="60" w:after="60"/>
              <w:jc w:val="center"/>
              <w:rPr>
                <w:noProof/>
                <w:sz w:val="22"/>
              </w:rPr>
            </w:pPr>
            <w:r>
              <w:rPr>
                <w:noProof/>
                <w:sz w:val="18"/>
              </w:rPr>
              <w:t>Druh</w:t>
            </w:r>
            <w:r>
              <w:rPr>
                <w:noProof/>
                <w:sz w:val="22"/>
              </w:rPr>
              <w:br/>
            </w:r>
            <w:r>
              <w:rPr>
                <w:noProof/>
                <w:sz w:val="18"/>
              </w:rPr>
              <w:t>výdavkov</w:t>
            </w:r>
          </w:p>
        </w:tc>
        <w:tc>
          <w:tcPr>
            <w:tcW w:w="4440" w:type="dxa"/>
            <w:gridSpan w:val="4"/>
            <w:vAlign w:val="center"/>
          </w:tcPr>
          <w:p>
            <w:pPr>
              <w:spacing w:before="60" w:after="60"/>
              <w:jc w:val="center"/>
              <w:rPr>
                <w:noProof/>
                <w:sz w:val="22"/>
              </w:rPr>
            </w:pPr>
            <w:r>
              <w:rPr>
                <w:noProof/>
                <w:sz w:val="20"/>
              </w:rPr>
              <w:t xml:space="preserve">Príspevky </w:t>
            </w:r>
          </w:p>
        </w:tc>
      </w:tr>
      <w:tr>
        <w:tc>
          <w:tcPr>
            <w:tcW w:w="1080" w:type="dxa"/>
            <w:vMerge/>
            <w:vAlign w:val="center"/>
          </w:tcPr>
          <w:p>
            <w:pPr>
              <w:jc w:val="center"/>
              <w:rPr>
                <w:noProof/>
                <w:sz w:val="22"/>
              </w:rPr>
            </w:pPr>
          </w:p>
        </w:tc>
        <w:tc>
          <w:tcPr>
            <w:tcW w:w="3960" w:type="dxa"/>
            <w:vAlign w:val="center"/>
          </w:tcPr>
          <w:p>
            <w:pPr>
              <w:rPr>
                <w:noProof/>
                <w:sz w:val="22"/>
              </w:rPr>
            </w:pPr>
            <w:r>
              <w:rPr>
                <w:noProof/>
                <w:sz w:val="20"/>
              </w:rPr>
              <w:t>Číslo</w:t>
            </w:r>
            <w:r>
              <w:rPr>
                <w:noProof/>
                <w:sz w:val="22"/>
              </w:rPr>
              <w:br/>
            </w:r>
            <w:r>
              <w:rPr>
                <w:noProof/>
                <w:sz w:val="20"/>
              </w:rPr>
              <w:t>[Názov…...….]</w:t>
            </w:r>
          </w:p>
        </w:tc>
        <w:tc>
          <w:tcPr>
            <w:tcW w:w="1080" w:type="dxa"/>
            <w:vAlign w:val="center"/>
          </w:tcPr>
          <w:p>
            <w:pPr>
              <w:jc w:val="center"/>
              <w:rPr>
                <w:noProof/>
                <w:sz w:val="22"/>
              </w:rPr>
            </w:pPr>
            <w:r>
              <w:rPr>
                <w:noProof/>
                <w:sz w:val="18"/>
              </w:rPr>
              <w:t>DRP/NRP</w:t>
            </w:r>
          </w:p>
        </w:tc>
        <w:tc>
          <w:tcPr>
            <w:tcW w:w="956" w:type="dxa"/>
            <w:vAlign w:val="center"/>
          </w:tcPr>
          <w:p>
            <w:pPr>
              <w:jc w:val="center"/>
              <w:rPr>
                <w:noProof/>
                <w:sz w:val="18"/>
              </w:rPr>
            </w:pPr>
            <w:r>
              <w:rPr>
                <w:noProof/>
                <w:sz w:val="18"/>
              </w:rPr>
              <w:t>krajín EZVO</w:t>
            </w:r>
          </w:p>
        </w:tc>
        <w:tc>
          <w:tcPr>
            <w:tcW w:w="1080" w:type="dxa"/>
            <w:vAlign w:val="center"/>
          </w:tcPr>
          <w:p>
            <w:pPr>
              <w:jc w:val="center"/>
              <w:rPr>
                <w:noProof/>
                <w:sz w:val="18"/>
              </w:rPr>
            </w:pPr>
            <w:r>
              <w:rPr>
                <w:noProof/>
                <w:sz w:val="18"/>
              </w:rPr>
              <w:t>kandidátskych krajín</w:t>
            </w:r>
          </w:p>
        </w:tc>
        <w:tc>
          <w:tcPr>
            <w:tcW w:w="956" w:type="dxa"/>
            <w:vAlign w:val="center"/>
          </w:tcPr>
          <w:p>
            <w:pPr>
              <w:jc w:val="center"/>
              <w:rPr>
                <w:noProof/>
                <w:sz w:val="18"/>
              </w:rPr>
            </w:pPr>
            <w:r>
              <w:rPr>
                <w:noProof/>
                <w:sz w:val="18"/>
              </w:rPr>
              <w:t>tretích krajín</w:t>
            </w:r>
          </w:p>
        </w:tc>
        <w:tc>
          <w:tcPr>
            <w:tcW w:w="1448" w:type="dxa"/>
            <w:vAlign w:val="center"/>
          </w:tcPr>
          <w:p>
            <w:pPr>
              <w:jc w:val="center"/>
              <w:rPr>
                <w:noProof/>
                <w:sz w:val="22"/>
              </w:rPr>
            </w:pPr>
            <w:r>
              <w:rPr>
                <w:noProof/>
                <w:sz w:val="16"/>
              </w:rPr>
              <w:t xml:space="preserve">v zmysle článku 21 ods. 2 písm. b) nariadenia o rozpočtových pravidlách </w:t>
            </w:r>
          </w:p>
        </w:tc>
      </w:tr>
      <w:tr>
        <w:tc>
          <w:tcPr>
            <w:tcW w:w="1080" w:type="dxa"/>
            <w:vAlign w:val="center"/>
          </w:tcPr>
          <w:p>
            <w:pPr>
              <w:jc w:val="center"/>
              <w:rPr>
                <w:noProof/>
                <w:color w:val="0000FF"/>
                <w:sz w:val="22"/>
              </w:rPr>
            </w:pPr>
          </w:p>
        </w:tc>
        <w:tc>
          <w:tcPr>
            <w:tcW w:w="3960" w:type="dxa"/>
            <w:vAlign w:val="center"/>
          </w:tcPr>
          <w:p>
            <w:pPr>
              <w:spacing w:before="60"/>
              <w:rPr>
                <w:noProof/>
                <w:sz w:val="22"/>
              </w:rPr>
            </w:pPr>
            <w:r>
              <w:rPr>
                <w:noProof/>
                <w:sz w:val="22"/>
              </w:rPr>
              <w:t>[XX YY YY YY]</w:t>
            </w:r>
          </w:p>
          <w:p>
            <w:pPr>
              <w:spacing w:after="60"/>
              <w:rPr>
                <w:noProof/>
                <w:color w:val="0000FF"/>
                <w:sz w:val="22"/>
              </w:rPr>
            </w:pPr>
          </w:p>
        </w:tc>
        <w:tc>
          <w:tcPr>
            <w:tcW w:w="1080" w:type="dxa"/>
            <w:vAlign w:val="center"/>
          </w:tcPr>
          <w:p>
            <w:pPr>
              <w:jc w:val="center"/>
              <w:rPr>
                <w:noProof/>
                <w:color w:val="0000FF"/>
                <w:sz w:val="22"/>
              </w:rPr>
            </w:pPr>
          </w:p>
        </w:tc>
        <w:tc>
          <w:tcPr>
            <w:tcW w:w="956" w:type="dxa"/>
            <w:vAlign w:val="center"/>
          </w:tcPr>
          <w:p>
            <w:pPr>
              <w:jc w:val="center"/>
              <w:rPr>
                <w:noProof/>
                <w:sz w:val="22"/>
              </w:rPr>
            </w:pPr>
            <w:r>
              <w:rPr>
                <w:noProof/>
                <w:sz w:val="22"/>
              </w:rPr>
              <w:t>ÁNO/NIE</w:t>
            </w:r>
          </w:p>
        </w:tc>
        <w:tc>
          <w:tcPr>
            <w:tcW w:w="1080" w:type="dxa"/>
            <w:vAlign w:val="center"/>
          </w:tcPr>
          <w:p>
            <w:pPr>
              <w:jc w:val="center"/>
              <w:rPr>
                <w:noProof/>
                <w:color w:val="0000FF"/>
                <w:sz w:val="18"/>
              </w:rPr>
            </w:pPr>
            <w:r>
              <w:rPr>
                <w:noProof/>
                <w:sz w:val="22"/>
              </w:rPr>
              <w:t>ÁNO/NIE</w:t>
            </w:r>
          </w:p>
        </w:tc>
        <w:tc>
          <w:tcPr>
            <w:tcW w:w="956" w:type="dxa"/>
            <w:vAlign w:val="center"/>
          </w:tcPr>
          <w:p>
            <w:pPr>
              <w:jc w:val="center"/>
              <w:rPr>
                <w:noProof/>
                <w:color w:val="0000FF"/>
                <w:sz w:val="18"/>
              </w:rPr>
            </w:pPr>
            <w:r>
              <w:rPr>
                <w:noProof/>
                <w:sz w:val="22"/>
              </w:rPr>
              <w:t>ÁNO/NIE</w:t>
            </w:r>
          </w:p>
        </w:tc>
        <w:tc>
          <w:tcPr>
            <w:tcW w:w="1448" w:type="dxa"/>
            <w:vAlign w:val="center"/>
          </w:tcPr>
          <w:p>
            <w:pPr>
              <w:jc w:val="center"/>
              <w:rPr>
                <w:noProof/>
                <w:sz w:val="22"/>
              </w:rPr>
            </w:pPr>
            <w:r>
              <w:rPr>
                <w:noProof/>
                <w:sz w:val="22"/>
              </w:rPr>
              <w:t>ÁNO/NIE</w:t>
            </w:r>
          </w:p>
        </w:tc>
      </w:tr>
    </w:tbl>
    <w:p>
      <w:pPr>
        <w:rPr>
          <w:noProof/>
        </w:rPr>
        <w:sectPr>
          <w:pgSz w:w="11907" w:h="16840" w:code="1"/>
          <w:pgMar w:top="1134" w:right="1418" w:bottom="1134" w:left="1418" w:header="709" w:footer="709" w:gutter="0"/>
          <w:cols w:space="708"/>
          <w:docGrid w:linePitch="360"/>
        </w:sectPr>
      </w:pPr>
    </w:p>
    <w:p>
      <w:pPr>
        <w:pStyle w:val="ManualHeading2"/>
        <w:rPr>
          <w:bCs/>
          <w:noProof/>
          <w:szCs w:val="24"/>
        </w:rPr>
      </w:pPr>
      <w:r>
        <w:rPr>
          <w:noProof/>
        </w:rPr>
        <w:t>3.2.</w:t>
      </w:r>
      <w:r>
        <w:rPr>
          <w:noProof/>
        </w:rPr>
        <w:tab/>
        <w:t xml:space="preserve">Odhadovaný vplyv na výdavky </w:t>
      </w:r>
    </w:p>
    <w:p>
      <w:pPr>
        <w:pStyle w:val="ManualHeading3"/>
        <w:rPr>
          <w:noProof/>
          <w:u w:val="single"/>
        </w:rPr>
      </w:pPr>
      <w:r>
        <w:rPr>
          <w:noProof/>
        </w:rPr>
        <w:t>3.2.1.</w:t>
      </w:r>
      <w:r>
        <w:rPr>
          <w:noProof/>
        </w:rPr>
        <w:tab/>
        <w:t xml:space="preserve">Zhrnutie odhadovaného vplyvu na výdavky </w:t>
      </w:r>
    </w:p>
    <w:p>
      <w:pPr>
        <w:jc w:val="center"/>
        <w:rPr>
          <w:noProof/>
          <w:sz w:val="20"/>
        </w:rPr>
      </w:pPr>
      <w:r>
        <w:rPr>
          <w:noProof/>
          <w:sz w:val="20"/>
        </w:rPr>
        <w:t>v mil. EUR (zaokrúhlené na tri desatinné miesta)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91"/>
        <w:gridCol w:w="1080"/>
        <w:gridCol w:w="7104"/>
      </w:tblGrid>
      <w:tr>
        <w:tc>
          <w:tcPr>
            <w:tcW w:w="4291" w:type="dxa"/>
            <w:shd w:val="thinDiagStripe" w:color="C0C0C0" w:fill="auto"/>
            <w:vAlign w:val="center"/>
          </w:tcPr>
          <w:p>
            <w:pPr>
              <w:spacing w:before="60" w:after="60"/>
              <w:jc w:val="center"/>
              <w:rPr>
                <w:b/>
                <w:noProof/>
                <w:sz w:val="22"/>
              </w:rPr>
            </w:pPr>
            <w:r>
              <w:rPr>
                <w:b/>
                <w:noProof/>
                <w:sz w:val="22"/>
              </w:rPr>
              <w:t>Okruh viacročného finančného</w:t>
            </w:r>
            <w:r>
              <w:rPr>
                <w:noProof/>
                <w:sz w:val="22"/>
              </w:rPr>
              <w:br/>
            </w:r>
            <w:r>
              <w:rPr>
                <w:b/>
                <w:noProof/>
                <w:sz w:val="22"/>
              </w:rPr>
              <w:t xml:space="preserve">rámca </w:t>
            </w:r>
          </w:p>
        </w:tc>
        <w:tc>
          <w:tcPr>
            <w:tcW w:w="1080" w:type="dxa"/>
            <w:vAlign w:val="center"/>
          </w:tcPr>
          <w:p>
            <w:pPr>
              <w:spacing w:before="60" w:after="60"/>
              <w:jc w:val="center"/>
              <w:rPr>
                <w:noProof/>
                <w:sz w:val="22"/>
              </w:rPr>
            </w:pPr>
            <w:r>
              <w:rPr>
                <w:noProof/>
                <w:sz w:val="22"/>
              </w:rPr>
              <w:t>1a</w:t>
            </w:r>
          </w:p>
        </w:tc>
        <w:tc>
          <w:tcPr>
            <w:tcW w:w="7104" w:type="dxa"/>
            <w:vAlign w:val="center"/>
          </w:tcPr>
          <w:p>
            <w:pPr>
              <w:spacing w:before="60" w:after="60"/>
              <w:rPr>
                <w:noProof/>
                <w:sz w:val="22"/>
              </w:rPr>
            </w:pPr>
            <w:r>
              <w:rPr>
                <w:noProof/>
              </w:rPr>
              <w:t xml:space="preserve">„Konkurencieschopnosť pre rast a zamestnanosť“ </w:t>
            </w:r>
          </w:p>
        </w:tc>
      </w:tr>
    </w:tbl>
    <w:p>
      <w:pPr>
        <w:rPr>
          <w:noProof/>
          <w:sz w:val="16"/>
        </w:rPr>
      </w:pPr>
    </w:p>
    <w:tbl>
      <w:tblPr>
        <w:tblW w:w="124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120"/>
        <w:gridCol w:w="534"/>
        <w:gridCol w:w="868"/>
        <w:gridCol w:w="868"/>
        <w:gridCol w:w="868"/>
        <w:gridCol w:w="868"/>
        <w:gridCol w:w="794"/>
        <w:gridCol w:w="960"/>
        <w:gridCol w:w="1200"/>
      </w:tblGrid>
      <w:tr>
        <w:tc>
          <w:tcPr>
            <w:tcW w:w="3960" w:type="dxa"/>
            <w:vAlign w:val="center"/>
          </w:tcPr>
          <w:p>
            <w:pPr>
              <w:jc w:val="center"/>
              <w:rPr>
                <w:noProof/>
                <w:sz w:val="22"/>
              </w:rPr>
            </w:pPr>
            <w:r>
              <w:rPr>
                <w:noProof/>
                <w:sz w:val="22"/>
              </w:rPr>
              <w:t>GR: RTD</w:t>
            </w:r>
          </w:p>
        </w:tc>
        <w:tc>
          <w:tcPr>
            <w:tcW w:w="1560" w:type="dxa"/>
            <w:gridSpan w:val="2"/>
          </w:tcPr>
          <w:p>
            <w:pPr>
              <w:rPr>
                <w:noProof/>
                <w:sz w:val="20"/>
              </w:rPr>
            </w:pPr>
          </w:p>
        </w:tc>
        <w:tc>
          <w:tcPr>
            <w:tcW w:w="534" w:type="dxa"/>
          </w:tcPr>
          <w:p>
            <w:pPr>
              <w:jc w:val="center"/>
              <w:rPr>
                <w:noProof/>
                <w:sz w:val="20"/>
              </w:rPr>
            </w:pPr>
          </w:p>
        </w:tc>
        <w:tc>
          <w:tcPr>
            <w:tcW w:w="868" w:type="dxa"/>
            <w:vAlign w:val="center"/>
          </w:tcPr>
          <w:p>
            <w:pPr>
              <w:jc w:val="center"/>
              <w:rPr>
                <w:noProof/>
                <w:sz w:val="20"/>
              </w:rPr>
            </w:pPr>
            <w:r>
              <w:rPr>
                <w:noProof/>
              </w:rPr>
              <w:t>Rok</w:t>
            </w:r>
            <w:r>
              <w:rPr>
                <w:noProof/>
              </w:rPr>
              <w:br/>
            </w:r>
            <w:r>
              <w:rPr>
                <w:b/>
                <w:noProof/>
                <w:sz w:val="20"/>
              </w:rPr>
              <w:t>2019</w:t>
            </w:r>
            <w:r>
              <w:rPr>
                <w:rStyle w:val="FootnoteReference"/>
                <w:b/>
                <w:noProof/>
                <w:sz w:val="20"/>
              </w:rPr>
              <w:footnoteReference w:id="18"/>
            </w:r>
          </w:p>
        </w:tc>
        <w:tc>
          <w:tcPr>
            <w:tcW w:w="868" w:type="dxa"/>
            <w:vAlign w:val="center"/>
          </w:tcPr>
          <w:p>
            <w:pPr>
              <w:jc w:val="center"/>
              <w:rPr>
                <w:noProof/>
                <w:sz w:val="20"/>
              </w:rPr>
            </w:pPr>
            <w:r>
              <w:rPr>
                <w:noProof/>
              </w:rPr>
              <w:t>Rok</w:t>
            </w:r>
            <w:r>
              <w:rPr>
                <w:noProof/>
              </w:rPr>
              <w:br/>
            </w:r>
            <w:r>
              <w:rPr>
                <w:b/>
                <w:noProof/>
                <w:sz w:val="20"/>
              </w:rPr>
              <w:t>2020</w:t>
            </w:r>
          </w:p>
        </w:tc>
        <w:tc>
          <w:tcPr>
            <w:tcW w:w="868" w:type="dxa"/>
            <w:vAlign w:val="center"/>
          </w:tcPr>
          <w:p>
            <w:pPr>
              <w:jc w:val="center"/>
              <w:rPr>
                <w:noProof/>
                <w:sz w:val="20"/>
              </w:rPr>
            </w:pPr>
            <w:r>
              <w:rPr>
                <w:noProof/>
              </w:rPr>
              <w:t>Rok</w:t>
            </w:r>
            <w:r>
              <w:rPr>
                <w:noProof/>
              </w:rPr>
              <w:br/>
            </w:r>
            <w:r>
              <w:rPr>
                <w:b/>
                <w:noProof/>
                <w:sz w:val="20"/>
              </w:rPr>
              <w:t>2021</w:t>
            </w:r>
          </w:p>
        </w:tc>
        <w:tc>
          <w:tcPr>
            <w:tcW w:w="868" w:type="dxa"/>
            <w:vAlign w:val="center"/>
          </w:tcPr>
          <w:p>
            <w:pPr>
              <w:jc w:val="center"/>
              <w:rPr>
                <w:noProof/>
                <w:sz w:val="20"/>
              </w:rPr>
            </w:pPr>
            <w:r>
              <w:rPr>
                <w:noProof/>
              </w:rPr>
              <w:t>Rok</w:t>
            </w:r>
            <w:r>
              <w:rPr>
                <w:noProof/>
              </w:rPr>
              <w:br/>
            </w:r>
            <w:r>
              <w:rPr>
                <w:b/>
                <w:noProof/>
                <w:sz w:val="20"/>
              </w:rPr>
              <w:t>2022</w:t>
            </w:r>
          </w:p>
        </w:tc>
        <w:tc>
          <w:tcPr>
            <w:tcW w:w="794" w:type="dxa"/>
          </w:tcPr>
          <w:p>
            <w:pPr>
              <w:jc w:val="center"/>
              <w:rPr>
                <w:b/>
                <w:noProof/>
                <w:sz w:val="20"/>
              </w:rPr>
            </w:pPr>
            <w:r>
              <w:rPr>
                <w:noProof/>
              </w:rPr>
              <w:t>Rok</w:t>
            </w:r>
            <w:r>
              <w:rPr>
                <w:noProof/>
              </w:rPr>
              <w:br/>
            </w:r>
            <w:r>
              <w:rPr>
                <w:b/>
                <w:noProof/>
                <w:sz w:val="20"/>
              </w:rPr>
              <w:t>2023</w:t>
            </w:r>
          </w:p>
        </w:tc>
        <w:tc>
          <w:tcPr>
            <w:tcW w:w="960" w:type="dxa"/>
          </w:tcPr>
          <w:p>
            <w:pPr>
              <w:jc w:val="center"/>
              <w:rPr>
                <w:b/>
                <w:noProof/>
                <w:sz w:val="20"/>
              </w:rPr>
            </w:pPr>
            <w:r>
              <w:rPr>
                <w:noProof/>
              </w:rPr>
              <w:t>Rok</w:t>
            </w:r>
            <w:r>
              <w:rPr>
                <w:noProof/>
              </w:rPr>
              <w:br/>
            </w:r>
            <w:r>
              <w:rPr>
                <w:b/>
                <w:noProof/>
                <w:sz w:val="20"/>
              </w:rPr>
              <w:t>2024</w:t>
            </w:r>
          </w:p>
        </w:tc>
        <w:tc>
          <w:tcPr>
            <w:tcW w:w="1200" w:type="dxa"/>
            <w:vAlign w:val="center"/>
          </w:tcPr>
          <w:p>
            <w:pPr>
              <w:jc w:val="center"/>
              <w:rPr>
                <w:b/>
                <w:noProof/>
                <w:sz w:val="20"/>
              </w:rPr>
            </w:pPr>
            <w:r>
              <w:rPr>
                <w:b/>
                <w:noProof/>
                <w:sz w:val="20"/>
              </w:rPr>
              <w:t>SPOLU</w:t>
            </w:r>
          </w:p>
        </w:tc>
      </w:tr>
      <w:tr>
        <w:trPr>
          <w:trHeight w:val="213"/>
        </w:trPr>
        <w:tc>
          <w:tcPr>
            <w:tcW w:w="6054" w:type="dxa"/>
            <w:gridSpan w:val="4"/>
            <w:vAlign w:val="center"/>
          </w:tcPr>
          <w:p>
            <w:pPr>
              <w:spacing w:before="20" w:after="20"/>
              <w:rPr>
                <w:noProof/>
                <w:sz w:val="21"/>
              </w:rPr>
            </w:pPr>
            <w:r>
              <w:rPr>
                <w:noProof/>
                <w:sz w:val="21"/>
              </w:rPr>
              <w:sym w:font="Wingdings" w:char="F09F"/>
            </w:r>
            <w:r>
              <w:rPr>
                <w:noProof/>
                <w:sz w:val="21"/>
              </w:rPr>
              <w:t>Operačné rozpočtové prostriedky</w:t>
            </w:r>
          </w:p>
        </w:tc>
        <w:tc>
          <w:tcPr>
            <w:tcW w:w="868" w:type="dxa"/>
            <w:vAlign w:val="center"/>
          </w:tcPr>
          <w:p>
            <w:pPr>
              <w:rPr>
                <w:noProof/>
                <w:sz w:val="20"/>
              </w:rPr>
            </w:pPr>
          </w:p>
        </w:tc>
        <w:tc>
          <w:tcPr>
            <w:tcW w:w="868" w:type="dxa"/>
            <w:vAlign w:val="center"/>
          </w:tcPr>
          <w:p>
            <w:pPr>
              <w:rPr>
                <w:noProof/>
                <w:sz w:val="20"/>
              </w:rPr>
            </w:pPr>
          </w:p>
        </w:tc>
        <w:tc>
          <w:tcPr>
            <w:tcW w:w="868" w:type="dxa"/>
            <w:vAlign w:val="center"/>
          </w:tcPr>
          <w:p>
            <w:pPr>
              <w:rPr>
                <w:noProof/>
                <w:sz w:val="20"/>
              </w:rPr>
            </w:pPr>
          </w:p>
        </w:tc>
        <w:tc>
          <w:tcPr>
            <w:tcW w:w="868" w:type="dxa"/>
            <w:vAlign w:val="center"/>
          </w:tcPr>
          <w:p>
            <w:pPr>
              <w:rPr>
                <w:noProof/>
                <w:sz w:val="20"/>
              </w:rPr>
            </w:pPr>
          </w:p>
        </w:tc>
        <w:tc>
          <w:tcPr>
            <w:tcW w:w="794" w:type="dxa"/>
          </w:tcPr>
          <w:p>
            <w:pPr>
              <w:rPr>
                <w:b/>
                <w:noProof/>
                <w:sz w:val="20"/>
              </w:rPr>
            </w:pPr>
          </w:p>
        </w:tc>
        <w:tc>
          <w:tcPr>
            <w:tcW w:w="960" w:type="dxa"/>
          </w:tcPr>
          <w:p>
            <w:pPr>
              <w:rPr>
                <w:b/>
                <w:noProof/>
                <w:sz w:val="20"/>
              </w:rPr>
            </w:pPr>
          </w:p>
        </w:tc>
        <w:tc>
          <w:tcPr>
            <w:tcW w:w="1200" w:type="dxa"/>
            <w:vAlign w:val="center"/>
          </w:tcPr>
          <w:p>
            <w:pPr>
              <w:rPr>
                <w:b/>
                <w:noProof/>
                <w:sz w:val="20"/>
              </w:rPr>
            </w:pPr>
          </w:p>
        </w:tc>
      </w:tr>
      <w:tr>
        <w:trPr>
          <w:trHeight w:val="277"/>
        </w:trPr>
        <w:tc>
          <w:tcPr>
            <w:tcW w:w="3960" w:type="dxa"/>
            <w:vMerge w:val="restart"/>
            <w:vAlign w:val="center"/>
          </w:tcPr>
          <w:p>
            <w:pPr>
              <w:rPr>
                <w:noProof/>
                <w:sz w:val="22"/>
              </w:rPr>
            </w:pPr>
            <w:r>
              <w:rPr>
                <w:noProof/>
                <w:sz w:val="20"/>
              </w:rPr>
              <w:t xml:space="preserve">Číslo rozpočtového riadka: </w:t>
            </w:r>
            <w:r>
              <w:rPr>
                <w:b/>
                <w:noProof/>
                <w:sz w:val="18"/>
              </w:rPr>
              <w:t>08.01.05.01</w:t>
            </w:r>
          </w:p>
        </w:tc>
        <w:tc>
          <w:tcPr>
            <w:tcW w:w="1440" w:type="dxa"/>
            <w:vAlign w:val="center"/>
          </w:tcPr>
          <w:p>
            <w:pPr>
              <w:spacing w:before="20" w:after="20"/>
              <w:rPr>
                <w:noProof/>
                <w:sz w:val="18"/>
              </w:rPr>
            </w:pPr>
            <w:r>
              <w:rPr>
                <w:noProof/>
                <w:sz w:val="18"/>
              </w:rPr>
              <w:t>Záväzky</w:t>
            </w:r>
          </w:p>
        </w:tc>
        <w:tc>
          <w:tcPr>
            <w:tcW w:w="654" w:type="dxa"/>
            <w:gridSpan w:val="2"/>
            <w:vAlign w:val="center"/>
          </w:tcPr>
          <w:p>
            <w:pPr>
              <w:spacing w:before="20" w:after="20"/>
              <w:jc w:val="center"/>
              <w:rPr>
                <w:noProof/>
                <w:sz w:val="14"/>
              </w:rPr>
            </w:pPr>
            <w:r>
              <w:rPr>
                <w:noProof/>
                <w:sz w:val="14"/>
              </w:rPr>
              <w:t>(1)</w:t>
            </w:r>
          </w:p>
        </w:tc>
        <w:tc>
          <w:tcPr>
            <w:tcW w:w="868" w:type="dxa"/>
            <w:vAlign w:val="center"/>
          </w:tcPr>
          <w:p>
            <w:pPr>
              <w:spacing w:before="20" w:after="20"/>
              <w:jc w:val="right"/>
              <w:rPr>
                <w:noProof/>
                <w:sz w:val="20"/>
              </w:rPr>
            </w:pPr>
            <w:r>
              <w:rPr>
                <w:b/>
                <w:noProof/>
                <w:sz w:val="20"/>
              </w:rPr>
              <w:t>0,050</w:t>
            </w:r>
          </w:p>
        </w:tc>
        <w:tc>
          <w:tcPr>
            <w:tcW w:w="868" w:type="dxa"/>
            <w:vAlign w:val="center"/>
          </w:tcPr>
          <w:p>
            <w:pPr>
              <w:spacing w:before="20" w:after="20"/>
              <w:jc w:val="right"/>
              <w:rPr>
                <w:noProof/>
                <w:sz w:val="20"/>
              </w:rPr>
            </w:pPr>
            <w:r>
              <w:rPr>
                <w:b/>
                <w:noProof/>
                <w:sz w:val="20"/>
              </w:rPr>
              <w:t>0,060</w:t>
            </w:r>
          </w:p>
        </w:tc>
        <w:tc>
          <w:tcPr>
            <w:tcW w:w="868" w:type="dxa"/>
            <w:vAlign w:val="center"/>
          </w:tcPr>
          <w:p>
            <w:pPr>
              <w:spacing w:before="20" w:after="20"/>
              <w:jc w:val="right"/>
              <w:rPr>
                <w:noProof/>
                <w:sz w:val="20"/>
              </w:rPr>
            </w:pPr>
            <w:r>
              <w:rPr>
                <w:b/>
                <w:noProof/>
                <w:sz w:val="20"/>
              </w:rPr>
              <w:t>0,060</w:t>
            </w:r>
          </w:p>
        </w:tc>
        <w:tc>
          <w:tcPr>
            <w:tcW w:w="868" w:type="dxa"/>
            <w:vAlign w:val="center"/>
          </w:tcPr>
          <w:p>
            <w:pPr>
              <w:spacing w:before="20" w:after="20"/>
              <w:jc w:val="right"/>
              <w:rPr>
                <w:noProof/>
                <w:sz w:val="20"/>
              </w:rPr>
            </w:pPr>
            <w:r>
              <w:rPr>
                <w:b/>
                <w:noProof/>
                <w:sz w:val="20"/>
              </w:rPr>
              <w:t>0,060</w:t>
            </w:r>
          </w:p>
        </w:tc>
        <w:tc>
          <w:tcPr>
            <w:tcW w:w="794" w:type="dxa"/>
            <w:vAlign w:val="center"/>
          </w:tcPr>
          <w:p>
            <w:pPr>
              <w:spacing w:before="20" w:after="20"/>
              <w:jc w:val="right"/>
              <w:rPr>
                <w:b/>
                <w:noProof/>
                <w:sz w:val="20"/>
              </w:rPr>
            </w:pPr>
            <w:r>
              <w:rPr>
                <w:b/>
                <w:noProof/>
                <w:sz w:val="20"/>
              </w:rPr>
              <w:t>0,060</w:t>
            </w:r>
          </w:p>
        </w:tc>
        <w:tc>
          <w:tcPr>
            <w:tcW w:w="960" w:type="dxa"/>
            <w:vAlign w:val="center"/>
          </w:tcPr>
          <w:p>
            <w:pPr>
              <w:spacing w:before="20" w:after="20"/>
              <w:jc w:val="right"/>
              <w:rPr>
                <w:b/>
                <w:noProof/>
                <w:sz w:val="20"/>
              </w:rPr>
            </w:pPr>
            <w:r>
              <w:rPr>
                <w:b/>
                <w:noProof/>
                <w:sz w:val="20"/>
              </w:rPr>
              <w:t>0,010</w:t>
            </w:r>
          </w:p>
        </w:tc>
        <w:tc>
          <w:tcPr>
            <w:tcW w:w="1200" w:type="dxa"/>
            <w:vAlign w:val="center"/>
          </w:tcPr>
          <w:p>
            <w:pPr>
              <w:spacing w:before="20" w:after="20"/>
              <w:jc w:val="right"/>
              <w:rPr>
                <w:b/>
                <w:noProof/>
                <w:sz w:val="20"/>
              </w:rPr>
            </w:pPr>
            <w:r>
              <w:rPr>
                <w:b/>
                <w:noProof/>
                <w:sz w:val="20"/>
              </w:rPr>
              <w:t>0,300</w:t>
            </w:r>
          </w:p>
        </w:tc>
      </w:tr>
      <w:tr>
        <w:tc>
          <w:tcPr>
            <w:tcW w:w="3960" w:type="dxa"/>
            <w:vMerge/>
          </w:tcPr>
          <w:p>
            <w:pPr>
              <w:jc w:val="center"/>
              <w:rPr>
                <w:noProof/>
                <w:sz w:val="20"/>
              </w:rPr>
            </w:pPr>
          </w:p>
        </w:tc>
        <w:tc>
          <w:tcPr>
            <w:tcW w:w="1440" w:type="dxa"/>
            <w:vAlign w:val="center"/>
          </w:tcPr>
          <w:p>
            <w:pPr>
              <w:spacing w:before="20" w:after="20"/>
              <w:rPr>
                <w:noProof/>
                <w:sz w:val="18"/>
              </w:rPr>
            </w:pPr>
            <w:r>
              <w:rPr>
                <w:noProof/>
                <w:sz w:val="18"/>
              </w:rPr>
              <w:t>Platby</w:t>
            </w:r>
          </w:p>
        </w:tc>
        <w:tc>
          <w:tcPr>
            <w:tcW w:w="654" w:type="dxa"/>
            <w:gridSpan w:val="2"/>
            <w:vAlign w:val="center"/>
          </w:tcPr>
          <w:p>
            <w:pPr>
              <w:spacing w:before="20" w:after="20"/>
              <w:jc w:val="center"/>
              <w:rPr>
                <w:noProof/>
                <w:sz w:val="14"/>
              </w:rPr>
            </w:pPr>
            <w:r>
              <w:rPr>
                <w:noProof/>
                <w:sz w:val="14"/>
              </w:rPr>
              <w:t>(2)</w:t>
            </w:r>
          </w:p>
        </w:tc>
        <w:tc>
          <w:tcPr>
            <w:tcW w:w="868" w:type="dxa"/>
            <w:vAlign w:val="center"/>
          </w:tcPr>
          <w:p>
            <w:pPr>
              <w:spacing w:before="20" w:after="20"/>
              <w:jc w:val="right"/>
              <w:rPr>
                <w:noProof/>
                <w:sz w:val="20"/>
              </w:rPr>
            </w:pPr>
            <w:r>
              <w:rPr>
                <w:b/>
                <w:noProof/>
                <w:sz w:val="20"/>
              </w:rPr>
              <w:t>0,050</w:t>
            </w:r>
          </w:p>
        </w:tc>
        <w:tc>
          <w:tcPr>
            <w:tcW w:w="868" w:type="dxa"/>
            <w:vAlign w:val="center"/>
          </w:tcPr>
          <w:p>
            <w:pPr>
              <w:spacing w:before="20" w:after="20"/>
              <w:jc w:val="right"/>
              <w:rPr>
                <w:noProof/>
                <w:sz w:val="20"/>
              </w:rPr>
            </w:pPr>
            <w:r>
              <w:rPr>
                <w:b/>
                <w:noProof/>
                <w:sz w:val="20"/>
              </w:rPr>
              <w:t>0,060</w:t>
            </w:r>
          </w:p>
        </w:tc>
        <w:tc>
          <w:tcPr>
            <w:tcW w:w="868" w:type="dxa"/>
            <w:vAlign w:val="center"/>
          </w:tcPr>
          <w:p>
            <w:pPr>
              <w:spacing w:before="20" w:after="20"/>
              <w:jc w:val="right"/>
              <w:rPr>
                <w:noProof/>
                <w:sz w:val="20"/>
              </w:rPr>
            </w:pPr>
            <w:r>
              <w:rPr>
                <w:b/>
                <w:noProof/>
                <w:sz w:val="20"/>
              </w:rPr>
              <w:t>0,060</w:t>
            </w:r>
          </w:p>
        </w:tc>
        <w:tc>
          <w:tcPr>
            <w:tcW w:w="868" w:type="dxa"/>
            <w:vAlign w:val="center"/>
          </w:tcPr>
          <w:p>
            <w:pPr>
              <w:spacing w:before="20" w:after="20"/>
              <w:jc w:val="right"/>
              <w:rPr>
                <w:noProof/>
                <w:sz w:val="20"/>
              </w:rPr>
            </w:pPr>
            <w:r>
              <w:rPr>
                <w:b/>
                <w:noProof/>
                <w:sz w:val="20"/>
              </w:rPr>
              <w:t>0,060</w:t>
            </w:r>
          </w:p>
        </w:tc>
        <w:tc>
          <w:tcPr>
            <w:tcW w:w="794" w:type="dxa"/>
            <w:vAlign w:val="center"/>
          </w:tcPr>
          <w:p>
            <w:pPr>
              <w:spacing w:before="20" w:after="20"/>
              <w:jc w:val="right"/>
              <w:rPr>
                <w:b/>
                <w:noProof/>
                <w:sz w:val="20"/>
              </w:rPr>
            </w:pPr>
            <w:r>
              <w:rPr>
                <w:b/>
                <w:noProof/>
                <w:sz w:val="20"/>
              </w:rPr>
              <w:t>0,060</w:t>
            </w:r>
          </w:p>
        </w:tc>
        <w:tc>
          <w:tcPr>
            <w:tcW w:w="960" w:type="dxa"/>
            <w:vAlign w:val="center"/>
          </w:tcPr>
          <w:p>
            <w:pPr>
              <w:spacing w:before="20" w:after="20"/>
              <w:jc w:val="right"/>
              <w:rPr>
                <w:b/>
                <w:noProof/>
                <w:sz w:val="20"/>
              </w:rPr>
            </w:pPr>
            <w:r>
              <w:rPr>
                <w:b/>
                <w:noProof/>
                <w:sz w:val="20"/>
              </w:rPr>
              <w:t>0,010</w:t>
            </w:r>
          </w:p>
        </w:tc>
        <w:tc>
          <w:tcPr>
            <w:tcW w:w="1200" w:type="dxa"/>
            <w:vAlign w:val="center"/>
          </w:tcPr>
          <w:p>
            <w:pPr>
              <w:spacing w:before="20" w:after="20"/>
              <w:jc w:val="right"/>
              <w:rPr>
                <w:b/>
                <w:noProof/>
                <w:sz w:val="20"/>
              </w:rPr>
            </w:pPr>
            <w:r>
              <w:rPr>
                <w:b/>
                <w:noProof/>
                <w:sz w:val="20"/>
              </w:rPr>
              <w:t>0,300</w:t>
            </w:r>
          </w:p>
        </w:tc>
      </w:tr>
      <w:tr>
        <w:tc>
          <w:tcPr>
            <w:tcW w:w="3960" w:type="dxa"/>
            <w:vMerge w:val="restart"/>
            <w:vAlign w:val="center"/>
          </w:tcPr>
          <w:p>
            <w:pPr>
              <w:rPr>
                <w:noProof/>
                <w:sz w:val="22"/>
              </w:rPr>
            </w:pPr>
            <w:r>
              <w:rPr>
                <w:noProof/>
                <w:sz w:val="20"/>
              </w:rPr>
              <w:t>Číslo rozpočtového riadka</w:t>
            </w:r>
          </w:p>
        </w:tc>
        <w:tc>
          <w:tcPr>
            <w:tcW w:w="1440" w:type="dxa"/>
            <w:vAlign w:val="center"/>
          </w:tcPr>
          <w:p>
            <w:pPr>
              <w:spacing w:before="20" w:after="20"/>
              <w:rPr>
                <w:noProof/>
                <w:sz w:val="18"/>
              </w:rPr>
            </w:pPr>
            <w:r>
              <w:rPr>
                <w:noProof/>
                <w:sz w:val="18"/>
              </w:rPr>
              <w:t>Záväzky</w:t>
            </w:r>
          </w:p>
        </w:tc>
        <w:tc>
          <w:tcPr>
            <w:tcW w:w="654" w:type="dxa"/>
            <w:gridSpan w:val="2"/>
            <w:vAlign w:val="center"/>
          </w:tcPr>
          <w:p>
            <w:pPr>
              <w:spacing w:before="20" w:after="20"/>
              <w:jc w:val="center"/>
              <w:rPr>
                <w:noProof/>
                <w:sz w:val="14"/>
              </w:rPr>
            </w:pPr>
            <w:r>
              <w:rPr>
                <w:noProof/>
                <w:sz w:val="14"/>
              </w:rPr>
              <w:t>(1a)</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794" w:type="dxa"/>
          </w:tcPr>
          <w:p>
            <w:pPr>
              <w:spacing w:before="20" w:after="20"/>
              <w:jc w:val="right"/>
              <w:rPr>
                <w:b/>
                <w:noProof/>
                <w:sz w:val="20"/>
              </w:rPr>
            </w:pPr>
          </w:p>
        </w:tc>
        <w:tc>
          <w:tcPr>
            <w:tcW w:w="960" w:type="dxa"/>
          </w:tcPr>
          <w:p>
            <w:pPr>
              <w:spacing w:before="20" w:after="20"/>
              <w:jc w:val="right"/>
              <w:rPr>
                <w:b/>
                <w:noProof/>
                <w:sz w:val="20"/>
              </w:rPr>
            </w:pPr>
          </w:p>
        </w:tc>
        <w:tc>
          <w:tcPr>
            <w:tcW w:w="1200" w:type="dxa"/>
            <w:vAlign w:val="center"/>
          </w:tcPr>
          <w:p>
            <w:pPr>
              <w:spacing w:before="20" w:after="20"/>
              <w:jc w:val="right"/>
              <w:rPr>
                <w:b/>
                <w:noProof/>
                <w:sz w:val="20"/>
              </w:rPr>
            </w:pPr>
          </w:p>
        </w:tc>
      </w:tr>
      <w:tr>
        <w:tc>
          <w:tcPr>
            <w:tcW w:w="3960" w:type="dxa"/>
            <w:vMerge/>
          </w:tcPr>
          <w:p>
            <w:pPr>
              <w:jc w:val="center"/>
              <w:rPr>
                <w:noProof/>
                <w:sz w:val="20"/>
              </w:rPr>
            </w:pPr>
          </w:p>
        </w:tc>
        <w:tc>
          <w:tcPr>
            <w:tcW w:w="1440" w:type="dxa"/>
            <w:vAlign w:val="center"/>
          </w:tcPr>
          <w:p>
            <w:pPr>
              <w:spacing w:before="20" w:after="20"/>
              <w:rPr>
                <w:noProof/>
                <w:sz w:val="18"/>
              </w:rPr>
            </w:pPr>
            <w:r>
              <w:rPr>
                <w:noProof/>
                <w:sz w:val="18"/>
              </w:rPr>
              <w:t>Platby</w:t>
            </w:r>
          </w:p>
        </w:tc>
        <w:tc>
          <w:tcPr>
            <w:tcW w:w="654" w:type="dxa"/>
            <w:gridSpan w:val="2"/>
            <w:vAlign w:val="center"/>
          </w:tcPr>
          <w:p>
            <w:pPr>
              <w:spacing w:before="20" w:after="20"/>
              <w:jc w:val="center"/>
              <w:rPr>
                <w:noProof/>
                <w:sz w:val="14"/>
              </w:rPr>
            </w:pPr>
            <w:r>
              <w:rPr>
                <w:noProof/>
                <w:sz w:val="14"/>
              </w:rPr>
              <w:t>(2a)</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794" w:type="dxa"/>
          </w:tcPr>
          <w:p>
            <w:pPr>
              <w:spacing w:before="20" w:after="20"/>
              <w:jc w:val="right"/>
              <w:rPr>
                <w:b/>
                <w:noProof/>
                <w:sz w:val="20"/>
              </w:rPr>
            </w:pPr>
          </w:p>
        </w:tc>
        <w:tc>
          <w:tcPr>
            <w:tcW w:w="960" w:type="dxa"/>
          </w:tcPr>
          <w:p>
            <w:pPr>
              <w:spacing w:before="20" w:after="20"/>
              <w:jc w:val="right"/>
              <w:rPr>
                <w:b/>
                <w:noProof/>
                <w:sz w:val="20"/>
              </w:rPr>
            </w:pPr>
          </w:p>
        </w:tc>
        <w:tc>
          <w:tcPr>
            <w:tcW w:w="1200" w:type="dxa"/>
            <w:vAlign w:val="center"/>
          </w:tcPr>
          <w:p>
            <w:pPr>
              <w:spacing w:before="20" w:after="20"/>
              <w:jc w:val="right"/>
              <w:rPr>
                <w:b/>
                <w:noProof/>
                <w:sz w:val="20"/>
              </w:rPr>
            </w:pPr>
          </w:p>
        </w:tc>
      </w:tr>
      <w:tr>
        <w:trPr>
          <w:trHeight w:val="231"/>
        </w:trPr>
        <w:tc>
          <w:tcPr>
            <w:tcW w:w="6054" w:type="dxa"/>
            <w:gridSpan w:val="4"/>
            <w:vAlign w:val="center"/>
          </w:tcPr>
          <w:p>
            <w:pPr>
              <w:spacing w:before="20" w:after="20"/>
              <w:rPr>
                <w:noProof/>
                <w:sz w:val="22"/>
              </w:rPr>
            </w:pPr>
            <w:r>
              <w:rPr>
                <w:noProof/>
                <w:sz w:val="21"/>
              </w:rPr>
              <w:t>Administratívne rozpočtové prostriedky financované z finančného krytia na vykonávanie osobitných programov</w:t>
            </w:r>
            <w:r>
              <w:rPr>
                <w:rStyle w:val="FootnoteReference"/>
                <w:noProof/>
                <w:sz w:val="21"/>
              </w:rPr>
              <w:footnoteReference w:id="19"/>
            </w:r>
            <w:r>
              <w:rPr>
                <w:noProof/>
                <w:sz w:val="21"/>
              </w:rPr>
              <w:t xml:space="preserve"> </w:t>
            </w:r>
          </w:p>
          <w:p>
            <w:pPr>
              <w:spacing w:before="0" w:after="0"/>
              <w:rPr>
                <w:noProof/>
                <w:sz w:val="22"/>
              </w:rPr>
            </w:pPr>
          </w:p>
        </w:tc>
        <w:tc>
          <w:tcPr>
            <w:tcW w:w="868" w:type="dxa"/>
            <w:vAlign w:val="center"/>
          </w:tcPr>
          <w:p>
            <w:pPr>
              <w:rPr>
                <w:b/>
                <w:noProof/>
                <w:sz w:val="20"/>
              </w:rPr>
            </w:pPr>
          </w:p>
        </w:tc>
        <w:tc>
          <w:tcPr>
            <w:tcW w:w="868" w:type="dxa"/>
            <w:vAlign w:val="center"/>
          </w:tcPr>
          <w:p>
            <w:pPr>
              <w:rPr>
                <w:b/>
                <w:noProof/>
                <w:sz w:val="20"/>
              </w:rPr>
            </w:pPr>
          </w:p>
        </w:tc>
        <w:tc>
          <w:tcPr>
            <w:tcW w:w="868" w:type="dxa"/>
            <w:vAlign w:val="center"/>
          </w:tcPr>
          <w:p>
            <w:pPr>
              <w:rPr>
                <w:b/>
                <w:noProof/>
                <w:sz w:val="20"/>
              </w:rPr>
            </w:pPr>
          </w:p>
        </w:tc>
        <w:tc>
          <w:tcPr>
            <w:tcW w:w="868" w:type="dxa"/>
            <w:vAlign w:val="center"/>
          </w:tcPr>
          <w:p>
            <w:pPr>
              <w:rPr>
                <w:b/>
                <w:noProof/>
                <w:sz w:val="20"/>
              </w:rPr>
            </w:pPr>
          </w:p>
        </w:tc>
        <w:tc>
          <w:tcPr>
            <w:tcW w:w="794" w:type="dxa"/>
          </w:tcPr>
          <w:p>
            <w:pPr>
              <w:rPr>
                <w:b/>
                <w:noProof/>
                <w:sz w:val="20"/>
              </w:rPr>
            </w:pPr>
          </w:p>
        </w:tc>
        <w:tc>
          <w:tcPr>
            <w:tcW w:w="960" w:type="dxa"/>
          </w:tcPr>
          <w:p>
            <w:pPr>
              <w:rPr>
                <w:b/>
                <w:noProof/>
                <w:sz w:val="20"/>
              </w:rPr>
            </w:pPr>
          </w:p>
        </w:tc>
        <w:tc>
          <w:tcPr>
            <w:tcW w:w="1200" w:type="dxa"/>
            <w:vAlign w:val="center"/>
          </w:tcPr>
          <w:p>
            <w:pPr>
              <w:rPr>
                <w:b/>
                <w:noProof/>
                <w:sz w:val="20"/>
              </w:rPr>
            </w:pPr>
          </w:p>
        </w:tc>
      </w:tr>
      <w:tr>
        <w:trPr>
          <w:trHeight w:val="319"/>
        </w:trPr>
        <w:tc>
          <w:tcPr>
            <w:tcW w:w="3960" w:type="dxa"/>
            <w:vAlign w:val="center"/>
          </w:tcPr>
          <w:p>
            <w:pPr>
              <w:spacing w:before="60" w:after="60"/>
              <w:rPr>
                <w:noProof/>
                <w:sz w:val="22"/>
              </w:rPr>
            </w:pPr>
            <w:r>
              <w:rPr>
                <w:noProof/>
                <w:sz w:val="20"/>
              </w:rPr>
              <w:t xml:space="preserve">Číslo rozpočtového riadka: </w:t>
            </w:r>
            <w:r>
              <w:rPr>
                <w:b/>
                <w:noProof/>
                <w:sz w:val="18"/>
              </w:rPr>
              <w:t>08.01.05.03</w:t>
            </w:r>
          </w:p>
        </w:tc>
        <w:tc>
          <w:tcPr>
            <w:tcW w:w="1440" w:type="dxa"/>
            <w:vAlign w:val="center"/>
          </w:tcPr>
          <w:p>
            <w:pPr>
              <w:pStyle w:val="Default"/>
              <w:jc w:val="right"/>
              <w:rPr>
                <w:noProof/>
                <w:sz w:val="18"/>
                <w:szCs w:val="18"/>
              </w:rPr>
            </w:pPr>
          </w:p>
        </w:tc>
        <w:tc>
          <w:tcPr>
            <w:tcW w:w="654" w:type="dxa"/>
            <w:gridSpan w:val="2"/>
            <w:vAlign w:val="center"/>
          </w:tcPr>
          <w:p>
            <w:pPr>
              <w:spacing w:before="40" w:after="40"/>
              <w:jc w:val="center"/>
              <w:rPr>
                <w:noProof/>
                <w:sz w:val="14"/>
              </w:rPr>
            </w:pPr>
            <w:r>
              <w:rPr>
                <w:noProof/>
                <w:sz w:val="14"/>
              </w:rPr>
              <w:t>(3)</w:t>
            </w:r>
          </w:p>
        </w:tc>
        <w:tc>
          <w:tcPr>
            <w:tcW w:w="868" w:type="dxa"/>
            <w:vAlign w:val="center"/>
          </w:tcPr>
          <w:p>
            <w:pPr>
              <w:spacing w:before="40" w:after="40"/>
              <w:jc w:val="right"/>
              <w:rPr>
                <w:b/>
                <w:noProof/>
                <w:sz w:val="20"/>
              </w:rPr>
            </w:pPr>
            <w:r>
              <w:rPr>
                <w:b/>
                <w:noProof/>
                <w:sz w:val="20"/>
              </w:rPr>
              <w:t>0,010</w:t>
            </w:r>
          </w:p>
        </w:tc>
        <w:tc>
          <w:tcPr>
            <w:tcW w:w="868" w:type="dxa"/>
            <w:vAlign w:val="center"/>
          </w:tcPr>
          <w:p>
            <w:pPr>
              <w:spacing w:before="40" w:after="40"/>
              <w:jc w:val="right"/>
              <w:rPr>
                <w:b/>
                <w:noProof/>
                <w:sz w:val="20"/>
              </w:rPr>
            </w:pPr>
            <w:r>
              <w:rPr>
                <w:b/>
                <w:noProof/>
                <w:sz w:val="20"/>
              </w:rPr>
              <w:t>0,012</w:t>
            </w:r>
          </w:p>
        </w:tc>
        <w:tc>
          <w:tcPr>
            <w:tcW w:w="868" w:type="dxa"/>
            <w:vAlign w:val="center"/>
          </w:tcPr>
          <w:p>
            <w:pPr>
              <w:spacing w:before="40" w:after="40"/>
              <w:jc w:val="right"/>
              <w:rPr>
                <w:b/>
                <w:noProof/>
                <w:sz w:val="20"/>
              </w:rPr>
            </w:pPr>
            <w:r>
              <w:rPr>
                <w:b/>
                <w:noProof/>
                <w:sz w:val="20"/>
              </w:rPr>
              <w:t>0,012</w:t>
            </w:r>
          </w:p>
        </w:tc>
        <w:tc>
          <w:tcPr>
            <w:tcW w:w="868" w:type="dxa"/>
            <w:vAlign w:val="center"/>
          </w:tcPr>
          <w:p>
            <w:pPr>
              <w:spacing w:before="40" w:after="40"/>
              <w:jc w:val="right"/>
              <w:rPr>
                <w:b/>
                <w:noProof/>
                <w:sz w:val="20"/>
              </w:rPr>
            </w:pPr>
            <w:r>
              <w:rPr>
                <w:b/>
                <w:noProof/>
                <w:sz w:val="20"/>
              </w:rPr>
              <w:t>0,012</w:t>
            </w:r>
          </w:p>
        </w:tc>
        <w:tc>
          <w:tcPr>
            <w:tcW w:w="794" w:type="dxa"/>
          </w:tcPr>
          <w:p>
            <w:pPr>
              <w:spacing w:before="40" w:after="40"/>
              <w:jc w:val="right"/>
              <w:rPr>
                <w:b/>
                <w:noProof/>
                <w:sz w:val="20"/>
              </w:rPr>
            </w:pPr>
            <w:r>
              <w:rPr>
                <w:b/>
                <w:noProof/>
                <w:sz w:val="20"/>
              </w:rPr>
              <w:t>0,012</w:t>
            </w:r>
          </w:p>
        </w:tc>
        <w:tc>
          <w:tcPr>
            <w:tcW w:w="960" w:type="dxa"/>
          </w:tcPr>
          <w:p>
            <w:pPr>
              <w:spacing w:before="40" w:after="40"/>
              <w:jc w:val="right"/>
              <w:rPr>
                <w:b/>
                <w:noProof/>
                <w:sz w:val="20"/>
              </w:rPr>
            </w:pPr>
            <w:r>
              <w:rPr>
                <w:b/>
                <w:noProof/>
                <w:sz w:val="20"/>
              </w:rPr>
              <w:t>0,002</w:t>
            </w:r>
          </w:p>
        </w:tc>
        <w:tc>
          <w:tcPr>
            <w:tcW w:w="1200" w:type="dxa"/>
            <w:vAlign w:val="center"/>
          </w:tcPr>
          <w:p>
            <w:pPr>
              <w:spacing w:before="40" w:after="40"/>
              <w:jc w:val="right"/>
              <w:rPr>
                <w:b/>
                <w:noProof/>
                <w:sz w:val="20"/>
              </w:rPr>
            </w:pPr>
            <w:r>
              <w:rPr>
                <w:b/>
                <w:noProof/>
                <w:sz w:val="20"/>
              </w:rPr>
              <w:t>0,060</w:t>
            </w:r>
          </w:p>
        </w:tc>
      </w:tr>
      <w:tr>
        <w:tc>
          <w:tcPr>
            <w:tcW w:w="3960" w:type="dxa"/>
            <w:vMerge w:val="restart"/>
            <w:vAlign w:val="center"/>
          </w:tcPr>
          <w:p>
            <w:pPr>
              <w:jc w:val="center"/>
              <w:rPr>
                <w:b/>
                <w:noProof/>
                <w:sz w:val="22"/>
              </w:rPr>
            </w:pPr>
            <w:r>
              <w:rPr>
                <w:b/>
                <w:noProof/>
                <w:sz w:val="22"/>
              </w:rPr>
              <w:t>Rozpočtové prostriedky</w:t>
            </w:r>
            <w:r>
              <w:rPr>
                <w:noProof/>
                <w:sz w:val="22"/>
              </w:rPr>
              <w:br/>
            </w:r>
            <w:r>
              <w:rPr>
                <w:b/>
                <w:noProof/>
                <w:sz w:val="22"/>
              </w:rPr>
              <w:t>pre GR RTD SPOLU</w:t>
            </w:r>
          </w:p>
        </w:tc>
        <w:tc>
          <w:tcPr>
            <w:tcW w:w="1440" w:type="dxa"/>
            <w:vAlign w:val="center"/>
          </w:tcPr>
          <w:p>
            <w:pPr>
              <w:rPr>
                <w:noProof/>
                <w:sz w:val="18"/>
              </w:rPr>
            </w:pPr>
            <w:r>
              <w:rPr>
                <w:noProof/>
                <w:sz w:val="18"/>
              </w:rPr>
              <w:t>Záväzky</w:t>
            </w:r>
          </w:p>
        </w:tc>
        <w:tc>
          <w:tcPr>
            <w:tcW w:w="654" w:type="dxa"/>
            <w:gridSpan w:val="2"/>
            <w:vAlign w:val="center"/>
          </w:tcPr>
          <w:p>
            <w:pPr>
              <w:jc w:val="center"/>
              <w:rPr>
                <w:noProof/>
                <w:sz w:val="14"/>
              </w:rPr>
            </w:pPr>
            <w:r>
              <w:rPr>
                <w:noProof/>
                <w:sz w:val="14"/>
              </w:rPr>
              <w:t>= 1 + 1a + 3</w:t>
            </w:r>
          </w:p>
        </w:tc>
        <w:tc>
          <w:tcPr>
            <w:tcW w:w="868" w:type="dxa"/>
            <w:vAlign w:val="center"/>
          </w:tcPr>
          <w:p>
            <w:pPr>
              <w:pStyle w:val="Default"/>
              <w:jc w:val="right"/>
              <w:rPr>
                <w:noProof/>
                <w:sz w:val="20"/>
                <w:szCs w:val="20"/>
              </w:rPr>
            </w:pPr>
            <w:r>
              <w:rPr>
                <w:b/>
                <w:noProof/>
                <w:sz w:val="20"/>
              </w:rPr>
              <w:t>0,060</w:t>
            </w:r>
          </w:p>
        </w:tc>
        <w:tc>
          <w:tcPr>
            <w:tcW w:w="868" w:type="dxa"/>
            <w:vAlign w:val="center"/>
          </w:tcPr>
          <w:p>
            <w:pPr>
              <w:pStyle w:val="Default"/>
              <w:jc w:val="right"/>
              <w:rPr>
                <w:noProof/>
                <w:sz w:val="20"/>
                <w:szCs w:val="20"/>
              </w:rPr>
            </w:pPr>
            <w:r>
              <w:rPr>
                <w:b/>
                <w:noProof/>
                <w:sz w:val="20"/>
              </w:rPr>
              <w:t>0,072</w:t>
            </w:r>
          </w:p>
        </w:tc>
        <w:tc>
          <w:tcPr>
            <w:tcW w:w="868" w:type="dxa"/>
            <w:vAlign w:val="center"/>
          </w:tcPr>
          <w:p>
            <w:pPr>
              <w:pStyle w:val="Default"/>
              <w:jc w:val="right"/>
              <w:rPr>
                <w:noProof/>
                <w:sz w:val="20"/>
                <w:szCs w:val="20"/>
              </w:rPr>
            </w:pPr>
            <w:r>
              <w:rPr>
                <w:b/>
                <w:noProof/>
                <w:sz w:val="20"/>
              </w:rPr>
              <w:t>0,072</w:t>
            </w:r>
          </w:p>
        </w:tc>
        <w:tc>
          <w:tcPr>
            <w:tcW w:w="868" w:type="dxa"/>
            <w:vAlign w:val="center"/>
          </w:tcPr>
          <w:p>
            <w:pPr>
              <w:pStyle w:val="Default"/>
              <w:jc w:val="right"/>
              <w:rPr>
                <w:noProof/>
                <w:sz w:val="20"/>
                <w:szCs w:val="20"/>
              </w:rPr>
            </w:pPr>
            <w:r>
              <w:rPr>
                <w:b/>
                <w:noProof/>
                <w:sz w:val="20"/>
              </w:rPr>
              <w:t>0,072</w:t>
            </w:r>
          </w:p>
        </w:tc>
        <w:tc>
          <w:tcPr>
            <w:tcW w:w="794" w:type="dxa"/>
            <w:vAlign w:val="center"/>
          </w:tcPr>
          <w:p>
            <w:pPr>
              <w:pStyle w:val="Default"/>
              <w:jc w:val="right"/>
              <w:rPr>
                <w:b/>
                <w:noProof/>
                <w:sz w:val="20"/>
                <w:szCs w:val="20"/>
              </w:rPr>
            </w:pPr>
            <w:r>
              <w:rPr>
                <w:b/>
                <w:noProof/>
                <w:sz w:val="20"/>
              </w:rPr>
              <w:t>0,072</w:t>
            </w:r>
          </w:p>
        </w:tc>
        <w:tc>
          <w:tcPr>
            <w:tcW w:w="960" w:type="dxa"/>
            <w:vAlign w:val="center"/>
          </w:tcPr>
          <w:p>
            <w:pPr>
              <w:pStyle w:val="Default"/>
              <w:jc w:val="right"/>
              <w:rPr>
                <w:b/>
                <w:noProof/>
                <w:sz w:val="20"/>
                <w:szCs w:val="20"/>
              </w:rPr>
            </w:pPr>
            <w:r>
              <w:rPr>
                <w:b/>
                <w:noProof/>
                <w:sz w:val="20"/>
              </w:rPr>
              <w:t>0,012</w:t>
            </w:r>
          </w:p>
        </w:tc>
        <w:tc>
          <w:tcPr>
            <w:tcW w:w="1200" w:type="dxa"/>
            <w:vAlign w:val="center"/>
          </w:tcPr>
          <w:p>
            <w:pPr>
              <w:pStyle w:val="Default"/>
              <w:jc w:val="right"/>
              <w:rPr>
                <w:b/>
                <w:noProof/>
                <w:sz w:val="20"/>
                <w:szCs w:val="20"/>
              </w:rPr>
            </w:pPr>
            <w:r>
              <w:rPr>
                <w:b/>
                <w:noProof/>
                <w:sz w:val="20"/>
              </w:rPr>
              <w:t>0,360</w:t>
            </w:r>
          </w:p>
        </w:tc>
      </w:tr>
      <w:tr>
        <w:tc>
          <w:tcPr>
            <w:tcW w:w="3960" w:type="dxa"/>
            <w:vMerge/>
          </w:tcPr>
          <w:p>
            <w:pPr>
              <w:rPr>
                <w:noProof/>
                <w:sz w:val="20"/>
              </w:rPr>
            </w:pPr>
          </w:p>
        </w:tc>
        <w:tc>
          <w:tcPr>
            <w:tcW w:w="1440" w:type="dxa"/>
            <w:vAlign w:val="center"/>
          </w:tcPr>
          <w:p>
            <w:pPr>
              <w:rPr>
                <w:noProof/>
                <w:sz w:val="18"/>
              </w:rPr>
            </w:pPr>
            <w:r>
              <w:rPr>
                <w:noProof/>
                <w:sz w:val="18"/>
              </w:rPr>
              <w:t>Platby</w:t>
            </w:r>
          </w:p>
        </w:tc>
        <w:tc>
          <w:tcPr>
            <w:tcW w:w="654" w:type="dxa"/>
            <w:gridSpan w:val="2"/>
            <w:vAlign w:val="center"/>
          </w:tcPr>
          <w:p>
            <w:pPr>
              <w:jc w:val="center"/>
              <w:rPr>
                <w:noProof/>
                <w:sz w:val="14"/>
              </w:rPr>
            </w:pPr>
            <w:r>
              <w:rPr>
                <w:noProof/>
                <w:sz w:val="14"/>
              </w:rPr>
              <w:t>=2 + 2a</w:t>
            </w:r>
          </w:p>
          <w:p>
            <w:pPr>
              <w:jc w:val="center"/>
              <w:rPr>
                <w:noProof/>
                <w:sz w:val="14"/>
              </w:rPr>
            </w:pPr>
            <w:r>
              <w:rPr>
                <w:noProof/>
                <w:sz w:val="14"/>
              </w:rPr>
              <w:t>+ 3</w:t>
            </w:r>
          </w:p>
        </w:tc>
        <w:tc>
          <w:tcPr>
            <w:tcW w:w="868" w:type="dxa"/>
            <w:vAlign w:val="center"/>
          </w:tcPr>
          <w:p>
            <w:pPr>
              <w:pStyle w:val="Default"/>
              <w:jc w:val="right"/>
              <w:rPr>
                <w:noProof/>
                <w:sz w:val="20"/>
                <w:szCs w:val="20"/>
              </w:rPr>
            </w:pPr>
            <w:r>
              <w:rPr>
                <w:b/>
                <w:noProof/>
                <w:sz w:val="20"/>
              </w:rPr>
              <w:t>0,060</w:t>
            </w:r>
          </w:p>
        </w:tc>
        <w:tc>
          <w:tcPr>
            <w:tcW w:w="868" w:type="dxa"/>
            <w:vAlign w:val="center"/>
          </w:tcPr>
          <w:p>
            <w:pPr>
              <w:pStyle w:val="Default"/>
              <w:jc w:val="right"/>
              <w:rPr>
                <w:noProof/>
                <w:sz w:val="20"/>
                <w:szCs w:val="20"/>
              </w:rPr>
            </w:pPr>
            <w:r>
              <w:rPr>
                <w:b/>
                <w:noProof/>
                <w:sz w:val="20"/>
              </w:rPr>
              <w:t>0,072</w:t>
            </w:r>
          </w:p>
        </w:tc>
        <w:tc>
          <w:tcPr>
            <w:tcW w:w="868" w:type="dxa"/>
            <w:vAlign w:val="center"/>
          </w:tcPr>
          <w:p>
            <w:pPr>
              <w:pStyle w:val="Default"/>
              <w:jc w:val="right"/>
              <w:rPr>
                <w:noProof/>
                <w:sz w:val="20"/>
                <w:szCs w:val="20"/>
              </w:rPr>
            </w:pPr>
            <w:r>
              <w:rPr>
                <w:b/>
                <w:noProof/>
                <w:sz w:val="20"/>
              </w:rPr>
              <w:t>0,072</w:t>
            </w:r>
          </w:p>
        </w:tc>
        <w:tc>
          <w:tcPr>
            <w:tcW w:w="868" w:type="dxa"/>
            <w:vAlign w:val="center"/>
          </w:tcPr>
          <w:p>
            <w:pPr>
              <w:pStyle w:val="Default"/>
              <w:jc w:val="right"/>
              <w:rPr>
                <w:noProof/>
                <w:sz w:val="20"/>
                <w:szCs w:val="20"/>
              </w:rPr>
            </w:pPr>
            <w:r>
              <w:rPr>
                <w:b/>
                <w:noProof/>
                <w:sz w:val="20"/>
              </w:rPr>
              <w:t>0,072</w:t>
            </w:r>
          </w:p>
        </w:tc>
        <w:tc>
          <w:tcPr>
            <w:tcW w:w="794" w:type="dxa"/>
            <w:vAlign w:val="center"/>
          </w:tcPr>
          <w:p>
            <w:pPr>
              <w:pStyle w:val="Default"/>
              <w:jc w:val="right"/>
              <w:rPr>
                <w:b/>
                <w:noProof/>
                <w:sz w:val="20"/>
                <w:szCs w:val="20"/>
              </w:rPr>
            </w:pPr>
            <w:r>
              <w:rPr>
                <w:b/>
                <w:noProof/>
                <w:sz w:val="20"/>
              </w:rPr>
              <w:t>0,072</w:t>
            </w:r>
          </w:p>
        </w:tc>
        <w:tc>
          <w:tcPr>
            <w:tcW w:w="960" w:type="dxa"/>
            <w:vAlign w:val="center"/>
          </w:tcPr>
          <w:p>
            <w:pPr>
              <w:pStyle w:val="Default"/>
              <w:jc w:val="right"/>
              <w:rPr>
                <w:b/>
                <w:noProof/>
                <w:sz w:val="20"/>
                <w:szCs w:val="20"/>
              </w:rPr>
            </w:pPr>
            <w:r>
              <w:rPr>
                <w:b/>
                <w:noProof/>
                <w:sz w:val="20"/>
              </w:rPr>
              <w:t>0,012</w:t>
            </w:r>
          </w:p>
        </w:tc>
        <w:tc>
          <w:tcPr>
            <w:tcW w:w="1200" w:type="dxa"/>
            <w:vAlign w:val="center"/>
          </w:tcPr>
          <w:p>
            <w:pPr>
              <w:pStyle w:val="Default"/>
              <w:jc w:val="right"/>
              <w:rPr>
                <w:b/>
                <w:noProof/>
                <w:sz w:val="20"/>
                <w:szCs w:val="20"/>
              </w:rPr>
            </w:pPr>
            <w:r>
              <w:rPr>
                <w:b/>
                <w:noProof/>
                <w:sz w:val="20"/>
              </w:rPr>
              <w:t>0,360</w:t>
            </w:r>
          </w:p>
        </w:tc>
      </w:tr>
    </w:tbl>
    <w:p>
      <w:pPr>
        <w:rPr>
          <w:noProof/>
        </w:rPr>
      </w:pPr>
      <w:r>
        <w:rPr>
          <w:noProof/>
        </w:rPr>
        <w:br/>
      </w:r>
      <w:r>
        <w:rPr>
          <w:noProof/>
        </w:rPr>
        <w:br/>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654"/>
        <w:gridCol w:w="868"/>
        <w:gridCol w:w="868"/>
        <w:gridCol w:w="868"/>
        <w:gridCol w:w="868"/>
        <w:gridCol w:w="794"/>
        <w:gridCol w:w="942"/>
        <w:gridCol w:w="1218"/>
      </w:tblGrid>
      <w:tr>
        <w:trPr>
          <w:trHeight w:val="277"/>
        </w:trPr>
        <w:tc>
          <w:tcPr>
            <w:tcW w:w="3960" w:type="dxa"/>
            <w:vMerge w:val="restart"/>
            <w:vAlign w:val="center"/>
          </w:tcPr>
          <w:p>
            <w:pPr>
              <w:spacing w:before="20" w:after="20"/>
              <w:rPr>
                <w:noProof/>
                <w:sz w:val="22"/>
              </w:rPr>
            </w:pPr>
            <w:r>
              <w:rPr>
                <w:noProof/>
              </w:rPr>
              <w:br w:type="page"/>
            </w:r>
            <w:r>
              <w:rPr>
                <w:noProof/>
                <w:sz w:val="21"/>
              </w:rPr>
              <w:sym w:font="Wingdings" w:char="F09F"/>
            </w:r>
            <w:r>
              <w:rPr>
                <w:noProof/>
              </w:rPr>
              <w:t xml:space="preserve"> Operačné rozpočtové prostriedky SPOLU</w:t>
            </w:r>
          </w:p>
        </w:tc>
        <w:tc>
          <w:tcPr>
            <w:tcW w:w="1440" w:type="dxa"/>
            <w:vAlign w:val="center"/>
          </w:tcPr>
          <w:p>
            <w:pPr>
              <w:spacing w:beforeLines="20" w:before="48" w:afterLines="20" w:after="48"/>
              <w:rPr>
                <w:noProof/>
                <w:sz w:val="18"/>
              </w:rPr>
            </w:pPr>
            <w:r>
              <w:rPr>
                <w:noProof/>
                <w:sz w:val="18"/>
              </w:rPr>
              <w:t>Záväzky</w:t>
            </w:r>
          </w:p>
        </w:tc>
        <w:tc>
          <w:tcPr>
            <w:tcW w:w="654" w:type="dxa"/>
            <w:vAlign w:val="center"/>
          </w:tcPr>
          <w:p>
            <w:pPr>
              <w:spacing w:beforeLines="20" w:before="48" w:afterLines="20" w:after="48"/>
              <w:jc w:val="center"/>
              <w:rPr>
                <w:noProof/>
                <w:sz w:val="14"/>
              </w:rPr>
            </w:pPr>
            <w:r>
              <w:rPr>
                <w:noProof/>
                <w:sz w:val="14"/>
              </w:rPr>
              <w:t>(4)</w:t>
            </w:r>
          </w:p>
        </w:tc>
        <w:tc>
          <w:tcPr>
            <w:tcW w:w="868" w:type="dxa"/>
            <w:vAlign w:val="center"/>
          </w:tcPr>
          <w:p>
            <w:pPr>
              <w:spacing w:before="20" w:after="20"/>
              <w:jc w:val="right"/>
              <w:rPr>
                <w:noProof/>
                <w:sz w:val="20"/>
              </w:rPr>
            </w:pPr>
            <w:r>
              <w:rPr>
                <w:b/>
                <w:noProof/>
                <w:sz w:val="20"/>
              </w:rPr>
              <w:t>0,050</w:t>
            </w:r>
          </w:p>
        </w:tc>
        <w:tc>
          <w:tcPr>
            <w:tcW w:w="868" w:type="dxa"/>
            <w:vAlign w:val="center"/>
          </w:tcPr>
          <w:p>
            <w:pPr>
              <w:spacing w:before="20" w:after="20"/>
              <w:jc w:val="right"/>
              <w:rPr>
                <w:noProof/>
                <w:sz w:val="20"/>
              </w:rPr>
            </w:pPr>
            <w:r>
              <w:rPr>
                <w:b/>
                <w:noProof/>
                <w:sz w:val="20"/>
              </w:rPr>
              <w:t>0,060</w:t>
            </w:r>
          </w:p>
        </w:tc>
        <w:tc>
          <w:tcPr>
            <w:tcW w:w="868" w:type="dxa"/>
            <w:vAlign w:val="center"/>
          </w:tcPr>
          <w:p>
            <w:pPr>
              <w:spacing w:before="20" w:after="20"/>
              <w:jc w:val="right"/>
              <w:rPr>
                <w:noProof/>
                <w:sz w:val="20"/>
              </w:rPr>
            </w:pPr>
            <w:r>
              <w:rPr>
                <w:b/>
                <w:noProof/>
                <w:sz w:val="20"/>
              </w:rPr>
              <w:t>0,060</w:t>
            </w:r>
          </w:p>
        </w:tc>
        <w:tc>
          <w:tcPr>
            <w:tcW w:w="868" w:type="dxa"/>
            <w:vAlign w:val="center"/>
          </w:tcPr>
          <w:p>
            <w:pPr>
              <w:spacing w:before="20" w:after="20"/>
              <w:jc w:val="right"/>
              <w:rPr>
                <w:noProof/>
                <w:sz w:val="20"/>
              </w:rPr>
            </w:pPr>
            <w:r>
              <w:rPr>
                <w:b/>
                <w:noProof/>
                <w:sz w:val="20"/>
              </w:rPr>
              <w:t>0,060</w:t>
            </w:r>
          </w:p>
        </w:tc>
        <w:tc>
          <w:tcPr>
            <w:tcW w:w="794" w:type="dxa"/>
            <w:vAlign w:val="center"/>
          </w:tcPr>
          <w:p>
            <w:pPr>
              <w:spacing w:before="20" w:after="20"/>
              <w:jc w:val="right"/>
              <w:rPr>
                <w:noProof/>
                <w:sz w:val="20"/>
              </w:rPr>
            </w:pPr>
            <w:r>
              <w:rPr>
                <w:b/>
                <w:noProof/>
                <w:sz w:val="20"/>
              </w:rPr>
              <w:t>0,060</w:t>
            </w:r>
          </w:p>
        </w:tc>
        <w:tc>
          <w:tcPr>
            <w:tcW w:w="942" w:type="dxa"/>
            <w:vAlign w:val="center"/>
          </w:tcPr>
          <w:p>
            <w:pPr>
              <w:spacing w:before="20" w:after="20"/>
              <w:jc w:val="right"/>
              <w:rPr>
                <w:b/>
                <w:noProof/>
                <w:sz w:val="20"/>
              </w:rPr>
            </w:pPr>
            <w:r>
              <w:rPr>
                <w:b/>
                <w:noProof/>
                <w:sz w:val="20"/>
              </w:rPr>
              <w:t>0,010</w:t>
            </w:r>
          </w:p>
        </w:tc>
        <w:tc>
          <w:tcPr>
            <w:tcW w:w="1218" w:type="dxa"/>
            <w:vAlign w:val="center"/>
          </w:tcPr>
          <w:p>
            <w:pPr>
              <w:spacing w:before="20" w:after="20"/>
              <w:jc w:val="right"/>
              <w:rPr>
                <w:b/>
                <w:noProof/>
                <w:sz w:val="20"/>
              </w:rPr>
            </w:pPr>
            <w:r>
              <w:rPr>
                <w:b/>
                <w:noProof/>
                <w:sz w:val="20"/>
              </w:rPr>
              <w:t>0,300</w:t>
            </w:r>
          </w:p>
        </w:tc>
      </w:tr>
      <w:tr>
        <w:tc>
          <w:tcPr>
            <w:tcW w:w="3960" w:type="dxa"/>
            <w:vMerge/>
          </w:tcPr>
          <w:p>
            <w:pPr>
              <w:jc w:val="center"/>
              <w:rPr>
                <w:noProof/>
                <w:sz w:val="20"/>
              </w:rPr>
            </w:pPr>
          </w:p>
        </w:tc>
        <w:tc>
          <w:tcPr>
            <w:tcW w:w="1440" w:type="dxa"/>
            <w:vAlign w:val="center"/>
          </w:tcPr>
          <w:p>
            <w:pPr>
              <w:spacing w:beforeLines="20" w:before="48" w:afterLines="20" w:after="48"/>
              <w:rPr>
                <w:noProof/>
                <w:sz w:val="18"/>
              </w:rPr>
            </w:pPr>
            <w:r>
              <w:rPr>
                <w:noProof/>
                <w:sz w:val="18"/>
              </w:rPr>
              <w:t>Platby</w:t>
            </w:r>
          </w:p>
        </w:tc>
        <w:tc>
          <w:tcPr>
            <w:tcW w:w="654" w:type="dxa"/>
            <w:vAlign w:val="center"/>
          </w:tcPr>
          <w:p>
            <w:pPr>
              <w:spacing w:beforeLines="20" w:before="48" w:afterLines="20" w:after="48"/>
              <w:jc w:val="center"/>
              <w:rPr>
                <w:noProof/>
                <w:sz w:val="14"/>
              </w:rPr>
            </w:pPr>
            <w:r>
              <w:rPr>
                <w:noProof/>
                <w:sz w:val="14"/>
              </w:rPr>
              <w:t>(5)</w:t>
            </w:r>
          </w:p>
        </w:tc>
        <w:tc>
          <w:tcPr>
            <w:tcW w:w="868" w:type="dxa"/>
            <w:vAlign w:val="center"/>
          </w:tcPr>
          <w:p>
            <w:pPr>
              <w:spacing w:before="20" w:after="20"/>
              <w:jc w:val="right"/>
              <w:rPr>
                <w:noProof/>
                <w:sz w:val="20"/>
              </w:rPr>
            </w:pPr>
            <w:r>
              <w:rPr>
                <w:b/>
                <w:noProof/>
                <w:sz w:val="20"/>
              </w:rPr>
              <w:t>0,050</w:t>
            </w:r>
          </w:p>
        </w:tc>
        <w:tc>
          <w:tcPr>
            <w:tcW w:w="868" w:type="dxa"/>
            <w:vAlign w:val="center"/>
          </w:tcPr>
          <w:p>
            <w:pPr>
              <w:spacing w:before="20" w:after="20"/>
              <w:jc w:val="right"/>
              <w:rPr>
                <w:noProof/>
                <w:sz w:val="20"/>
              </w:rPr>
            </w:pPr>
            <w:r>
              <w:rPr>
                <w:b/>
                <w:noProof/>
                <w:sz w:val="20"/>
              </w:rPr>
              <w:t>0,060</w:t>
            </w:r>
          </w:p>
        </w:tc>
        <w:tc>
          <w:tcPr>
            <w:tcW w:w="868" w:type="dxa"/>
            <w:vAlign w:val="center"/>
          </w:tcPr>
          <w:p>
            <w:pPr>
              <w:spacing w:before="20" w:after="20"/>
              <w:jc w:val="right"/>
              <w:rPr>
                <w:noProof/>
                <w:sz w:val="20"/>
              </w:rPr>
            </w:pPr>
            <w:r>
              <w:rPr>
                <w:b/>
                <w:noProof/>
                <w:sz w:val="20"/>
              </w:rPr>
              <w:t>0,060</w:t>
            </w:r>
          </w:p>
        </w:tc>
        <w:tc>
          <w:tcPr>
            <w:tcW w:w="868" w:type="dxa"/>
            <w:vAlign w:val="center"/>
          </w:tcPr>
          <w:p>
            <w:pPr>
              <w:spacing w:before="20" w:after="20"/>
              <w:jc w:val="right"/>
              <w:rPr>
                <w:noProof/>
                <w:sz w:val="20"/>
              </w:rPr>
            </w:pPr>
            <w:r>
              <w:rPr>
                <w:b/>
                <w:noProof/>
                <w:sz w:val="20"/>
              </w:rPr>
              <w:t>0,060</w:t>
            </w:r>
          </w:p>
        </w:tc>
        <w:tc>
          <w:tcPr>
            <w:tcW w:w="794" w:type="dxa"/>
            <w:vAlign w:val="center"/>
          </w:tcPr>
          <w:p>
            <w:pPr>
              <w:spacing w:before="20" w:after="20"/>
              <w:jc w:val="right"/>
              <w:rPr>
                <w:noProof/>
                <w:sz w:val="20"/>
              </w:rPr>
            </w:pPr>
            <w:r>
              <w:rPr>
                <w:b/>
                <w:noProof/>
                <w:sz w:val="20"/>
              </w:rPr>
              <w:t>0,060</w:t>
            </w:r>
          </w:p>
        </w:tc>
        <w:tc>
          <w:tcPr>
            <w:tcW w:w="942" w:type="dxa"/>
            <w:vAlign w:val="center"/>
          </w:tcPr>
          <w:p>
            <w:pPr>
              <w:spacing w:before="20" w:after="20"/>
              <w:jc w:val="right"/>
              <w:rPr>
                <w:b/>
                <w:noProof/>
                <w:sz w:val="20"/>
              </w:rPr>
            </w:pPr>
            <w:r>
              <w:rPr>
                <w:b/>
                <w:noProof/>
                <w:sz w:val="20"/>
              </w:rPr>
              <w:t>0,010</w:t>
            </w:r>
          </w:p>
        </w:tc>
        <w:tc>
          <w:tcPr>
            <w:tcW w:w="1218" w:type="dxa"/>
            <w:vAlign w:val="center"/>
          </w:tcPr>
          <w:p>
            <w:pPr>
              <w:spacing w:before="20" w:after="20"/>
              <w:jc w:val="right"/>
              <w:rPr>
                <w:b/>
                <w:noProof/>
                <w:sz w:val="20"/>
              </w:rPr>
            </w:pPr>
            <w:r>
              <w:rPr>
                <w:b/>
                <w:noProof/>
                <w:sz w:val="20"/>
              </w:rPr>
              <w:t>0,300</w:t>
            </w:r>
          </w:p>
        </w:tc>
      </w:tr>
      <w:tr>
        <w:trPr>
          <w:trHeight w:val="533"/>
        </w:trPr>
        <w:tc>
          <w:tcPr>
            <w:tcW w:w="5400" w:type="dxa"/>
            <w:gridSpan w:val="2"/>
            <w:vAlign w:val="center"/>
          </w:tcPr>
          <w:p>
            <w:pPr>
              <w:spacing w:beforeLines="20" w:before="48" w:afterLines="20" w:after="48"/>
              <w:rPr>
                <w:noProof/>
                <w:sz w:val="22"/>
              </w:rPr>
            </w:pPr>
            <w:r>
              <w:rPr>
                <w:noProof/>
                <w:sz w:val="21"/>
              </w:rPr>
              <w:sym w:font="Wingdings" w:char="F09F"/>
            </w:r>
            <w:r>
              <w:rPr>
                <w:noProof/>
              </w:rPr>
              <w:t xml:space="preserve"> Administratívne rozpočtové prostriedky financované z finančného krytia na vykonávanie osobitných programov SPOLU</w:t>
            </w:r>
          </w:p>
        </w:tc>
        <w:tc>
          <w:tcPr>
            <w:tcW w:w="654" w:type="dxa"/>
            <w:vAlign w:val="center"/>
          </w:tcPr>
          <w:p>
            <w:pPr>
              <w:spacing w:beforeLines="20" w:before="48" w:afterLines="20" w:after="48"/>
              <w:jc w:val="center"/>
              <w:rPr>
                <w:noProof/>
                <w:sz w:val="14"/>
              </w:rPr>
            </w:pPr>
            <w:r>
              <w:rPr>
                <w:noProof/>
                <w:sz w:val="14"/>
              </w:rPr>
              <w:t>(6)</w:t>
            </w:r>
          </w:p>
        </w:tc>
        <w:tc>
          <w:tcPr>
            <w:tcW w:w="868" w:type="dxa"/>
            <w:vAlign w:val="center"/>
          </w:tcPr>
          <w:p>
            <w:pPr>
              <w:pStyle w:val="Default"/>
              <w:jc w:val="right"/>
              <w:rPr>
                <w:noProof/>
                <w:sz w:val="20"/>
                <w:szCs w:val="20"/>
              </w:rPr>
            </w:pPr>
            <w:r>
              <w:rPr>
                <w:b/>
                <w:noProof/>
                <w:sz w:val="20"/>
              </w:rPr>
              <w:t>0,010</w:t>
            </w:r>
          </w:p>
        </w:tc>
        <w:tc>
          <w:tcPr>
            <w:tcW w:w="868" w:type="dxa"/>
            <w:vAlign w:val="center"/>
          </w:tcPr>
          <w:p>
            <w:pPr>
              <w:pStyle w:val="Default"/>
              <w:jc w:val="right"/>
              <w:rPr>
                <w:noProof/>
                <w:sz w:val="20"/>
                <w:szCs w:val="20"/>
              </w:rPr>
            </w:pPr>
            <w:r>
              <w:rPr>
                <w:b/>
                <w:noProof/>
                <w:sz w:val="20"/>
              </w:rPr>
              <w:t>0,012</w:t>
            </w:r>
          </w:p>
        </w:tc>
        <w:tc>
          <w:tcPr>
            <w:tcW w:w="868" w:type="dxa"/>
            <w:vAlign w:val="center"/>
          </w:tcPr>
          <w:p>
            <w:pPr>
              <w:pStyle w:val="Default"/>
              <w:jc w:val="right"/>
              <w:rPr>
                <w:noProof/>
                <w:sz w:val="20"/>
                <w:szCs w:val="20"/>
              </w:rPr>
            </w:pPr>
            <w:r>
              <w:rPr>
                <w:b/>
                <w:noProof/>
                <w:sz w:val="20"/>
              </w:rPr>
              <w:t>0,012</w:t>
            </w:r>
          </w:p>
        </w:tc>
        <w:tc>
          <w:tcPr>
            <w:tcW w:w="868" w:type="dxa"/>
            <w:vAlign w:val="center"/>
          </w:tcPr>
          <w:p>
            <w:pPr>
              <w:pStyle w:val="Default"/>
              <w:jc w:val="right"/>
              <w:rPr>
                <w:noProof/>
                <w:sz w:val="20"/>
                <w:szCs w:val="20"/>
              </w:rPr>
            </w:pPr>
            <w:r>
              <w:rPr>
                <w:b/>
                <w:noProof/>
                <w:sz w:val="20"/>
              </w:rPr>
              <w:t>0,012</w:t>
            </w:r>
          </w:p>
        </w:tc>
        <w:tc>
          <w:tcPr>
            <w:tcW w:w="794" w:type="dxa"/>
            <w:vAlign w:val="center"/>
          </w:tcPr>
          <w:p>
            <w:pPr>
              <w:pStyle w:val="Default"/>
              <w:jc w:val="right"/>
              <w:rPr>
                <w:b/>
                <w:noProof/>
                <w:sz w:val="20"/>
                <w:szCs w:val="20"/>
              </w:rPr>
            </w:pPr>
            <w:r>
              <w:rPr>
                <w:b/>
                <w:noProof/>
                <w:sz w:val="20"/>
              </w:rPr>
              <w:t>0,012</w:t>
            </w:r>
          </w:p>
        </w:tc>
        <w:tc>
          <w:tcPr>
            <w:tcW w:w="942" w:type="dxa"/>
            <w:vAlign w:val="center"/>
          </w:tcPr>
          <w:p>
            <w:pPr>
              <w:pStyle w:val="Default"/>
              <w:jc w:val="right"/>
              <w:rPr>
                <w:b/>
                <w:noProof/>
                <w:sz w:val="20"/>
                <w:szCs w:val="20"/>
              </w:rPr>
            </w:pPr>
            <w:r>
              <w:rPr>
                <w:b/>
                <w:noProof/>
                <w:sz w:val="20"/>
              </w:rPr>
              <w:t>0,002</w:t>
            </w:r>
          </w:p>
        </w:tc>
        <w:tc>
          <w:tcPr>
            <w:tcW w:w="1218" w:type="dxa"/>
            <w:vAlign w:val="center"/>
          </w:tcPr>
          <w:p>
            <w:pPr>
              <w:pStyle w:val="Default"/>
              <w:jc w:val="right"/>
              <w:rPr>
                <w:b/>
                <w:noProof/>
                <w:sz w:val="20"/>
                <w:szCs w:val="20"/>
              </w:rPr>
            </w:pPr>
            <w:r>
              <w:rPr>
                <w:b/>
                <w:noProof/>
                <w:sz w:val="20"/>
              </w:rPr>
              <w:t>0,060</w:t>
            </w:r>
          </w:p>
        </w:tc>
      </w:tr>
      <w:tr>
        <w:tc>
          <w:tcPr>
            <w:tcW w:w="3960" w:type="dxa"/>
            <w:vMerge w:val="restart"/>
            <w:shd w:val="thinDiagStripe" w:color="C0C0C0" w:fill="auto"/>
            <w:vAlign w:val="center"/>
          </w:tcPr>
          <w:p>
            <w:pPr>
              <w:jc w:val="center"/>
              <w:rPr>
                <w:b/>
                <w:noProof/>
                <w:sz w:val="22"/>
              </w:rPr>
            </w:pPr>
            <w:r>
              <w:rPr>
                <w:b/>
                <w:noProof/>
                <w:sz w:val="22"/>
              </w:rPr>
              <w:t>Rozpočtové prostriedky</w:t>
            </w:r>
            <w:r>
              <w:rPr>
                <w:noProof/>
                <w:sz w:val="22"/>
              </w:rPr>
              <w:br/>
            </w:r>
            <w:r>
              <w:rPr>
                <w:b/>
                <w:noProof/>
                <w:sz w:val="22"/>
              </w:rPr>
              <w:t>OKRUHU &lt;1a&gt;</w:t>
            </w:r>
            <w:r>
              <w:rPr>
                <w:noProof/>
                <w:sz w:val="22"/>
              </w:rPr>
              <w:br/>
              <w:t>viacročného finančného rámca</w:t>
            </w:r>
            <w:r>
              <w:rPr>
                <w:noProof/>
                <w:sz w:val="22"/>
              </w:rPr>
              <w:br/>
            </w:r>
            <w:r>
              <w:rPr>
                <w:b/>
                <w:noProof/>
                <w:sz w:val="22"/>
              </w:rPr>
              <w:t>SPOLU</w:t>
            </w:r>
          </w:p>
        </w:tc>
        <w:tc>
          <w:tcPr>
            <w:tcW w:w="1440" w:type="dxa"/>
            <w:vAlign w:val="center"/>
          </w:tcPr>
          <w:p>
            <w:pPr>
              <w:rPr>
                <w:noProof/>
                <w:sz w:val="18"/>
              </w:rPr>
            </w:pPr>
            <w:r>
              <w:rPr>
                <w:noProof/>
                <w:sz w:val="18"/>
              </w:rPr>
              <w:t>Záväzky</w:t>
            </w:r>
          </w:p>
        </w:tc>
        <w:tc>
          <w:tcPr>
            <w:tcW w:w="654" w:type="dxa"/>
            <w:vAlign w:val="center"/>
          </w:tcPr>
          <w:p>
            <w:pPr>
              <w:jc w:val="center"/>
              <w:rPr>
                <w:noProof/>
                <w:sz w:val="14"/>
              </w:rPr>
            </w:pPr>
            <w:r>
              <w:rPr>
                <w:noProof/>
                <w:sz w:val="14"/>
              </w:rPr>
              <w:t>= 4 + 6</w:t>
            </w:r>
          </w:p>
        </w:tc>
        <w:tc>
          <w:tcPr>
            <w:tcW w:w="868" w:type="dxa"/>
            <w:vAlign w:val="center"/>
          </w:tcPr>
          <w:p>
            <w:pPr>
              <w:pStyle w:val="Default"/>
              <w:jc w:val="right"/>
              <w:rPr>
                <w:noProof/>
                <w:sz w:val="20"/>
                <w:szCs w:val="20"/>
              </w:rPr>
            </w:pPr>
            <w:r>
              <w:rPr>
                <w:b/>
                <w:noProof/>
                <w:sz w:val="20"/>
              </w:rPr>
              <w:t>0,06</w:t>
            </w:r>
          </w:p>
        </w:tc>
        <w:tc>
          <w:tcPr>
            <w:tcW w:w="868" w:type="dxa"/>
            <w:vAlign w:val="center"/>
          </w:tcPr>
          <w:p>
            <w:pPr>
              <w:pStyle w:val="Default"/>
              <w:jc w:val="right"/>
              <w:rPr>
                <w:noProof/>
                <w:sz w:val="20"/>
                <w:szCs w:val="20"/>
              </w:rPr>
            </w:pPr>
            <w:r>
              <w:rPr>
                <w:b/>
                <w:noProof/>
                <w:sz w:val="20"/>
              </w:rPr>
              <w:t>0,072</w:t>
            </w:r>
          </w:p>
        </w:tc>
        <w:tc>
          <w:tcPr>
            <w:tcW w:w="868" w:type="dxa"/>
            <w:vAlign w:val="center"/>
          </w:tcPr>
          <w:p>
            <w:pPr>
              <w:pStyle w:val="Default"/>
              <w:jc w:val="right"/>
              <w:rPr>
                <w:noProof/>
                <w:sz w:val="20"/>
                <w:szCs w:val="20"/>
              </w:rPr>
            </w:pPr>
            <w:r>
              <w:rPr>
                <w:b/>
                <w:noProof/>
                <w:sz w:val="20"/>
              </w:rPr>
              <w:t>0,072</w:t>
            </w:r>
          </w:p>
        </w:tc>
        <w:tc>
          <w:tcPr>
            <w:tcW w:w="868" w:type="dxa"/>
            <w:vAlign w:val="center"/>
          </w:tcPr>
          <w:p>
            <w:pPr>
              <w:pStyle w:val="Default"/>
              <w:jc w:val="right"/>
              <w:rPr>
                <w:noProof/>
                <w:sz w:val="20"/>
                <w:szCs w:val="20"/>
              </w:rPr>
            </w:pPr>
            <w:r>
              <w:rPr>
                <w:b/>
                <w:noProof/>
                <w:sz w:val="20"/>
              </w:rPr>
              <w:t>0,072</w:t>
            </w:r>
          </w:p>
        </w:tc>
        <w:tc>
          <w:tcPr>
            <w:tcW w:w="794" w:type="dxa"/>
            <w:vAlign w:val="center"/>
          </w:tcPr>
          <w:p>
            <w:pPr>
              <w:pStyle w:val="Default"/>
              <w:jc w:val="right"/>
              <w:rPr>
                <w:b/>
                <w:noProof/>
                <w:sz w:val="20"/>
                <w:szCs w:val="20"/>
              </w:rPr>
            </w:pPr>
            <w:r>
              <w:rPr>
                <w:b/>
                <w:noProof/>
                <w:sz w:val="20"/>
              </w:rPr>
              <w:t>0,072</w:t>
            </w:r>
          </w:p>
        </w:tc>
        <w:tc>
          <w:tcPr>
            <w:tcW w:w="942" w:type="dxa"/>
            <w:vAlign w:val="center"/>
          </w:tcPr>
          <w:p>
            <w:pPr>
              <w:pStyle w:val="Default"/>
              <w:jc w:val="right"/>
              <w:rPr>
                <w:b/>
                <w:noProof/>
                <w:sz w:val="20"/>
                <w:szCs w:val="20"/>
              </w:rPr>
            </w:pPr>
            <w:r>
              <w:rPr>
                <w:b/>
                <w:noProof/>
                <w:sz w:val="20"/>
              </w:rPr>
              <w:t>0,012</w:t>
            </w:r>
          </w:p>
        </w:tc>
        <w:tc>
          <w:tcPr>
            <w:tcW w:w="1218" w:type="dxa"/>
            <w:vAlign w:val="center"/>
          </w:tcPr>
          <w:p>
            <w:pPr>
              <w:pStyle w:val="Default"/>
              <w:jc w:val="right"/>
              <w:rPr>
                <w:b/>
                <w:noProof/>
                <w:sz w:val="20"/>
                <w:szCs w:val="20"/>
              </w:rPr>
            </w:pPr>
            <w:r>
              <w:rPr>
                <w:b/>
                <w:noProof/>
                <w:sz w:val="20"/>
              </w:rPr>
              <w:t>0,360</w:t>
            </w:r>
          </w:p>
        </w:tc>
      </w:tr>
      <w:tr>
        <w:tc>
          <w:tcPr>
            <w:tcW w:w="3960" w:type="dxa"/>
            <w:vMerge/>
            <w:shd w:val="thinDiagStripe" w:color="C0C0C0" w:fill="auto"/>
          </w:tcPr>
          <w:p>
            <w:pPr>
              <w:rPr>
                <w:noProof/>
                <w:sz w:val="20"/>
              </w:rPr>
            </w:pPr>
          </w:p>
        </w:tc>
        <w:tc>
          <w:tcPr>
            <w:tcW w:w="1440" w:type="dxa"/>
            <w:vAlign w:val="center"/>
          </w:tcPr>
          <w:p>
            <w:pPr>
              <w:rPr>
                <w:noProof/>
                <w:sz w:val="18"/>
              </w:rPr>
            </w:pPr>
            <w:r>
              <w:rPr>
                <w:noProof/>
                <w:sz w:val="18"/>
              </w:rPr>
              <w:t>Platby</w:t>
            </w:r>
          </w:p>
        </w:tc>
        <w:tc>
          <w:tcPr>
            <w:tcW w:w="654" w:type="dxa"/>
            <w:vAlign w:val="center"/>
          </w:tcPr>
          <w:p>
            <w:pPr>
              <w:jc w:val="center"/>
              <w:rPr>
                <w:noProof/>
                <w:sz w:val="14"/>
              </w:rPr>
            </w:pPr>
            <w:r>
              <w:rPr>
                <w:noProof/>
                <w:sz w:val="14"/>
              </w:rPr>
              <w:t>= 5 + 6</w:t>
            </w:r>
          </w:p>
        </w:tc>
        <w:tc>
          <w:tcPr>
            <w:tcW w:w="868" w:type="dxa"/>
            <w:vAlign w:val="center"/>
          </w:tcPr>
          <w:p>
            <w:pPr>
              <w:pStyle w:val="Default"/>
              <w:jc w:val="right"/>
              <w:rPr>
                <w:noProof/>
                <w:sz w:val="20"/>
                <w:szCs w:val="20"/>
              </w:rPr>
            </w:pPr>
            <w:r>
              <w:rPr>
                <w:b/>
                <w:noProof/>
                <w:sz w:val="20"/>
              </w:rPr>
              <w:t>0,06</w:t>
            </w:r>
          </w:p>
        </w:tc>
        <w:tc>
          <w:tcPr>
            <w:tcW w:w="868" w:type="dxa"/>
            <w:vAlign w:val="center"/>
          </w:tcPr>
          <w:p>
            <w:pPr>
              <w:pStyle w:val="Default"/>
              <w:jc w:val="right"/>
              <w:rPr>
                <w:noProof/>
                <w:sz w:val="20"/>
                <w:szCs w:val="20"/>
              </w:rPr>
            </w:pPr>
            <w:r>
              <w:rPr>
                <w:b/>
                <w:noProof/>
                <w:sz w:val="20"/>
              </w:rPr>
              <w:t>0,072</w:t>
            </w:r>
          </w:p>
        </w:tc>
        <w:tc>
          <w:tcPr>
            <w:tcW w:w="868" w:type="dxa"/>
            <w:vAlign w:val="center"/>
          </w:tcPr>
          <w:p>
            <w:pPr>
              <w:pStyle w:val="Default"/>
              <w:jc w:val="right"/>
              <w:rPr>
                <w:noProof/>
                <w:sz w:val="20"/>
                <w:szCs w:val="20"/>
              </w:rPr>
            </w:pPr>
            <w:r>
              <w:rPr>
                <w:b/>
                <w:noProof/>
                <w:sz w:val="20"/>
              </w:rPr>
              <w:t>0,072</w:t>
            </w:r>
          </w:p>
        </w:tc>
        <w:tc>
          <w:tcPr>
            <w:tcW w:w="868" w:type="dxa"/>
            <w:vAlign w:val="center"/>
          </w:tcPr>
          <w:p>
            <w:pPr>
              <w:pStyle w:val="Default"/>
              <w:jc w:val="right"/>
              <w:rPr>
                <w:noProof/>
                <w:sz w:val="20"/>
                <w:szCs w:val="20"/>
              </w:rPr>
            </w:pPr>
            <w:r>
              <w:rPr>
                <w:b/>
                <w:noProof/>
                <w:sz w:val="20"/>
              </w:rPr>
              <w:t>0,072</w:t>
            </w:r>
          </w:p>
        </w:tc>
        <w:tc>
          <w:tcPr>
            <w:tcW w:w="794" w:type="dxa"/>
            <w:vAlign w:val="center"/>
          </w:tcPr>
          <w:p>
            <w:pPr>
              <w:pStyle w:val="Default"/>
              <w:jc w:val="right"/>
              <w:rPr>
                <w:b/>
                <w:noProof/>
                <w:sz w:val="20"/>
                <w:szCs w:val="20"/>
              </w:rPr>
            </w:pPr>
            <w:r>
              <w:rPr>
                <w:b/>
                <w:noProof/>
                <w:sz w:val="20"/>
              </w:rPr>
              <w:t>0,072</w:t>
            </w:r>
          </w:p>
        </w:tc>
        <w:tc>
          <w:tcPr>
            <w:tcW w:w="942" w:type="dxa"/>
            <w:vAlign w:val="center"/>
          </w:tcPr>
          <w:p>
            <w:pPr>
              <w:pStyle w:val="Default"/>
              <w:jc w:val="right"/>
              <w:rPr>
                <w:b/>
                <w:noProof/>
                <w:sz w:val="20"/>
                <w:szCs w:val="20"/>
              </w:rPr>
            </w:pPr>
            <w:r>
              <w:rPr>
                <w:b/>
                <w:noProof/>
                <w:sz w:val="20"/>
              </w:rPr>
              <w:t>0,012</w:t>
            </w:r>
          </w:p>
        </w:tc>
        <w:tc>
          <w:tcPr>
            <w:tcW w:w="1218" w:type="dxa"/>
            <w:vAlign w:val="center"/>
          </w:tcPr>
          <w:p>
            <w:pPr>
              <w:pStyle w:val="Default"/>
              <w:jc w:val="right"/>
              <w:rPr>
                <w:b/>
                <w:noProof/>
                <w:sz w:val="20"/>
                <w:szCs w:val="20"/>
              </w:rPr>
            </w:pPr>
            <w:r>
              <w:rPr>
                <w:b/>
                <w:noProof/>
                <w:sz w:val="20"/>
              </w:rPr>
              <w:t>0,360</w:t>
            </w:r>
          </w:p>
        </w:tc>
      </w:tr>
    </w:tbl>
    <w:p>
      <w:pPr>
        <w:spacing w:after="40"/>
        <w:rPr>
          <w:b/>
          <w:noProof/>
          <w:sz w:val="22"/>
          <w:u w:val="single"/>
        </w:rPr>
      </w:pPr>
      <w:r>
        <w:rPr>
          <w:b/>
          <w:noProof/>
          <w:sz w:val="22"/>
          <w:u w:val="single"/>
        </w:rPr>
        <w:t>Ak má návrh/iniciatíva vplyv na viaceré okruhy:</w:t>
      </w:r>
    </w:p>
    <w:tbl>
      <w:tblPr>
        <w:tblW w:w="0" w:type="auto"/>
        <w:tblInd w:w="-252" w:type="dxa"/>
        <w:tblBorders>
          <w:top w:val="single" w:sz="4" w:space="0" w:color="FF0000"/>
          <w:left w:val="single" w:sz="4" w:space="0" w:color="FF0000"/>
          <w:bottom w:val="single" w:sz="4" w:space="0" w:color="FF0000"/>
          <w:right w:val="single" w:sz="4" w:space="0" w:color="FF0000"/>
          <w:insideH w:val="single" w:sz="4" w:space="0" w:color="auto"/>
          <w:insideV w:val="single" w:sz="4" w:space="0" w:color="auto"/>
        </w:tblBorders>
        <w:tblLayout w:type="fixed"/>
        <w:tblLook w:val="01E0" w:firstRow="1" w:lastRow="1" w:firstColumn="1" w:lastColumn="1" w:noHBand="0" w:noVBand="0"/>
      </w:tblPr>
      <w:tblGrid>
        <w:gridCol w:w="3960"/>
        <w:gridCol w:w="1440"/>
        <w:gridCol w:w="654"/>
        <w:gridCol w:w="868"/>
        <w:gridCol w:w="868"/>
        <w:gridCol w:w="868"/>
        <w:gridCol w:w="868"/>
        <w:gridCol w:w="868"/>
        <w:gridCol w:w="868"/>
        <w:gridCol w:w="868"/>
        <w:gridCol w:w="1777"/>
      </w:tblGrid>
      <w:tr>
        <w:trPr>
          <w:trHeight w:val="277"/>
        </w:trPr>
        <w:tc>
          <w:tcPr>
            <w:tcW w:w="3960" w:type="dxa"/>
            <w:vMerge w:val="restart"/>
            <w:tcBorders>
              <w:top w:val="single" w:sz="4" w:space="0" w:color="FF0000"/>
              <w:left w:val="single" w:sz="4" w:space="0" w:color="auto"/>
              <w:bottom w:val="single" w:sz="4" w:space="0" w:color="FF0000"/>
            </w:tcBorders>
            <w:vAlign w:val="center"/>
          </w:tcPr>
          <w:p>
            <w:pPr>
              <w:spacing w:before="20" w:after="20"/>
              <w:rPr>
                <w:noProof/>
                <w:sz w:val="22"/>
              </w:rPr>
            </w:pPr>
            <w:r>
              <w:rPr>
                <w:noProof/>
                <w:sz w:val="21"/>
              </w:rPr>
              <w:sym w:font="Wingdings" w:char="F09F"/>
            </w:r>
            <w:r>
              <w:rPr>
                <w:noProof/>
              </w:rPr>
              <w:t xml:space="preserve"> Operačné rozpočtové prostriedky SPOLU</w:t>
            </w:r>
          </w:p>
        </w:tc>
        <w:tc>
          <w:tcPr>
            <w:tcW w:w="1440" w:type="dxa"/>
            <w:tcBorders>
              <w:top w:val="single" w:sz="4" w:space="0" w:color="FF0000"/>
            </w:tcBorders>
            <w:vAlign w:val="center"/>
          </w:tcPr>
          <w:p>
            <w:pPr>
              <w:spacing w:beforeLines="20" w:before="48" w:afterLines="20" w:after="48"/>
              <w:rPr>
                <w:noProof/>
                <w:sz w:val="18"/>
              </w:rPr>
            </w:pPr>
            <w:r>
              <w:rPr>
                <w:noProof/>
                <w:sz w:val="18"/>
              </w:rPr>
              <w:t>Záväzky</w:t>
            </w:r>
          </w:p>
        </w:tc>
        <w:tc>
          <w:tcPr>
            <w:tcW w:w="654" w:type="dxa"/>
            <w:tcBorders>
              <w:top w:val="single" w:sz="4" w:space="0" w:color="FF0000"/>
            </w:tcBorders>
            <w:vAlign w:val="center"/>
          </w:tcPr>
          <w:p>
            <w:pPr>
              <w:spacing w:beforeLines="20" w:before="48" w:afterLines="20" w:after="48"/>
              <w:jc w:val="center"/>
              <w:rPr>
                <w:noProof/>
                <w:sz w:val="14"/>
              </w:rPr>
            </w:pPr>
            <w:r>
              <w:rPr>
                <w:noProof/>
                <w:sz w:val="14"/>
              </w:rPr>
              <w:t>(4)</w:t>
            </w:r>
          </w:p>
        </w:tc>
        <w:tc>
          <w:tcPr>
            <w:tcW w:w="868" w:type="dxa"/>
            <w:tcBorders>
              <w:top w:val="single" w:sz="4" w:space="0" w:color="FF0000"/>
            </w:tcBorders>
            <w:vAlign w:val="center"/>
          </w:tcPr>
          <w:p>
            <w:pPr>
              <w:spacing w:before="20" w:after="20"/>
              <w:jc w:val="right"/>
              <w:rPr>
                <w:noProof/>
                <w:sz w:val="20"/>
              </w:rPr>
            </w:pPr>
          </w:p>
        </w:tc>
        <w:tc>
          <w:tcPr>
            <w:tcW w:w="868" w:type="dxa"/>
            <w:tcBorders>
              <w:top w:val="single" w:sz="4" w:space="0" w:color="FF0000"/>
            </w:tcBorders>
            <w:vAlign w:val="center"/>
          </w:tcPr>
          <w:p>
            <w:pPr>
              <w:spacing w:before="20" w:after="20"/>
              <w:jc w:val="right"/>
              <w:rPr>
                <w:noProof/>
                <w:sz w:val="20"/>
              </w:rPr>
            </w:pPr>
          </w:p>
        </w:tc>
        <w:tc>
          <w:tcPr>
            <w:tcW w:w="868" w:type="dxa"/>
            <w:tcBorders>
              <w:top w:val="single" w:sz="4" w:space="0" w:color="FF0000"/>
            </w:tcBorders>
            <w:vAlign w:val="center"/>
          </w:tcPr>
          <w:p>
            <w:pPr>
              <w:spacing w:before="20" w:after="20"/>
              <w:jc w:val="right"/>
              <w:rPr>
                <w:noProof/>
                <w:sz w:val="20"/>
              </w:rPr>
            </w:pPr>
          </w:p>
        </w:tc>
        <w:tc>
          <w:tcPr>
            <w:tcW w:w="868" w:type="dxa"/>
            <w:tcBorders>
              <w:top w:val="single" w:sz="4" w:space="0" w:color="FF0000"/>
            </w:tcBorders>
            <w:vAlign w:val="center"/>
          </w:tcPr>
          <w:p>
            <w:pPr>
              <w:spacing w:before="20" w:after="20"/>
              <w:jc w:val="right"/>
              <w:rPr>
                <w:noProof/>
                <w:sz w:val="20"/>
              </w:rPr>
            </w:pPr>
          </w:p>
        </w:tc>
        <w:tc>
          <w:tcPr>
            <w:tcW w:w="868" w:type="dxa"/>
            <w:tcBorders>
              <w:top w:val="single" w:sz="4" w:space="0" w:color="FF0000"/>
            </w:tcBorders>
            <w:vAlign w:val="center"/>
          </w:tcPr>
          <w:p>
            <w:pPr>
              <w:spacing w:before="20" w:after="20"/>
              <w:jc w:val="right"/>
              <w:rPr>
                <w:noProof/>
                <w:sz w:val="20"/>
              </w:rPr>
            </w:pPr>
          </w:p>
        </w:tc>
        <w:tc>
          <w:tcPr>
            <w:tcW w:w="868" w:type="dxa"/>
            <w:tcBorders>
              <w:top w:val="single" w:sz="4" w:space="0" w:color="FF0000"/>
            </w:tcBorders>
            <w:vAlign w:val="center"/>
          </w:tcPr>
          <w:p>
            <w:pPr>
              <w:spacing w:before="20" w:after="20"/>
              <w:jc w:val="right"/>
              <w:rPr>
                <w:noProof/>
                <w:sz w:val="20"/>
              </w:rPr>
            </w:pPr>
          </w:p>
        </w:tc>
        <w:tc>
          <w:tcPr>
            <w:tcW w:w="868" w:type="dxa"/>
            <w:tcBorders>
              <w:top w:val="single" w:sz="4" w:space="0" w:color="FF0000"/>
            </w:tcBorders>
            <w:vAlign w:val="center"/>
          </w:tcPr>
          <w:p>
            <w:pPr>
              <w:spacing w:before="20" w:after="20"/>
              <w:jc w:val="right"/>
              <w:rPr>
                <w:b/>
                <w:noProof/>
                <w:sz w:val="20"/>
              </w:rPr>
            </w:pPr>
          </w:p>
        </w:tc>
        <w:tc>
          <w:tcPr>
            <w:tcW w:w="1777" w:type="dxa"/>
            <w:tcBorders>
              <w:top w:val="single" w:sz="4" w:space="0" w:color="FF0000"/>
              <w:right w:val="single" w:sz="4" w:space="0" w:color="auto"/>
            </w:tcBorders>
            <w:vAlign w:val="center"/>
          </w:tcPr>
          <w:p>
            <w:pPr>
              <w:spacing w:before="20" w:after="20"/>
              <w:jc w:val="right"/>
              <w:rPr>
                <w:b/>
                <w:noProof/>
                <w:sz w:val="20"/>
              </w:rPr>
            </w:pPr>
          </w:p>
        </w:tc>
      </w:tr>
      <w:tr>
        <w:tc>
          <w:tcPr>
            <w:tcW w:w="3960" w:type="dxa"/>
            <w:vMerge/>
            <w:tcBorders>
              <w:top w:val="single" w:sz="4" w:space="0" w:color="FF0000"/>
              <w:left w:val="single" w:sz="4" w:space="0" w:color="auto"/>
              <w:bottom w:val="single" w:sz="4" w:space="0" w:color="FF0000"/>
            </w:tcBorders>
          </w:tcPr>
          <w:p>
            <w:pPr>
              <w:jc w:val="center"/>
              <w:rPr>
                <w:noProof/>
                <w:sz w:val="20"/>
              </w:rPr>
            </w:pPr>
          </w:p>
        </w:tc>
        <w:tc>
          <w:tcPr>
            <w:tcW w:w="1440" w:type="dxa"/>
            <w:vAlign w:val="center"/>
          </w:tcPr>
          <w:p>
            <w:pPr>
              <w:spacing w:beforeLines="20" w:before="48" w:afterLines="20" w:after="48"/>
              <w:rPr>
                <w:noProof/>
                <w:sz w:val="18"/>
              </w:rPr>
            </w:pPr>
            <w:r>
              <w:rPr>
                <w:noProof/>
                <w:sz w:val="18"/>
              </w:rPr>
              <w:t>Platby</w:t>
            </w:r>
          </w:p>
        </w:tc>
        <w:tc>
          <w:tcPr>
            <w:tcW w:w="654" w:type="dxa"/>
            <w:vAlign w:val="center"/>
          </w:tcPr>
          <w:p>
            <w:pPr>
              <w:spacing w:beforeLines="20" w:before="48" w:afterLines="20" w:after="48"/>
              <w:jc w:val="center"/>
              <w:rPr>
                <w:noProof/>
                <w:sz w:val="14"/>
              </w:rPr>
            </w:pPr>
            <w:r>
              <w:rPr>
                <w:noProof/>
                <w:sz w:val="14"/>
              </w:rPr>
              <w:t>(5)</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tcBorders>
              <w:right w:val="single" w:sz="4" w:space="0" w:color="auto"/>
            </w:tcBorders>
            <w:vAlign w:val="center"/>
          </w:tcPr>
          <w:p>
            <w:pPr>
              <w:spacing w:before="20" w:after="20"/>
              <w:jc w:val="right"/>
              <w:rPr>
                <w:b/>
                <w:noProof/>
                <w:sz w:val="20"/>
              </w:rPr>
            </w:pPr>
          </w:p>
        </w:tc>
      </w:tr>
      <w:tr>
        <w:tblPrEx>
          <w:tblBorders>
            <w:top w:val="single" w:sz="4" w:space="0" w:color="auto"/>
            <w:left w:val="single" w:sz="4" w:space="0" w:color="auto"/>
            <w:bottom w:val="single" w:sz="4" w:space="0" w:color="auto"/>
            <w:right w:val="single" w:sz="4" w:space="0" w:color="auto"/>
          </w:tblBorders>
        </w:tblPrEx>
        <w:trPr>
          <w:trHeight w:val="533"/>
        </w:trPr>
        <w:tc>
          <w:tcPr>
            <w:tcW w:w="5400" w:type="dxa"/>
            <w:gridSpan w:val="2"/>
            <w:vAlign w:val="center"/>
          </w:tcPr>
          <w:p>
            <w:pPr>
              <w:spacing w:beforeLines="20" w:before="48" w:afterLines="20" w:after="48"/>
              <w:rPr>
                <w:noProof/>
                <w:sz w:val="22"/>
              </w:rPr>
            </w:pPr>
            <w:r>
              <w:rPr>
                <w:noProof/>
                <w:sz w:val="21"/>
              </w:rPr>
              <w:sym w:font="Wingdings" w:char="F09F"/>
            </w:r>
            <w:r>
              <w:rPr>
                <w:noProof/>
              </w:rPr>
              <w:t xml:space="preserve"> Administratívne rozpočtové prostriedky financované z finančného krytia na vykonávanie osobitných programov SPOLU</w:t>
            </w:r>
          </w:p>
        </w:tc>
        <w:tc>
          <w:tcPr>
            <w:tcW w:w="654" w:type="dxa"/>
            <w:vAlign w:val="center"/>
          </w:tcPr>
          <w:p>
            <w:pPr>
              <w:spacing w:beforeLines="20" w:before="48" w:afterLines="20" w:after="48"/>
              <w:jc w:val="center"/>
              <w:rPr>
                <w:noProof/>
                <w:sz w:val="14"/>
              </w:rPr>
            </w:pPr>
            <w:r>
              <w:rPr>
                <w:noProof/>
                <w:sz w:val="14"/>
              </w:rPr>
              <w:t>(6)</w:t>
            </w: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c>
          <w:tcPr>
            <w:tcW w:w="3960" w:type="dxa"/>
            <w:vMerge w:val="restart"/>
            <w:tcBorders>
              <w:top w:val="single" w:sz="4" w:space="0" w:color="FF0000"/>
              <w:left w:val="single" w:sz="4" w:space="0" w:color="auto"/>
              <w:bottom w:val="single" w:sz="4" w:space="0" w:color="FF0000"/>
            </w:tcBorders>
            <w:shd w:val="thinDiagStripe" w:color="C0C0C0" w:fill="auto"/>
            <w:vAlign w:val="center"/>
          </w:tcPr>
          <w:p>
            <w:pPr>
              <w:jc w:val="center"/>
              <w:rPr>
                <w:b/>
                <w:noProof/>
                <w:sz w:val="22"/>
              </w:rPr>
            </w:pPr>
            <w:r>
              <w:rPr>
                <w:b/>
                <w:noProof/>
                <w:sz w:val="22"/>
              </w:rPr>
              <w:t>Rozpočtové prostriedky</w:t>
            </w:r>
            <w:r>
              <w:rPr>
                <w:noProof/>
                <w:sz w:val="22"/>
              </w:rPr>
              <w:br/>
            </w:r>
            <w:r>
              <w:rPr>
                <w:b/>
                <w:noProof/>
                <w:sz w:val="22"/>
              </w:rPr>
              <w:t>OKRUHOV 1 až 4</w:t>
            </w:r>
            <w:r>
              <w:rPr>
                <w:noProof/>
                <w:sz w:val="22"/>
              </w:rPr>
              <w:br/>
              <w:t>viacročného finančného rámca</w:t>
            </w:r>
            <w:r>
              <w:rPr>
                <w:noProof/>
                <w:sz w:val="22"/>
              </w:rPr>
              <w:br/>
            </w:r>
            <w:r>
              <w:rPr>
                <w:noProof/>
                <w:sz w:val="20"/>
              </w:rPr>
              <w:t>(referenčná suma)</w:t>
            </w:r>
          </w:p>
        </w:tc>
        <w:tc>
          <w:tcPr>
            <w:tcW w:w="1440" w:type="dxa"/>
            <w:vAlign w:val="center"/>
          </w:tcPr>
          <w:p>
            <w:pPr>
              <w:rPr>
                <w:noProof/>
                <w:sz w:val="18"/>
              </w:rPr>
            </w:pPr>
            <w:r>
              <w:rPr>
                <w:noProof/>
                <w:sz w:val="18"/>
              </w:rPr>
              <w:t>Záväzky</w:t>
            </w:r>
          </w:p>
        </w:tc>
        <w:tc>
          <w:tcPr>
            <w:tcW w:w="654" w:type="dxa"/>
            <w:vAlign w:val="center"/>
          </w:tcPr>
          <w:p>
            <w:pPr>
              <w:jc w:val="center"/>
              <w:rPr>
                <w:noProof/>
                <w:sz w:val="14"/>
              </w:rPr>
            </w:pPr>
            <w:r>
              <w:rPr>
                <w:noProof/>
                <w:sz w:val="14"/>
              </w:rPr>
              <w:t>= 4 + 6</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tcBorders>
              <w:right w:val="single" w:sz="4" w:space="0" w:color="auto"/>
            </w:tcBorders>
            <w:vAlign w:val="center"/>
          </w:tcPr>
          <w:p>
            <w:pPr>
              <w:spacing w:before="20" w:after="20"/>
              <w:jc w:val="right"/>
              <w:rPr>
                <w:b/>
                <w:noProof/>
                <w:sz w:val="20"/>
              </w:rPr>
            </w:pPr>
          </w:p>
        </w:tc>
      </w:tr>
      <w:tr>
        <w:tc>
          <w:tcPr>
            <w:tcW w:w="3960" w:type="dxa"/>
            <w:vMerge/>
            <w:tcBorders>
              <w:top w:val="single" w:sz="4" w:space="0" w:color="FF0000"/>
              <w:left w:val="single" w:sz="4" w:space="0" w:color="auto"/>
              <w:bottom w:val="single" w:sz="4" w:space="0" w:color="FF0000"/>
            </w:tcBorders>
            <w:shd w:val="thinDiagStripe" w:color="C0C0C0" w:fill="auto"/>
          </w:tcPr>
          <w:p>
            <w:pPr>
              <w:rPr>
                <w:noProof/>
                <w:sz w:val="20"/>
              </w:rPr>
            </w:pPr>
          </w:p>
        </w:tc>
        <w:tc>
          <w:tcPr>
            <w:tcW w:w="1440" w:type="dxa"/>
            <w:tcBorders>
              <w:bottom w:val="single" w:sz="4" w:space="0" w:color="FF0000"/>
            </w:tcBorders>
            <w:vAlign w:val="center"/>
          </w:tcPr>
          <w:p>
            <w:pPr>
              <w:rPr>
                <w:noProof/>
                <w:sz w:val="18"/>
              </w:rPr>
            </w:pPr>
            <w:r>
              <w:rPr>
                <w:noProof/>
                <w:sz w:val="18"/>
              </w:rPr>
              <w:t>Platby</w:t>
            </w:r>
          </w:p>
        </w:tc>
        <w:tc>
          <w:tcPr>
            <w:tcW w:w="654" w:type="dxa"/>
            <w:tcBorders>
              <w:bottom w:val="single" w:sz="4" w:space="0" w:color="FF0000"/>
            </w:tcBorders>
            <w:vAlign w:val="center"/>
          </w:tcPr>
          <w:p>
            <w:pPr>
              <w:jc w:val="center"/>
              <w:rPr>
                <w:noProof/>
                <w:sz w:val="14"/>
              </w:rPr>
            </w:pPr>
            <w:r>
              <w:rPr>
                <w:noProof/>
                <w:sz w:val="14"/>
              </w:rPr>
              <w:t>= 5 + 6</w:t>
            </w:r>
          </w:p>
        </w:tc>
        <w:tc>
          <w:tcPr>
            <w:tcW w:w="868" w:type="dxa"/>
            <w:tcBorders>
              <w:bottom w:val="single" w:sz="4" w:space="0" w:color="FF0000"/>
            </w:tcBorders>
            <w:vAlign w:val="center"/>
          </w:tcPr>
          <w:p>
            <w:pPr>
              <w:spacing w:before="20" w:after="20"/>
              <w:jc w:val="right"/>
              <w:rPr>
                <w:noProof/>
                <w:sz w:val="20"/>
              </w:rPr>
            </w:pPr>
          </w:p>
        </w:tc>
        <w:tc>
          <w:tcPr>
            <w:tcW w:w="868" w:type="dxa"/>
            <w:tcBorders>
              <w:bottom w:val="single" w:sz="4" w:space="0" w:color="FF0000"/>
            </w:tcBorders>
            <w:vAlign w:val="center"/>
          </w:tcPr>
          <w:p>
            <w:pPr>
              <w:spacing w:before="20" w:after="20"/>
              <w:jc w:val="right"/>
              <w:rPr>
                <w:noProof/>
                <w:sz w:val="20"/>
              </w:rPr>
            </w:pPr>
          </w:p>
        </w:tc>
        <w:tc>
          <w:tcPr>
            <w:tcW w:w="868" w:type="dxa"/>
            <w:tcBorders>
              <w:bottom w:val="single" w:sz="4" w:space="0" w:color="FF0000"/>
            </w:tcBorders>
            <w:vAlign w:val="center"/>
          </w:tcPr>
          <w:p>
            <w:pPr>
              <w:spacing w:before="20" w:after="20"/>
              <w:jc w:val="right"/>
              <w:rPr>
                <w:noProof/>
                <w:sz w:val="20"/>
              </w:rPr>
            </w:pPr>
          </w:p>
        </w:tc>
        <w:tc>
          <w:tcPr>
            <w:tcW w:w="868" w:type="dxa"/>
            <w:tcBorders>
              <w:bottom w:val="single" w:sz="4" w:space="0" w:color="FF0000"/>
            </w:tcBorders>
            <w:vAlign w:val="center"/>
          </w:tcPr>
          <w:p>
            <w:pPr>
              <w:spacing w:before="20" w:after="20"/>
              <w:jc w:val="right"/>
              <w:rPr>
                <w:noProof/>
                <w:sz w:val="20"/>
              </w:rPr>
            </w:pPr>
          </w:p>
        </w:tc>
        <w:tc>
          <w:tcPr>
            <w:tcW w:w="868" w:type="dxa"/>
            <w:tcBorders>
              <w:bottom w:val="single" w:sz="4" w:space="0" w:color="FF0000"/>
            </w:tcBorders>
            <w:vAlign w:val="center"/>
          </w:tcPr>
          <w:p>
            <w:pPr>
              <w:spacing w:before="20" w:after="20"/>
              <w:jc w:val="right"/>
              <w:rPr>
                <w:noProof/>
                <w:sz w:val="20"/>
              </w:rPr>
            </w:pPr>
          </w:p>
        </w:tc>
        <w:tc>
          <w:tcPr>
            <w:tcW w:w="868" w:type="dxa"/>
            <w:tcBorders>
              <w:bottom w:val="single" w:sz="4" w:space="0" w:color="FF0000"/>
            </w:tcBorders>
            <w:vAlign w:val="center"/>
          </w:tcPr>
          <w:p>
            <w:pPr>
              <w:spacing w:before="20" w:after="20"/>
              <w:jc w:val="right"/>
              <w:rPr>
                <w:noProof/>
                <w:sz w:val="20"/>
              </w:rPr>
            </w:pPr>
          </w:p>
        </w:tc>
        <w:tc>
          <w:tcPr>
            <w:tcW w:w="868" w:type="dxa"/>
            <w:tcBorders>
              <w:bottom w:val="single" w:sz="4" w:space="0" w:color="FF0000"/>
            </w:tcBorders>
            <w:vAlign w:val="center"/>
          </w:tcPr>
          <w:p>
            <w:pPr>
              <w:spacing w:before="20" w:after="20"/>
              <w:jc w:val="right"/>
              <w:rPr>
                <w:b/>
                <w:noProof/>
                <w:sz w:val="20"/>
              </w:rPr>
            </w:pPr>
          </w:p>
        </w:tc>
        <w:tc>
          <w:tcPr>
            <w:tcW w:w="1777" w:type="dxa"/>
            <w:tcBorders>
              <w:bottom w:val="single" w:sz="4" w:space="0" w:color="FF0000"/>
              <w:right w:val="single" w:sz="4" w:space="0" w:color="auto"/>
            </w:tcBorders>
            <w:vAlign w:val="center"/>
          </w:tcPr>
          <w:p>
            <w:pPr>
              <w:spacing w:before="20" w:after="20"/>
              <w:jc w:val="right"/>
              <w:rPr>
                <w:b/>
                <w:noProof/>
                <w:sz w:val="20"/>
              </w:rPr>
            </w:pPr>
          </w:p>
        </w:tc>
      </w:tr>
    </w:tbl>
    <w:p>
      <w:pPr>
        <w:rPr>
          <w:noProof/>
        </w:rPr>
      </w:pPr>
    </w:p>
    <w:p>
      <w:pPr>
        <w:rPr>
          <w:noProof/>
        </w:rPr>
      </w:pPr>
      <w:r>
        <w:rPr>
          <w:noProof/>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sz w:val="22"/>
              </w:rPr>
            </w:pPr>
            <w:r>
              <w:rPr>
                <w:noProof/>
              </w:rPr>
              <w:br w:type="page"/>
            </w:r>
            <w:r>
              <w:rPr>
                <w:b/>
                <w:noProof/>
                <w:sz w:val="22"/>
              </w:rPr>
              <w:t>Okruh viacročného finančného</w:t>
            </w:r>
            <w:r>
              <w:rPr>
                <w:noProof/>
                <w:sz w:val="22"/>
              </w:rPr>
              <w:br/>
            </w:r>
            <w:r>
              <w:rPr>
                <w:b/>
                <w:noProof/>
                <w:sz w:val="22"/>
              </w:rPr>
              <w:t xml:space="preserve">rámca </w:t>
            </w:r>
          </w:p>
        </w:tc>
        <w:tc>
          <w:tcPr>
            <w:tcW w:w="1080" w:type="dxa"/>
            <w:shd w:val="thinDiagStripe" w:color="C0C0C0" w:fill="auto"/>
            <w:vAlign w:val="center"/>
          </w:tcPr>
          <w:p>
            <w:pPr>
              <w:spacing w:before="60" w:after="60"/>
              <w:jc w:val="center"/>
              <w:rPr>
                <w:noProof/>
                <w:sz w:val="22"/>
              </w:rPr>
            </w:pPr>
            <w:r>
              <w:rPr>
                <w:b/>
                <w:noProof/>
                <w:sz w:val="22"/>
              </w:rPr>
              <w:t>5</w:t>
            </w:r>
          </w:p>
        </w:tc>
        <w:tc>
          <w:tcPr>
            <w:tcW w:w="7817" w:type="dxa"/>
            <w:vAlign w:val="center"/>
          </w:tcPr>
          <w:p>
            <w:pPr>
              <w:spacing w:before="60" w:after="60"/>
              <w:rPr>
                <w:noProof/>
                <w:sz w:val="22"/>
              </w:rPr>
            </w:pPr>
            <w:r>
              <w:rPr>
                <w:noProof/>
                <w:sz w:val="22"/>
              </w:rPr>
              <w:t>„Administratívne výdavky“</w:t>
            </w:r>
          </w:p>
        </w:tc>
      </w:tr>
    </w:tbl>
    <w:p>
      <w:pPr>
        <w:jc w:val="right"/>
        <w:rPr>
          <w:noProof/>
          <w:sz w:val="20"/>
        </w:rPr>
      </w:pPr>
      <w:r>
        <w:rPr>
          <w:noProof/>
          <w:sz w:val="20"/>
        </w:rPr>
        <w:t>v mil. EUR (zaokrúhlené na tri desatinné miesta)</w:t>
      </w:r>
    </w:p>
    <w:tbl>
      <w:tblPr>
        <w:tblW w:w="142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707"/>
        <w:gridCol w:w="161"/>
        <w:gridCol w:w="868"/>
        <w:gridCol w:w="674"/>
        <w:gridCol w:w="840"/>
        <w:gridCol w:w="3240"/>
      </w:tblGrid>
      <w:tr>
        <w:tc>
          <w:tcPr>
            <w:tcW w:w="3960" w:type="dxa"/>
            <w:tcBorders>
              <w:top w:val="nil"/>
              <w:left w:val="nil"/>
              <w:right w:val="nil"/>
            </w:tcBorders>
            <w:vAlign w:val="center"/>
          </w:tcPr>
          <w:p>
            <w:pPr>
              <w:jc w:val="center"/>
              <w:rPr>
                <w:noProof/>
                <w:sz w:val="22"/>
              </w:rPr>
            </w:pPr>
          </w:p>
        </w:tc>
        <w:tc>
          <w:tcPr>
            <w:tcW w:w="1560" w:type="dxa"/>
            <w:tcBorders>
              <w:top w:val="nil"/>
              <w:left w:val="nil"/>
              <w:right w:val="nil"/>
            </w:tcBorders>
          </w:tcPr>
          <w:p>
            <w:pPr>
              <w:rPr>
                <w:noProof/>
                <w:sz w:val="20"/>
              </w:rPr>
            </w:pPr>
          </w:p>
        </w:tc>
        <w:tc>
          <w:tcPr>
            <w:tcW w:w="534" w:type="dxa"/>
            <w:tcBorders>
              <w:top w:val="nil"/>
              <w:left w:val="nil"/>
            </w:tcBorders>
          </w:tcPr>
          <w:p>
            <w:pPr>
              <w:jc w:val="center"/>
              <w:rPr>
                <w:noProof/>
                <w:sz w:val="20"/>
              </w:rPr>
            </w:pPr>
          </w:p>
        </w:tc>
        <w:tc>
          <w:tcPr>
            <w:tcW w:w="868" w:type="dxa"/>
            <w:vAlign w:val="center"/>
          </w:tcPr>
          <w:p>
            <w:pPr>
              <w:jc w:val="center"/>
              <w:rPr>
                <w:noProof/>
                <w:sz w:val="20"/>
              </w:rPr>
            </w:pPr>
            <w:r>
              <w:rPr>
                <w:noProof/>
              </w:rPr>
              <w:t>Rok</w:t>
            </w:r>
            <w:r>
              <w:rPr>
                <w:noProof/>
              </w:rPr>
              <w:br/>
            </w:r>
            <w:r>
              <w:rPr>
                <w:b/>
                <w:noProof/>
                <w:sz w:val="20"/>
              </w:rPr>
              <w:t>2019</w:t>
            </w:r>
          </w:p>
        </w:tc>
        <w:tc>
          <w:tcPr>
            <w:tcW w:w="868" w:type="dxa"/>
            <w:vAlign w:val="center"/>
          </w:tcPr>
          <w:p>
            <w:pPr>
              <w:jc w:val="center"/>
              <w:rPr>
                <w:noProof/>
                <w:sz w:val="20"/>
              </w:rPr>
            </w:pPr>
            <w:r>
              <w:rPr>
                <w:noProof/>
              </w:rPr>
              <w:t>Rok</w:t>
            </w:r>
            <w:r>
              <w:rPr>
                <w:noProof/>
              </w:rPr>
              <w:br/>
            </w:r>
            <w:r>
              <w:rPr>
                <w:b/>
                <w:noProof/>
                <w:sz w:val="20"/>
              </w:rPr>
              <w:t>2020</w:t>
            </w:r>
          </w:p>
        </w:tc>
        <w:tc>
          <w:tcPr>
            <w:tcW w:w="868" w:type="dxa"/>
            <w:gridSpan w:val="2"/>
            <w:vAlign w:val="center"/>
          </w:tcPr>
          <w:p>
            <w:pPr>
              <w:jc w:val="center"/>
              <w:rPr>
                <w:noProof/>
                <w:sz w:val="20"/>
              </w:rPr>
            </w:pPr>
            <w:r>
              <w:rPr>
                <w:noProof/>
              </w:rPr>
              <w:t>Rok</w:t>
            </w:r>
            <w:r>
              <w:rPr>
                <w:noProof/>
              </w:rPr>
              <w:br/>
            </w:r>
            <w:r>
              <w:rPr>
                <w:b/>
                <w:noProof/>
                <w:sz w:val="20"/>
              </w:rPr>
              <w:t>2021</w:t>
            </w:r>
          </w:p>
        </w:tc>
        <w:tc>
          <w:tcPr>
            <w:tcW w:w="868" w:type="dxa"/>
            <w:vAlign w:val="center"/>
          </w:tcPr>
          <w:p>
            <w:pPr>
              <w:jc w:val="center"/>
              <w:rPr>
                <w:noProof/>
                <w:sz w:val="20"/>
              </w:rPr>
            </w:pPr>
            <w:r>
              <w:rPr>
                <w:noProof/>
              </w:rPr>
              <w:t>Rok</w:t>
            </w:r>
            <w:r>
              <w:rPr>
                <w:noProof/>
              </w:rPr>
              <w:br/>
            </w:r>
            <w:r>
              <w:rPr>
                <w:b/>
                <w:noProof/>
                <w:sz w:val="20"/>
              </w:rPr>
              <w:t>2022</w:t>
            </w:r>
          </w:p>
        </w:tc>
        <w:tc>
          <w:tcPr>
            <w:tcW w:w="674" w:type="dxa"/>
          </w:tcPr>
          <w:p>
            <w:pPr>
              <w:jc w:val="center"/>
              <w:rPr>
                <w:b/>
                <w:noProof/>
                <w:sz w:val="20"/>
              </w:rPr>
            </w:pPr>
            <w:r>
              <w:rPr>
                <w:noProof/>
                <w:sz w:val="20"/>
              </w:rPr>
              <w:t xml:space="preserve">Rok </w:t>
            </w:r>
            <w:r>
              <w:rPr>
                <w:b/>
                <w:noProof/>
                <w:sz w:val="20"/>
              </w:rPr>
              <w:t>2023</w:t>
            </w:r>
          </w:p>
        </w:tc>
        <w:tc>
          <w:tcPr>
            <w:tcW w:w="840" w:type="dxa"/>
          </w:tcPr>
          <w:p>
            <w:pPr>
              <w:jc w:val="center"/>
              <w:rPr>
                <w:b/>
                <w:noProof/>
                <w:sz w:val="20"/>
              </w:rPr>
            </w:pPr>
            <w:r>
              <w:rPr>
                <w:noProof/>
                <w:sz w:val="20"/>
              </w:rPr>
              <w:t xml:space="preserve">Rok </w:t>
            </w:r>
            <w:r>
              <w:rPr>
                <w:b/>
                <w:noProof/>
                <w:sz w:val="20"/>
              </w:rPr>
              <w:t>2024</w:t>
            </w:r>
          </w:p>
        </w:tc>
        <w:tc>
          <w:tcPr>
            <w:tcW w:w="3240" w:type="dxa"/>
            <w:vAlign w:val="center"/>
          </w:tcPr>
          <w:p>
            <w:pPr>
              <w:jc w:val="center"/>
              <w:rPr>
                <w:b/>
                <w:noProof/>
                <w:sz w:val="20"/>
              </w:rPr>
            </w:pPr>
            <w:r>
              <w:rPr>
                <w:b/>
                <w:noProof/>
                <w:sz w:val="20"/>
              </w:rPr>
              <w:t>SPOLU</w:t>
            </w:r>
          </w:p>
        </w:tc>
      </w:tr>
      <w:tr>
        <w:trPr>
          <w:gridAfter w:val="5"/>
          <w:wAfter w:w="5783" w:type="dxa"/>
        </w:trPr>
        <w:tc>
          <w:tcPr>
            <w:tcW w:w="3960" w:type="dxa"/>
            <w:vAlign w:val="center"/>
          </w:tcPr>
          <w:p>
            <w:pPr>
              <w:spacing w:before="60" w:after="60"/>
              <w:jc w:val="center"/>
              <w:rPr>
                <w:noProof/>
                <w:sz w:val="22"/>
              </w:rPr>
            </w:pPr>
            <w:r>
              <w:rPr>
                <w:noProof/>
                <w:sz w:val="22"/>
              </w:rPr>
              <w:t>GR: RTD</w:t>
            </w:r>
          </w:p>
        </w:tc>
        <w:tc>
          <w:tcPr>
            <w:tcW w:w="4537" w:type="dxa"/>
            <w:gridSpan w:val="5"/>
            <w:tcBorders>
              <w:right w:val="nil"/>
            </w:tcBorders>
          </w:tcPr>
          <w:p>
            <w:pPr>
              <w:spacing w:before="60" w:after="60"/>
              <w:jc w:val="center"/>
              <w:rPr>
                <w:noProof/>
                <w:sz w:val="22"/>
              </w:rPr>
            </w:pPr>
          </w:p>
        </w:tc>
      </w:tr>
      <w:tr>
        <w:trPr>
          <w:trHeight w:val="313"/>
        </w:trPr>
        <w:tc>
          <w:tcPr>
            <w:tcW w:w="6054" w:type="dxa"/>
            <w:gridSpan w:val="3"/>
            <w:vAlign w:val="center"/>
          </w:tcPr>
          <w:p>
            <w:pPr>
              <w:spacing w:before="20" w:after="20"/>
              <w:rPr>
                <w:noProof/>
                <w:sz w:val="22"/>
              </w:rPr>
            </w:pPr>
            <w:r>
              <w:rPr>
                <w:noProof/>
                <w:sz w:val="22"/>
              </w:rPr>
              <w:sym w:font="Wingdings" w:char="F09F"/>
            </w:r>
            <w:r>
              <w:rPr>
                <w:noProof/>
              </w:rPr>
              <w:t xml:space="preserve"> Ľudské zdroje</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gridSpan w:val="2"/>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674" w:type="dxa"/>
          </w:tcPr>
          <w:p>
            <w:pPr>
              <w:spacing w:before="20" w:after="20"/>
              <w:jc w:val="right"/>
              <w:rPr>
                <w:b/>
                <w:noProof/>
                <w:sz w:val="20"/>
              </w:rPr>
            </w:pPr>
          </w:p>
        </w:tc>
        <w:tc>
          <w:tcPr>
            <w:tcW w:w="840" w:type="dxa"/>
          </w:tcPr>
          <w:p>
            <w:pPr>
              <w:spacing w:before="20" w:after="20"/>
              <w:jc w:val="right"/>
              <w:rPr>
                <w:b/>
                <w:noProof/>
                <w:sz w:val="20"/>
              </w:rPr>
            </w:pPr>
          </w:p>
        </w:tc>
        <w:tc>
          <w:tcPr>
            <w:tcW w:w="3240" w:type="dxa"/>
            <w:vAlign w:val="center"/>
          </w:tcPr>
          <w:p>
            <w:pPr>
              <w:spacing w:before="20" w:after="20"/>
              <w:jc w:val="right"/>
              <w:rPr>
                <w:b/>
                <w:noProof/>
                <w:sz w:val="20"/>
              </w:rPr>
            </w:pPr>
          </w:p>
        </w:tc>
      </w:tr>
      <w:tr>
        <w:trPr>
          <w:trHeight w:val="351"/>
        </w:trPr>
        <w:tc>
          <w:tcPr>
            <w:tcW w:w="6054" w:type="dxa"/>
            <w:gridSpan w:val="3"/>
            <w:vAlign w:val="center"/>
          </w:tcPr>
          <w:p>
            <w:pPr>
              <w:spacing w:before="20" w:after="20"/>
              <w:rPr>
                <w:noProof/>
                <w:sz w:val="22"/>
              </w:rPr>
            </w:pPr>
            <w:r>
              <w:rPr>
                <w:noProof/>
                <w:sz w:val="22"/>
              </w:rPr>
              <w:sym w:font="Wingdings" w:char="F09F"/>
            </w:r>
            <w:r>
              <w:rPr>
                <w:noProof/>
              </w:rPr>
              <w:t xml:space="preserve"> </w:t>
            </w:r>
            <w:r>
              <w:rPr>
                <w:noProof/>
                <w:sz w:val="22"/>
              </w:rPr>
              <w:t xml:space="preserve">Ostatné administratívne výdavky </w:t>
            </w: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gridSpan w:val="2"/>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674" w:type="dxa"/>
            <w:vAlign w:val="center"/>
          </w:tcPr>
          <w:p>
            <w:pPr>
              <w:spacing w:before="20" w:after="20"/>
              <w:jc w:val="center"/>
              <w:rPr>
                <w:b/>
                <w:noProof/>
                <w:sz w:val="20"/>
              </w:rPr>
            </w:pPr>
          </w:p>
        </w:tc>
        <w:tc>
          <w:tcPr>
            <w:tcW w:w="840" w:type="dxa"/>
            <w:vAlign w:val="center"/>
          </w:tcPr>
          <w:p>
            <w:pPr>
              <w:spacing w:before="20" w:after="20"/>
              <w:jc w:val="center"/>
              <w:rPr>
                <w:b/>
                <w:noProof/>
                <w:sz w:val="20"/>
              </w:rPr>
            </w:pPr>
          </w:p>
        </w:tc>
        <w:tc>
          <w:tcPr>
            <w:tcW w:w="3240" w:type="dxa"/>
            <w:vAlign w:val="center"/>
          </w:tcPr>
          <w:p>
            <w:pPr>
              <w:spacing w:before="20" w:after="20"/>
              <w:jc w:val="right"/>
              <w:rPr>
                <w:b/>
                <w:noProof/>
                <w:sz w:val="20"/>
              </w:rPr>
            </w:pPr>
          </w:p>
        </w:tc>
      </w:tr>
      <w:tr>
        <w:tc>
          <w:tcPr>
            <w:tcW w:w="3960" w:type="dxa"/>
            <w:vAlign w:val="center"/>
          </w:tcPr>
          <w:p>
            <w:pPr>
              <w:jc w:val="center"/>
              <w:rPr>
                <w:b/>
                <w:noProof/>
                <w:sz w:val="22"/>
              </w:rPr>
            </w:pPr>
            <w:r>
              <w:rPr>
                <w:b/>
                <w:noProof/>
                <w:sz w:val="22"/>
              </w:rPr>
              <w:t>GR RTD SPOLU</w:t>
            </w:r>
          </w:p>
        </w:tc>
        <w:tc>
          <w:tcPr>
            <w:tcW w:w="2094" w:type="dxa"/>
            <w:gridSpan w:val="2"/>
            <w:vAlign w:val="center"/>
          </w:tcPr>
          <w:p>
            <w:pPr>
              <w:rPr>
                <w:noProof/>
                <w:sz w:val="14"/>
              </w:rPr>
            </w:pPr>
            <w:r>
              <w:rPr>
                <w:noProof/>
                <w:sz w:val="18"/>
              </w:rPr>
              <w:t xml:space="preserve">Rozpočtové prostriedky </w:t>
            </w: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gridSpan w:val="2"/>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674" w:type="dxa"/>
            <w:vAlign w:val="center"/>
          </w:tcPr>
          <w:p>
            <w:pPr>
              <w:spacing w:before="20" w:after="20"/>
              <w:jc w:val="center"/>
              <w:rPr>
                <w:b/>
                <w:noProof/>
                <w:sz w:val="20"/>
              </w:rPr>
            </w:pPr>
          </w:p>
        </w:tc>
        <w:tc>
          <w:tcPr>
            <w:tcW w:w="840" w:type="dxa"/>
            <w:vAlign w:val="center"/>
          </w:tcPr>
          <w:p>
            <w:pPr>
              <w:spacing w:before="20" w:after="20"/>
              <w:jc w:val="center"/>
              <w:rPr>
                <w:b/>
                <w:noProof/>
                <w:sz w:val="20"/>
              </w:rPr>
            </w:pPr>
          </w:p>
        </w:tc>
        <w:tc>
          <w:tcPr>
            <w:tcW w:w="3240" w:type="dxa"/>
            <w:vAlign w:val="center"/>
          </w:tcPr>
          <w:p>
            <w:pPr>
              <w:spacing w:before="20" w:after="20"/>
              <w:jc w:val="right"/>
              <w:rPr>
                <w:b/>
                <w:noProof/>
                <w:sz w:val="20"/>
              </w:rPr>
            </w:pPr>
          </w:p>
        </w:tc>
      </w:tr>
    </w:tbl>
    <w:p>
      <w:pPr>
        <w:rPr>
          <w:noProof/>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2094"/>
        <w:gridCol w:w="868"/>
        <w:gridCol w:w="868"/>
        <w:gridCol w:w="868"/>
        <w:gridCol w:w="868"/>
        <w:gridCol w:w="674"/>
        <w:gridCol w:w="840"/>
        <w:gridCol w:w="3240"/>
      </w:tblGrid>
      <w:tr>
        <w:tc>
          <w:tcPr>
            <w:tcW w:w="3960" w:type="dxa"/>
            <w:shd w:val="thinDiagStripe" w:color="C0C0C0" w:fill="auto"/>
            <w:vAlign w:val="center"/>
          </w:tcPr>
          <w:p>
            <w:pPr>
              <w:jc w:val="center"/>
              <w:rPr>
                <w:b/>
                <w:noProof/>
                <w:sz w:val="22"/>
              </w:rPr>
            </w:pPr>
            <w:r>
              <w:rPr>
                <w:b/>
                <w:noProof/>
                <w:sz w:val="22"/>
              </w:rPr>
              <w:t>Rozpočtové prostriedky</w:t>
            </w:r>
            <w:r>
              <w:rPr>
                <w:noProof/>
                <w:sz w:val="22"/>
              </w:rPr>
              <w:br/>
            </w:r>
            <w:r>
              <w:rPr>
                <w:b/>
                <w:noProof/>
                <w:sz w:val="22"/>
              </w:rPr>
              <w:t>OKRUHU 5</w:t>
            </w:r>
            <w:r>
              <w:rPr>
                <w:noProof/>
                <w:sz w:val="22"/>
              </w:rPr>
              <w:br/>
              <w:t>viacročného finančného rámca</w:t>
            </w:r>
            <w:r>
              <w:rPr>
                <w:b/>
                <w:noProof/>
                <w:sz w:val="22"/>
              </w:rPr>
              <w:t xml:space="preserve"> </w:t>
            </w:r>
          </w:p>
        </w:tc>
        <w:tc>
          <w:tcPr>
            <w:tcW w:w="2094" w:type="dxa"/>
            <w:vAlign w:val="center"/>
          </w:tcPr>
          <w:p>
            <w:pPr>
              <w:spacing w:before="40" w:after="40"/>
              <w:rPr>
                <w:noProof/>
                <w:sz w:val="22"/>
              </w:rPr>
            </w:pPr>
            <w:r>
              <w:rPr>
                <w:noProof/>
                <w:sz w:val="18"/>
              </w:rPr>
              <w:t>(Záväzky spolu = Platby spolu)</w:t>
            </w: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674" w:type="dxa"/>
            <w:vAlign w:val="center"/>
          </w:tcPr>
          <w:p>
            <w:pPr>
              <w:spacing w:before="20" w:after="20"/>
              <w:jc w:val="center"/>
              <w:rPr>
                <w:b/>
                <w:noProof/>
                <w:sz w:val="20"/>
              </w:rPr>
            </w:pPr>
          </w:p>
        </w:tc>
        <w:tc>
          <w:tcPr>
            <w:tcW w:w="840" w:type="dxa"/>
            <w:vAlign w:val="center"/>
          </w:tcPr>
          <w:p>
            <w:pPr>
              <w:spacing w:before="20" w:after="20"/>
              <w:jc w:val="center"/>
              <w:rPr>
                <w:b/>
                <w:noProof/>
                <w:sz w:val="20"/>
              </w:rPr>
            </w:pPr>
          </w:p>
        </w:tc>
        <w:tc>
          <w:tcPr>
            <w:tcW w:w="3240" w:type="dxa"/>
            <w:vAlign w:val="center"/>
          </w:tcPr>
          <w:p>
            <w:pPr>
              <w:spacing w:before="20" w:after="20"/>
              <w:jc w:val="right"/>
              <w:rPr>
                <w:b/>
                <w:noProof/>
                <w:sz w:val="20"/>
              </w:rPr>
            </w:pPr>
          </w:p>
        </w:tc>
      </w:tr>
    </w:tbl>
    <w:p>
      <w:pPr>
        <w:jc w:val="right"/>
        <w:rPr>
          <w:noProof/>
          <w:sz w:val="20"/>
        </w:rPr>
      </w:pPr>
      <w:r>
        <w:rPr>
          <w:noProof/>
          <w:sz w:val="20"/>
        </w:rPr>
        <w:t>v mil. EUR (zaokrúhlené na tri desatinné miesta)</w:t>
      </w:r>
    </w:p>
    <w:tbl>
      <w:tblPr>
        <w:tblW w:w="142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27"/>
        <w:gridCol w:w="909"/>
        <w:gridCol w:w="868"/>
        <w:gridCol w:w="868"/>
        <w:gridCol w:w="899"/>
        <w:gridCol w:w="850"/>
        <w:gridCol w:w="3005"/>
      </w:tblGrid>
      <w:tr>
        <w:tc>
          <w:tcPr>
            <w:tcW w:w="3960" w:type="dxa"/>
            <w:tcBorders>
              <w:top w:val="nil"/>
              <w:left w:val="nil"/>
              <w:right w:val="nil"/>
            </w:tcBorders>
            <w:vAlign w:val="center"/>
          </w:tcPr>
          <w:p>
            <w:pPr>
              <w:jc w:val="center"/>
              <w:rPr>
                <w:noProof/>
                <w:sz w:val="22"/>
              </w:rPr>
            </w:pPr>
          </w:p>
        </w:tc>
        <w:tc>
          <w:tcPr>
            <w:tcW w:w="1560" w:type="dxa"/>
            <w:tcBorders>
              <w:top w:val="nil"/>
              <w:left w:val="nil"/>
              <w:right w:val="nil"/>
            </w:tcBorders>
          </w:tcPr>
          <w:p>
            <w:pPr>
              <w:rPr>
                <w:noProof/>
                <w:sz w:val="20"/>
              </w:rPr>
            </w:pPr>
          </w:p>
        </w:tc>
        <w:tc>
          <w:tcPr>
            <w:tcW w:w="534" w:type="dxa"/>
            <w:tcBorders>
              <w:top w:val="nil"/>
              <w:left w:val="nil"/>
            </w:tcBorders>
          </w:tcPr>
          <w:p>
            <w:pPr>
              <w:jc w:val="center"/>
              <w:rPr>
                <w:noProof/>
                <w:sz w:val="20"/>
              </w:rPr>
            </w:pPr>
          </w:p>
        </w:tc>
        <w:tc>
          <w:tcPr>
            <w:tcW w:w="827" w:type="dxa"/>
            <w:vAlign w:val="center"/>
          </w:tcPr>
          <w:p>
            <w:pPr>
              <w:jc w:val="center"/>
              <w:rPr>
                <w:noProof/>
                <w:sz w:val="20"/>
              </w:rPr>
            </w:pPr>
            <w:r>
              <w:rPr>
                <w:noProof/>
              </w:rPr>
              <w:t>Rok</w:t>
            </w:r>
            <w:r>
              <w:rPr>
                <w:noProof/>
              </w:rPr>
              <w:br/>
            </w:r>
            <w:r>
              <w:rPr>
                <w:b/>
                <w:noProof/>
                <w:sz w:val="20"/>
              </w:rPr>
              <w:t>2019</w:t>
            </w:r>
            <w:r>
              <w:rPr>
                <w:rStyle w:val="FootnoteReference"/>
                <w:b/>
                <w:noProof/>
                <w:sz w:val="20"/>
              </w:rPr>
              <w:footnoteReference w:id="20"/>
            </w:r>
          </w:p>
        </w:tc>
        <w:tc>
          <w:tcPr>
            <w:tcW w:w="909" w:type="dxa"/>
            <w:vAlign w:val="center"/>
          </w:tcPr>
          <w:p>
            <w:pPr>
              <w:jc w:val="center"/>
              <w:rPr>
                <w:noProof/>
                <w:sz w:val="20"/>
              </w:rPr>
            </w:pPr>
            <w:r>
              <w:rPr>
                <w:noProof/>
              </w:rPr>
              <w:t>Rok</w:t>
            </w:r>
            <w:r>
              <w:rPr>
                <w:noProof/>
              </w:rPr>
              <w:br/>
            </w:r>
            <w:r>
              <w:rPr>
                <w:b/>
                <w:noProof/>
                <w:sz w:val="20"/>
              </w:rPr>
              <w:t>2020</w:t>
            </w:r>
          </w:p>
        </w:tc>
        <w:tc>
          <w:tcPr>
            <w:tcW w:w="868" w:type="dxa"/>
            <w:vAlign w:val="center"/>
          </w:tcPr>
          <w:p>
            <w:pPr>
              <w:jc w:val="center"/>
              <w:rPr>
                <w:noProof/>
                <w:sz w:val="20"/>
              </w:rPr>
            </w:pPr>
            <w:r>
              <w:rPr>
                <w:noProof/>
              </w:rPr>
              <w:t>Rok</w:t>
            </w:r>
            <w:r>
              <w:rPr>
                <w:noProof/>
              </w:rPr>
              <w:br/>
            </w:r>
            <w:r>
              <w:rPr>
                <w:b/>
                <w:noProof/>
                <w:sz w:val="20"/>
              </w:rPr>
              <w:t>2021</w:t>
            </w:r>
          </w:p>
        </w:tc>
        <w:tc>
          <w:tcPr>
            <w:tcW w:w="868" w:type="dxa"/>
            <w:vAlign w:val="center"/>
          </w:tcPr>
          <w:p>
            <w:pPr>
              <w:jc w:val="center"/>
              <w:rPr>
                <w:noProof/>
                <w:sz w:val="20"/>
              </w:rPr>
            </w:pPr>
            <w:r>
              <w:rPr>
                <w:noProof/>
              </w:rPr>
              <w:t>Rok</w:t>
            </w:r>
            <w:r>
              <w:rPr>
                <w:noProof/>
              </w:rPr>
              <w:br/>
            </w:r>
            <w:r>
              <w:rPr>
                <w:b/>
                <w:noProof/>
                <w:sz w:val="20"/>
              </w:rPr>
              <w:t>2022</w:t>
            </w:r>
          </w:p>
        </w:tc>
        <w:tc>
          <w:tcPr>
            <w:tcW w:w="899" w:type="dxa"/>
          </w:tcPr>
          <w:p>
            <w:pPr>
              <w:jc w:val="center"/>
              <w:rPr>
                <w:b/>
                <w:noProof/>
                <w:sz w:val="20"/>
              </w:rPr>
            </w:pPr>
            <w:r>
              <w:rPr>
                <w:noProof/>
              </w:rPr>
              <w:t>Rok</w:t>
            </w:r>
            <w:r>
              <w:rPr>
                <w:noProof/>
              </w:rPr>
              <w:br/>
            </w:r>
            <w:r>
              <w:rPr>
                <w:b/>
                <w:noProof/>
                <w:sz w:val="20"/>
              </w:rPr>
              <w:t>2023</w:t>
            </w:r>
          </w:p>
        </w:tc>
        <w:tc>
          <w:tcPr>
            <w:tcW w:w="850" w:type="dxa"/>
          </w:tcPr>
          <w:p>
            <w:pPr>
              <w:jc w:val="center"/>
              <w:rPr>
                <w:b/>
                <w:noProof/>
                <w:sz w:val="20"/>
              </w:rPr>
            </w:pPr>
            <w:r>
              <w:rPr>
                <w:noProof/>
              </w:rPr>
              <w:t>Rok</w:t>
            </w:r>
            <w:r>
              <w:rPr>
                <w:noProof/>
              </w:rPr>
              <w:br/>
            </w:r>
            <w:r>
              <w:rPr>
                <w:b/>
                <w:noProof/>
                <w:sz w:val="20"/>
              </w:rPr>
              <w:t>2024</w:t>
            </w:r>
          </w:p>
        </w:tc>
        <w:tc>
          <w:tcPr>
            <w:tcW w:w="3005" w:type="dxa"/>
            <w:vAlign w:val="center"/>
          </w:tcPr>
          <w:p>
            <w:pPr>
              <w:jc w:val="center"/>
              <w:rPr>
                <w:b/>
                <w:noProof/>
                <w:sz w:val="20"/>
              </w:rPr>
            </w:pPr>
            <w:r>
              <w:rPr>
                <w:b/>
                <w:noProof/>
                <w:sz w:val="20"/>
              </w:rPr>
              <w:t>SPOLU</w:t>
            </w:r>
          </w:p>
        </w:tc>
      </w:tr>
      <w:tr>
        <w:tc>
          <w:tcPr>
            <w:tcW w:w="3960" w:type="dxa"/>
            <w:vMerge w:val="restart"/>
            <w:shd w:val="clear" w:color="auto" w:fill="C0C0C0"/>
            <w:vAlign w:val="center"/>
          </w:tcPr>
          <w:p>
            <w:pPr>
              <w:jc w:val="center"/>
              <w:rPr>
                <w:b/>
                <w:noProof/>
                <w:sz w:val="22"/>
              </w:rPr>
            </w:pPr>
            <w:r>
              <w:rPr>
                <w:b/>
                <w:noProof/>
                <w:sz w:val="22"/>
              </w:rPr>
              <w:t>Rozpočtové prostriedky</w:t>
            </w:r>
            <w:r>
              <w:rPr>
                <w:noProof/>
                <w:sz w:val="22"/>
              </w:rPr>
              <w:br/>
            </w:r>
            <w:r>
              <w:rPr>
                <w:b/>
                <w:noProof/>
                <w:sz w:val="22"/>
              </w:rPr>
              <w:t>OKRUHOV 1 až 5</w:t>
            </w:r>
            <w:r>
              <w:rPr>
                <w:noProof/>
                <w:sz w:val="22"/>
              </w:rPr>
              <w:br/>
              <w:t>viacročného finančného rámca</w:t>
            </w:r>
            <w:r>
              <w:rPr>
                <w:b/>
                <w:noProof/>
                <w:sz w:val="22"/>
              </w:rPr>
              <w:t xml:space="preserve"> </w:t>
            </w:r>
          </w:p>
        </w:tc>
        <w:tc>
          <w:tcPr>
            <w:tcW w:w="2094" w:type="dxa"/>
            <w:gridSpan w:val="2"/>
            <w:vAlign w:val="center"/>
          </w:tcPr>
          <w:p>
            <w:pPr>
              <w:rPr>
                <w:noProof/>
                <w:sz w:val="14"/>
              </w:rPr>
            </w:pPr>
            <w:r>
              <w:rPr>
                <w:noProof/>
                <w:sz w:val="18"/>
              </w:rPr>
              <w:t>Záväzky</w:t>
            </w:r>
          </w:p>
        </w:tc>
        <w:tc>
          <w:tcPr>
            <w:tcW w:w="827" w:type="dxa"/>
            <w:vAlign w:val="center"/>
          </w:tcPr>
          <w:p>
            <w:pPr>
              <w:spacing w:before="60" w:after="60"/>
              <w:jc w:val="right"/>
              <w:rPr>
                <w:b/>
                <w:noProof/>
                <w:sz w:val="20"/>
              </w:rPr>
            </w:pPr>
            <w:r>
              <w:rPr>
                <w:b/>
                <w:noProof/>
                <w:sz w:val="20"/>
              </w:rPr>
              <w:t>0,06</w:t>
            </w:r>
          </w:p>
        </w:tc>
        <w:tc>
          <w:tcPr>
            <w:tcW w:w="909" w:type="dxa"/>
            <w:vAlign w:val="center"/>
          </w:tcPr>
          <w:p>
            <w:pPr>
              <w:spacing w:before="60" w:after="60"/>
              <w:jc w:val="right"/>
              <w:rPr>
                <w:b/>
                <w:noProof/>
                <w:sz w:val="20"/>
              </w:rPr>
            </w:pPr>
            <w:r>
              <w:rPr>
                <w:b/>
                <w:noProof/>
                <w:sz w:val="20"/>
              </w:rPr>
              <w:t>0,072</w:t>
            </w:r>
          </w:p>
        </w:tc>
        <w:tc>
          <w:tcPr>
            <w:tcW w:w="868" w:type="dxa"/>
            <w:vAlign w:val="center"/>
          </w:tcPr>
          <w:p>
            <w:pPr>
              <w:spacing w:before="60" w:after="60"/>
              <w:jc w:val="right"/>
              <w:rPr>
                <w:b/>
                <w:noProof/>
                <w:sz w:val="20"/>
              </w:rPr>
            </w:pPr>
            <w:r>
              <w:rPr>
                <w:b/>
                <w:noProof/>
                <w:sz w:val="20"/>
              </w:rPr>
              <w:t>0,072</w:t>
            </w:r>
          </w:p>
        </w:tc>
        <w:tc>
          <w:tcPr>
            <w:tcW w:w="868" w:type="dxa"/>
            <w:vAlign w:val="center"/>
          </w:tcPr>
          <w:p>
            <w:pPr>
              <w:spacing w:before="60" w:after="60"/>
              <w:jc w:val="right"/>
              <w:rPr>
                <w:b/>
                <w:noProof/>
                <w:sz w:val="20"/>
              </w:rPr>
            </w:pPr>
            <w:r>
              <w:rPr>
                <w:b/>
                <w:noProof/>
                <w:sz w:val="20"/>
              </w:rPr>
              <w:t>0,072</w:t>
            </w:r>
          </w:p>
        </w:tc>
        <w:tc>
          <w:tcPr>
            <w:tcW w:w="899" w:type="dxa"/>
            <w:vAlign w:val="center"/>
          </w:tcPr>
          <w:p>
            <w:pPr>
              <w:spacing w:before="60" w:after="60"/>
              <w:jc w:val="right"/>
              <w:rPr>
                <w:b/>
                <w:noProof/>
                <w:sz w:val="20"/>
              </w:rPr>
            </w:pPr>
            <w:r>
              <w:rPr>
                <w:b/>
                <w:noProof/>
                <w:sz w:val="20"/>
              </w:rPr>
              <w:t>0,072</w:t>
            </w:r>
          </w:p>
        </w:tc>
        <w:tc>
          <w:tcPr>
            <w:tcW w:w="850" w:type="dxa"/>
            <w:vAlign w:val="center"/>
          </w:tcPr>
          <w:p>
            <w:pPr>
              <w:spacing w:before="60" w:after="60"/>
              <w:jc w:val="right"/>
              <w:rPr>
                <w:b/>
                <w:noProof/>
                <w:sz w:val="20"/>
              </w:rPr>
            </w:pPr>
            <w:r>
              <w:rPr>
                <w:b/>
                <w:noProof/>
                <w:sz w:val="20"/>
              </w:rPr>
              <w:t>0,012</w:t>
            </w:r>
          </w:p>
        </w:tc>
        <w:tc>
          <w:tcPr>
            <w:tcW w:w="3005" w:type="dxa"/>
            <w:vAlign w:val="center"/>
          </w:tcPr>
          <w:p>
            <w:pPr>
              <w:spacing w:before="60" w:after="60"/>
              <w:jc w:val="right"/>
              <w:rPr>
                <w:b/>
                <w:noProof/>
                <w:sz w:val="20"/>
              </w:rPr>
            </w:pPr>
            <w:r>
              <w:rPr>
                <w:b/>
                <w:noProof/>
                <w:sz w:val="20"/>
              </w:rPr>
              <w:t>0,360</w:t>
            </w:r>
          </w:p>
        </w:tc>
      </w:tr>
      <w:tr>
        <w:tc>
          <w:tcPr>
            <w:tcW w:w="3960" w:type="dxa"/>
            <w:vMerge/>
            <w:shd w:val="clear" w:color="auto" w:fill="C0C0C0"/>
          </w:tcPr>
          <w:p>
            <w:pPr>
              <w:rPr>
                <w:noProof/>
                <w:sz w:val="20"/>
              </w:rPr>
            </w:pPr>
          </w:p>
        </w:tc>
        <w:tc>
          <w:tcPr>
            <w:tcW w:w="2094" w:type="dxa"/>
            <w:gridSpan w:val="2"/>
            <w:vAlign w:val="center"/>
          </w:tcPr>
          <w:p>
            <w:pPr>
              <w:rPr>
                <w:noProof/>
                <w:sz w:val="14"/>
              </w:rPr>
            </w:pPr>
            <w:r>
              <w:rPr>
                <w:noProof/>
                <w:sz w:val="18"/>
              </w:rPr>
              <w:t>Platby</w:t>
            </w:r>
          </w:p>
        </w:tc>
        <w:tc>
          <w:tcPr>
            <w:tcW w:w="827" w:type="dxa"/>
            <w:vAlign w:val="center"/>
          </w:tcPr>
          <w:p>
            <w:pPr>
              <w:spacing w:before="60" w:after="60"/>
              <w:jc w:val="right"/>
              <w:rPr>
                <w:b/>
                <w:noProof/>
                <w:sz w:val="20"/>
              </w:rPr>
            </w:pPr>
            <w:r>
              <w:rPr>
                <w:b/>
                <w:noProof/>
                <w:sz w:val="20"/>
              </w:rPr>
              <w:t>0,06</w:t>
            </w:r>
          </w:p>
        </w:tc>
        <w:tc>
          <w:tcPr>
            <w:tcW w:w="909" w:type="dxa"/>
            <w:vAlign w:val="center"/>
          </w:tcPr>
          <w:p>
            <w:pPr>
              <w:spacing w:before="60" w:after="60"/>
              <w:jc w:val="right"/>
              <w:rPr>
                <w:b/>
                <w:noProof/>
                <w:sz w:val="20"/>
              </w:rPr>
            </w:pPr>
            <w:r>
              <w:rPr>
                <w:b/>
                <w:noProof/>
                <w:sz w:val="20"/>
              </w:rPr>
              <w:t>0,072</w:t>
            </w:r>
          </w:p>
        </w:tc>
        <w:tc>
          <w:tcPr>
            <w:tcW w:w="868" w:type="dxa"/>
            <w:vAlign w:val="center"/>
          </w:tcPr>
          <w:p>
            <w:pPr>
              <w:spacing w:before="60" w:after="60"/>
              <w:jc w:val="right"/>
              <w:rPr>
                <w:b/>
                <w:noProof/>
                <w:sz w:val="20"/>
              </w:rPr>
            </w:pPr>
            <w:r>
              <w:rPr>
                <w:b/>
                <w:noProof/>
                <w:sz w:val="20"/>
              </w:rPr>
              <w:t>0,072</w:t>
            </w:r>
          </w:p>
        </w:tc>
        <w:tc>
          <w:tcPr>
            <w:tcW w:w="868" w:type="dxa"/>
            <w:vAlign w:val="center"/>
          </w:tcPr>
          <w:p>
            <w:pPr>
              <w:spacing w:before="60" w:after="60"/>
              <w:jc w:val="right"/>
              <w:rPr>
                <w:b/>
                <w:noProof/>
                <w:sz w:val="20"/>
              </w:rPr>
            </w:pPr>
            <w:r>
              <w:rPr>
                <w:b/>
                <w:noProof/>
                <w:sz w:val="20"/>
              </w:rPr>
              <w:t>0,072</w:t>
            </w:r>
          </w:p>
        </w:tc>
        <w:tc>
          <w:tcPr>
            <w:tcW w:w="899" w:type="dxa"/>
            <w:vAlign w:val="center"/>
          </w:tcPr>
          <w:p>
            <w:pPr>
              <w:spacing w:before="60" w:after="60"/>
              <w:jc w:val="right"/>
              <w:rPr>
                <w:b/>
                <w:noProof/>
                <w:sz w:val="20"/>
              </w:rPr>
            </w:pPr>
            <w:r>
              <w:rPr>
                <w:b/>
                <w:noProof/>
                <w:sz w:val="20"/>
              </w:rPr>
              <w:t>0,072</w:t>
            </w:r>
          </w:p>
        </w:tc>
        <w:tc>
          <w:tcPr>
            <w:tcW w:w="850" w:type="dxa"/>
            <w:vAlign w:val="center"/>
          </w:tcPr>
          <w:p>
            <w:pPr>
              <w:spacing w:before="60" w:after="60"/>
              <w:jc w:val="right"/>
              <w:rPr>
                <w:b/>
                <w:noProof/>
                <w:sz w:val="20"/>
              </w:rPr>
            </w:pPr>
            <w:r>
              <w:rPr>
                <w:b/>
                <w:noProof/>
                <w:sz w:val="20"/>
              </w:rPr>
              <w:t>0,012</w:t>
            </w:r>
          </w:p>
        </w:tc>
        <w:tc>
          <w:tcPr>
            <w:tcW w:w="3005" w:type="dxa"/>
            <w:vAlign w:val="center"/>
          </w:tcPr>
          <w:p>
            <w:pPr>
              <w:spacing w:before="60" w:after="60"/>
              <w:jc w:val="right"/>
              <w:rPr>
                <w:b/>
                <w:noProof/>
                <w:sz w:val="20"/>
              </w:rPr>
            </w:pPr>
            <w:r>
              <w:rPr>
                <w:b/>
                <w:noProof/>
                <w:sz w:val="20"/>
              </w:rPr>
              <w:t>0,360</w:t>
            </w:r>
          </w:p>
        </w:tc>
      </w:tr>
    </w:tbl>
    <w:p>
      <w:pPr>
        <w:rPr>
          <w:noProof/>
        </w:rPr>
        <w:sectPr>
          <w:headerReference w:type="default" r:id="rId18"/>
          <w:footerReference w:type="default" r:id="rId19"/>
          <w:headerReference w:type="first" r:id="rId20"/>
          <w:footerReference w:type="first" r:id="rId21"/>
          <w:pgSz w:w="16840" w:h="11907" w:orient="landscape" w:code="9"/>
          <w:pgMar w:top="1134" w:right="1418" w:bottom="1134" w:left="1418" w:header="709" w:footer="709" w:gutter="0"/>
          <w:cols w:space="708"/>
          <w:docGrid w:linePitch="360"/>
        </w:sectPr>
      </w:pPr>
    </w:p>
    <w:p>
      <w:pPr>
        <w:pStyle w:val="ManualHeading3"/>
        <w:rPr>
          <w:bCs/>
          <w:noProof/>
          <w:szCs w:val="24"/>
        </w:rPr>
      </w:pPr>
      <w:r>
        <w:rPr>
          <w:noProof/>
        </w:rPr>
        <w:t>3.2.2.</w:t>
      </w:r>
      <w:r>
        <w:rPr>
          <w:noProof/>
        </w:rPr>
        <w:tab/>
        <w:t xml:space="preserve">Odhadovaný vplyv na operačné rozpočtové prostriedky </w:t>
      </w:r>
    </w:p>
    <w:p>
      <w:pPr>
        <w:pStyle w:val="ListDash1"/>
        <w:rPr>
          <w:noProof/>
        </w:rPr>
      </w:pPr>
      <w:r>
        <w:rPr>
          <w:noProof/>
        </w:rPr>
        <w:sym w:font="Wingdings" w:char="F0FE"/>
      </w:r>
      <w:r>
        <w:rPr>
          <w:noProof/>
        </w:rPr>
        <w:tab/>
        <w:t xml:space="preserve">Návrh/iniciatíva si nevyžaduje použitie operačných rozpočtových prostriedkov. </w:t>
      </w:r>
    </w:p>
    <w:p>
      <w:pPr>
        <w:rPr>
          <w:noProof/>
        </w:rPr>
      </w:pPr>
    </w:p>
    <w:p>
      <w:pPr>
        <w:jc w:val="center"/>
        <w:rPr>
          <w:noProof/>
          <w:sz w:val="20"/>
        </w:rPr>
      </w:pPr>
      <w:r>
        <w:rPr>
          <w:noProof/>
          <w:sz w:val="20"/>
        </w:rPr>
        <w:t>viazané rozpočtové prostriedky v mil. EUR (zaokrúhlené na 3 desatinné miesta)</w:t>
      </w:r>
    </w:p>
    <w:tbl>
      <w:tblPr>
        <w:tblW w:w="136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3"/>
        <w:gridCol w:w="720"/>
        <w:gridCol w:w="701"/>
        <w:gridCol w:w="504"/>
        <w:gridCol w:w="720"/>
        <w:gridCol w:w="540"/>
        <w:gridCol w:w="720"/>
        <w:gridCol w:w="720"/>
        <w:gridCol w:w="720"/>
        <w:gridCol w:w="900"/>
        <w:gridCol w:w="51"/>
        <w:gridCol w:w="669"/>
        <w:gridCol w:w="540"/>
        <w:gridCol w:w="648"/>
        <w:gridCol w:w="432"/>
        <w:gridCol w:w="720"/>
        <w:gridCol w:w="540"/>
        <w:gridCol w:w="720"/>
        <w:gridCol w:w="720"/>
        <w:gridCol w:w="900"/>
      </w:tblGrid>
      <w:tr>
        <w:trPr>
          <w:jc w:val="center"/>
        </w:trPr>
        <w:tc>
          <w:tcPr>
            <w:tcW w:w="1423" w:type="dxa"/>
            <w:vMerge w:val="restart"/>
            <w:vAlign w:val="center"/>
          </w:tcPr>
          <w:p>
            <w:pPr>
              <w:ind w:right="-29"/>
              <w:jc w:val="center"/>
              <w:rPr>
                <w:b/>
                <w:noProof/>
                <w:sz w:val="18"/>
                <w:szCs w:val="18"/>
              </w:rPr>
            </w:pPr>
            <w:r>
              <w:rPr>
                <w:b/>
                <w:noProof/>
                <w:sz w:val="18"/>
              </w:rPr>
              <w:t xml:space="preserve">Uveďte ciele a výstupy </w:t>
            </w:r>
          </w:p>
          <w:p>
            <w:pPr>
              <w:ind w:right="-29"/>
              <w:jc w:val="center"/>
              <w:rPr>
                <w:b/>
                <w:noProof/>
                <w:sz w:val="18"/>
                <w:szCs w:val="18"/>
              </w:rPr>
            </w:pPr>
          </w:p>
          <w:p>
            <w:pPr>
              <w:ind w:right="-29"/>
              <w:jc w:val="center"/>
              <w:rPr>
                <w:noProof/>
                <w:sz w:val="18"/>
                <w:szCs w:val="18"/>
              </w:rPr>
            </w:pPr>
            <w:r>
              <w:rPr>
                <w:noProof/>
                <w:sz w:val="18"/>
              </w:rPr>
              <w:sym w:font="Wingdings" w:char="F0F2"/>
            </w:r>
          </w:p>
        </w:tc>
        <w:tc>
          <w:tcPr>
            <w:tcW w:w="720" w:type="dxa"/>
            <w:vAlign w:val="center"/>
          </w:tcPr>
          <w:p>
            <w:pPr>
              <w:ind w:right="-29"/>
              <w:jc w:val="center"/>
              <w:rPr>
                <w:noProof/>
                <w:sz w:val="18"/>
                <w:szCs w:val="18"/>
              </w:rPr>
            </w:pPr>
          </w:p>
        </w:tc>
        <w:tc>
          <w:tcPr>
            <w:tcW w:w="701" w:type="dxa"/>
            <w:vAlign w:val="center"/>
          </w:tcPr>
          <w:p>
            <w:pPr>
              <w:ind w:right="-29"/>
              <w:jc w:val="center"/>
              <w:rPr>
                <w:noProof/>
                <w:sz w:val="18"/>
                <w:szCs w:val="18"/>
              </w:rPr>
            </w:pPr>
          </w:p>
        </w:tc>
        <w:tc>
          <w:tcPr>
            <w:tcW w:w="1224" w:type="dxa"/>
            <w:gridSpan w:val="2"/>
            <w:tcBorders>
              <w:left w:val="nil"/>
            </w:tcBorders>
            <w:vAlign w:val="center"/>
          </w:tcPr>
          <w:p>
            <w:pPr>
              <w:ind w:right="-29"/>
              <w:jc w:val="center"/>
              <w:rPr>
                <w:noProof/>
                <w:sz w:val="18"/>
                <w:szCs w:val="18"/>
              </w:rPr>
            </w:pPr>
            <w:r>
              <w:rPr>
                <w:noProof/>
              </w:rPr>
              <w:t>Rok</w:t>
            </w:r>
            <w:r>
              <w:rPr>
                <w:noProof/>
              </w:rPr>
              <w:br/>
            </w:r>
            <w:r>
              <w:rPr>
                <w:b/>
                <w:noProof/>
                <w:sz w:val="18"/>
              </w:rPr>
              <w:t>N</w:t>
            </w:r>
          </w:p>
        </w:tc>
        <w:tc>
          <w:tcPr>
            <w:tcW w:w="1260" w:type="dxa"/>
            <w:gridSpan w:val="2"/>
            <w:vAlign w:val="center"/>
          </w:tcPr>
          <w:p>
            <w:pPr>
              <w:ind w:right="-29"/>
              <w:jc w:val="center"/>
              <w:rPr>
                <w:noProof/>
                <w:sz w:val="18"/>
                <w:szCs w:val="18"/>
              </w:rPr>
            </w:pPr>
            <w:r>
              <w:rPr>
                <w:noProof/>
              </w:rPr>
              <w:t>Rok</w:t>
            </w:r>
            <w:r>
              <w:rPr>
                <w:noProof/>
              </w:rPr>
              <w:br/>
            </w:r>
            <w:r>
              <w:rPr>
                <w:b/>
                <w:noProof/>
                <w:sz w:val="18"/>
              </w:rPr>
              <w:t>N + 1</w:t>
            </w:r>
          </w:p>
        </w:tc>
        <w:tc>
          <w:tcPr>
            <w:tcW w:w="1440" w:type="dxa"/>
            <w:gridSpan w:val="2"/>
            <w:vAlign w:val="center"/>
          </w:tcPr>
          <w:p>
            <w:pPr>
              <w:ind w:right="-29"/>
              <w:jc w:val="center"/>
              <w:rPr>
                <w:noProof/>
                <w:sz w:val="18"/>
                <w:szCs w:val="18"/>
              </w:rPr>
            </w:pPr>
            <w:r>
              <w:rPr>
                <w:noProof/>
              </w:rPr>
              <w:t>Rok</w:t>
            </w:r>
            <w:r>
              <w:rPr>
                <w:noProof/>
              </w:rPr>
              <w:br/>
            </w:r>
            <w:r>
              <w:rPr>
                <w:b/>
                <w:noProof/>
                <w:sz w:val="18"/>
              </w:rPr>
              <w:t>N + 2</w:t>
            </w:r>
          </w:p>
        </w:tc>
        <w:tc>
          <w:tcPr>
            <w:tcW w:w="1620" w:type="dxa"/>
            <w:gridSpan w:val="3"/>
            <w:vAlign w:val="center"/>
          </w:tcPr>
          <w:p>
            <w:pPr>
              <w:ind w:right="-29"/>
              <w:jc w:val="center"/>
              <w:rPr>
                <w:noProof/>
                <w:sz w:val="18"/>
                <w:szCs w:val="18"/>
              </w:rPr>
            </w:pPr>
            <w:r>
              <w:rPr>
                <w:noProof/>
              </w:rPr>
              <w:t>Rok</w:t>
            </w:r>
            <w:r>
              <w:rPr>
                <w:noProof/>
              </w:rPr>
              <w:br/>
            </w:r>
            <w:r>
              <w:rPr>
                <w:b/>
                <w:noProof/>
                <w:sz w:val="18"/>
              </w:rPr>
              <w:t>N + 3</w:t>
            </w:r>
          </w:p>
        </w:tc>
        <w:tc>
          <w:tcPr>
            <w:tcW w:w="3600" w:type="dxa"/>
            <w:gridSpan w:val="6"/>
            <w:vAlign w:val="center"/>
          </w:tcPr>
          <w:p>
            <w:pPr>
              <w:jc w:val="center"/>
              <w:rPr>
                <w:noProof/>
                <w:sz w:val="18"/>
                <w:szCs w:val="18"/>
              </w:rPr>
            </w:pPr>
            <w:r>
              <w:rPr>
                <w:noProof/>
                <w:sz w:val="18"/>
              </w:rPr>
              <w:t>Uveďte všetky roky, počas ktorých vplyv trvá (pozri bod 1.6)</w:t>
            </w:r>
          </w:p>
        </w:tc>
        <w:tc>
          <w:tcPr>
            <w:tcW w:w="1620" w:type="dxa"/>
            <w:gridSpan w:val="2"/>
            <w:tcBorders>
              <w:left w:val="nil"/>
              <w:bottom w:val="nil"/>
            </w:tcBorders>
            <w:vAlign w:val="center"/>
          </w:tcPr>
          <w:p>
            <w:pPr>
              <w:ind w:right="-29"/>
              <w:jc w:val="center"/>
              <w:rPr>
                <w:noProof/>
                <w:sz w:val="18"/>
                <w:szCs w:val="18"/>
              </w:rPr>
            </w:pPr>
            <w:r>
              <w:rPr>
                <w:b/>
                <w:noProof/>
                <w:sz w:val="18"/>
              </w:rPr>
              <w:t>SPOLU</w:t>
            </w:r>
          </w:p>
        </w:tc>
      </w:tr>
      <w:tr>
        <w:trPr>
          <w:jc w:val="center"/>
        </w:trPr>
        <w:tc>
          <w:tcPr>
            <w:tcW w:w="1423" w:type="dxa"/>
            <w:vMerge/>
            <w:vAlign w:val="center"/>
          </w:tcPr>
          <w:p>
            <w:pPr>
              <w:ind w:right="-29"/>
              <w:jc w:val="center"/>
              <w:rPr>
                <w:noProof/>
                <w:sz w:val="18"/>
                <w:szCs w:val="18"/>
              </w:rPr>
            </w:pPr>
          </w:p>
        </w:tc>
        <w:tc>
          <w:tcPr>
            <w:tcW w:w="12185" w:type="dxa"/>
            <w:gridSpan w:val="19"/>
            <w:vAlign w:val="center"/>
          </w:tcPr>
          <w:p>
            <w:pPr>
              <w:spacing w:before="60" w:after="60"/>
              <w:ind w:right="-29"/>
              <w:jc w:val="center"/>
              <w:rPr>
                <w:noProof/>
                <w:sz w:val="18"/>
                <w:szCs w:val="18"/>
              </w:rPr>
            </w:pPr>
            <w:r>
              <w:rPr>
                <w:b/>
                <w:noProof/>
                <w:sz w:val="18"/>
              </w:rPr>
              <w:t>VÝSTUPY</w:t>
            </w:r>
          </w:p>
        </w:tc>
      </w:tr>
      <w:tr>
        <w:trPr>
          <w:cantSplit/>
          <w:trHeight w:val="1134"/>
          <w:jc w:val="center"/>
        </w:trPr>
        <w:tc>
          <w:tcPr>
            <w:tcW w:w="1423" w:type="dxa"/>
            <w:vMerge/>
            <w:vAlign w:val="center"/>
          </w:tcPr>
          <w:p>
            <w:pPr>
              <w:rPr>
                <w:noProof/>
                <w:sz w:val="18"/>
                <w:szCs w:val="18"/>
              </w:rPr>
            </w:pPr>
          </w:p>
        </w:tc>
        <w:tc>
          <w:tcPr>
            <w:tcW w:w="720" w:type="dxa"/>
            <w:vAlign w:val="center"/>
          </w:tcPr>
          <w:p>
            <w:pPr>
              <w:jc w:val="center"/>
              <w:rPr>
                <w:noProof/>
                <w:sz w:val="18"/>
                <w:szCs w:val="18"/>
              </w:rPr>
            </w:pPr>
            <w:r>
              <w:rPr>
                <w:noProof/>
                <w:sz w:val="18"/>
              </w:rPr>
              <w:t>Druh</w:t>
            </w:r>
            <w:r>
              <w:rPr>
                <w:rStyle w:val="FootnoteReference"/>
                <w:noProof/>
                <w:sz w:val="18"/>
              </w:rPr>
              <w:footnoteReference w:id="21"/>
            </w:r>
          </w:p>
          <w:p>
            <w:pPr>
              <w:spacing w:before="0" w:after="0"/>
              <w:jc w:val="center"/>
              <w:rPr>
                <w:noProof/>
                <w:sz w:val="18"/>
                <w:szCs w:val="18"/>
              </w:rPr>
            </w:pPr>
          </w:p>
        </w:tc>
        <w:tc>
          <w:tcPr>
            <w:tcW w:w="701" w:type="dxa"/>
            <w:vAlign w:val="center"/>
          </w:tcPr>
          <w:p>
            <w:pPr>
              <w:jc w:val="center"/>
              <w:rPr>
                <w:noProof/>
                <w:sz w:val="18"/>
                <w:szCs w:val="18"/>
              </w:rPr>
            </w:pPr>
            <w:r>
              <w:rPr>
                <w:noProof/>
                <w:sz w:val="18"/>
              </w:rPr>
              <w:t>Priemerné náklady</w:t>
            </w:r>
          </w:p>
        </w:tc>
        <w:tc>
          <w:tcPr>
            <w:tcW w:w="504" w:type="dxa"/>
            <w:tcBorders>
              <w:left w:val="nil"/>
              <w:right w:val="dashSmallGap" w:sz="4" w:space="0" w:color="auto"/>
            </w:tcBorders>
            <w:shd w:val="pct10" w:color="auto" w:fill="auto"/>
            <w:textDirection w:val="btLr"/>
            <w:vAlign w:val="center"/>
          </w:tcPr>
          <w:p>
            <w:pPr>
              <w:ind w:left="113" w:right="113"/>
              <w:jc w:val="center"/>
              <w:rPr>
                <w:noProof/>
                <w:sz w:val="18"/>
                <w:szCs w:val="18"/>
              </w:rPr>
            </w:pPr>
            <w:r>
              <w:rPr>
                <w:noProof/>
                <w:sz w:val="18"/>
              </w:rPr>
              <w:t>Počet</w:t>
            </w:r>
          </w:p>
        </w:tc>
        <w:tc>
          <w:tcPr>
            <w:tcW w:w="720" w:type="dxa"/>
            <w:tcBorders>
              <w:left w:val="dashSmallGap" w:sz="4" w:space="0" w:color="auto"/>
            </w:tcBorders>
            <w:shd w:val="pct10" w:color="auto" w:fill="auto"/>
            <w:vAlign w:val="center"/>
          </w:tcPr>
          <w:p>
            <w:pPr>
              <w:jc w:val="center"/>
              <w:rPr>
                <w:noProof/>
                <w:sz w:val="18"/>
                <w:szCs w:val="18"/>
              </w:rPr>
            </w:pPr>
            <w:r>
              <w:rPr>
                <w:noProof/>
                <w:sz w:val="18"/>
              </w:rPr>
              <w:t>Náklady</w:t>
            </w:r>
          </w:p>
        </w:tc>
        <w:tc>
          <w:tcPr>
            <w:tcW w:w="54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Počet</w:t>
            </w:r>
          </w:p>
        </w:tc>
        <w:tc>
          <w:tcPr>
            <w:tcW w:w="720" w:type="dxa"/>
            <w:tcBorders>
              <w:left w:val="dashSmallGap" w:sz="4" w:space="0" w:color="auto"/>
            </w:tcBorders>
            <w:shd w:val="pct10" w:color="auto" w:fill="auto"/>
            <w:vAlign w:val="center"/>
          </w:tcPr>
          <w:p>
            <w:pPr>
              <w:jc w:val="center"/>
              <w:rPr>
                <w:noProof/>
                <w:sz w:val="18"/>
                <w:szCs w:val="18"/>
              </w:rPr>
            </w:pPr>
            <w:r>
              <w:rPr>
                <w:noProof/>
                <w:sz w:val="18"/>
              </w:rPr>
              <w:t>Náklady</w:t>
            </w:r>
          </w:p>
        </w:tc>
        <w:tc>
          <w:tcPr>
            <w:tcW w:w="72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Počet</w:t>
            </w:r>
          </w:p>
        </w:tc>
        <w:tc>
          <w:tcPr>
            <w:tcW w:w="720" w:type="dxa"/>
            <w:tcBorders>
              <w:left w:val="dashSmallGap" w:sz="4" w:space="0" w:color="auto"/>
            </w:tcBorders>
            <w:shd w:val="pct10" w:color="auto" w:fill="auto"/>
            <w:vAlign w:val="center"/>
          </w:tcPr>
          <w:p>
            <w:pPr>
              <w:jc w:val="center"/>
              <w:rPr>
                <w:noProof/>
                <w:sz w:val="18"/>
                <w:szCs w:val="18"/>
              </w:rPr>
            </w:pPr>
            <w:r>
              <w:rPr>
                <w:noProof/>
                <w:sz w:val="18"/>
              </w:rPr>
              <w:t>Náklady</w:t>
            </w:r>
          </w:p>
        </w:tc>
        <w:tc>
          <w:tcPr>
            <w:tcW w:w="90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Počet</w:t>
            </w:r>
          </w:p>
        </w:tc>
        <w:tc>
          <w:tcPr>
            <w:tcW w:w="720" w:type="dxa"/>
            <w:gridSpan w:val="2"/>
            <w:tcBorders>
              <w:left w:val="dashSmallGap" w:sz="4" w:space="0" w:color="auto"/>
            </w:tcBorders>
            <w:shd w:val="pct10" w:color="auto" w:fill="auto"/>
            <w:vAlign w:val="center"/>
          </w:tcPr>
          <w:p>
            <w:pPr>
              <w:jc w:val="center"/>
              <w:rPr>
                <w:noProof/>
                <w:sz w:val="18"/>
                <w:szCs w:val="18"/>
              </w:rPr>
            </w:pPr>
            <w:r>
              <w:rPr>
                <w:noProof/>
                <w:sz w:val="18"/>
              </w:rPr>
              <w:t>Náklady</w:t>
            </w:r>
          </w:p>
        </w:tc>
        <w:tc>
          <w:tcPr>
            <w:tcW w:w="54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Počet</w:t>
            </w:r>
          </w:p>
        </w:tc>
        <w:tc>
          <w:tcPr>
            <w:tcW w:w="648" w:type="dxa"/>
            <w:tcBorders>
              <w:left w:val="dashSmallGap" w:sz="4" w:space="0" w:color="auto"/>
            </w:tcBorders>
            <w:shd w:val="pct10" w:color="auto" w:fill="auto"/>
            <w:vAlign w:val="center"/>
          </w:tcPr>
          <w:p>
            <w:pPr>
              <w:jc w:val="center"/>
              <w:rPr>
                <w:noProof/>
                <w:sz w:val="18"/>
                <w:szCs w:val="18"/>
              </w:rPr>
            </w:pPr>
            <w:r>
              <w:rPr>
                <w:noProof/>
                <w:sz w:val="18"/>
              </w:rPr>
              <w:t>Náklady</w:t>
            </w:r>
          </w:p>
        </w:tc>
        <w:tc>
          <w:tcPr>
            <w:tcW w:w="432"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Počet</w:t>
            </w:r>
          </w:p>
        </w:tc>
        <w:tc>
          <w:tcPr>
            <w:tcW w:w="720" w:type="dxa"/>
            <w:tcBorders>
              <w:left w:val="dashSmallGap" w:sz="4" w:space="0" w:color="auto"/>
            </w:tcBorders>
            <w:shd w:val="pct10" w:color="auto" w:fill="auto"/>
            <w:vAlign w:val="center"/>
          </w:tcPr>
          <w:p>
            <w:pPr>
              <w:jc w:val="center"/>
              <w:rPr>
                <w:noProof/>
                <w:sz w:val="18"/>
                <w:szCs w:val="18"/>
              </w:rPr>
            </w:pPr>
            <w:r>
              <w:rPr>
                <w:noProof/>
                <w:sz w:val="18"/>
              </w:rPr>
              <w:t>Náklady</w:t>
            </w:r>
          </w:p>
        </w:tc>
        <w:tc>
          <w:tcPr>
            <w:tcW w:w="54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Počet</w:t>
            </w:r>
          </w:p>
        </w:tc>
        <w:tc>
          <w:tcPr>
            <w:tcW w:w="720" w:type="dxa"/>
            <w:tcBorders>
              <w:left w:val="dashSmallGap" w:sz="4" w:space="0" w:color="auto"/>
            </w:tcBorders>
            <w:shd w:val="pct10" w:color="auto" w:fill="auto"/>
            <w:vAlign w:val="center"/>
          </w:tcPr>
          <w:p>
            <w:pPr>
              <w:jc w:val="center"/>
              <w:rPr>
                <w:noProof/>
                <w:sz w:val="18"/>
                <w:szCs w:val="18"/>
              </w:rPr>
            </w:pPr>
            <w:r>
              <w:rPr>
                <w:noProof/>
                <w:sz w:val="18"/>
              </w:rPr>
              <w:t>Náklady</w:t>
            </w:r>
          </w:p>
        </w:tc>
        <w:tc>
          <w:tcPr>
            <w:tcW w:w="720" w:type="dxa"/>
            <w:tcBorders>
              <w:right w:val="dashSmallGap" w:sz="4" w:space="0" w:color="auto"/>
            </w:tcBorders>
            <w:shd w:val="pct10" w:color="auto" w:fill="auto"/>
            <w:vAlign w:val="center"/>
          </w:tcPr>
          <w:p>
            <w:pPr>
              <w:jc w:val="center"/>
              <w:rPr>
                <w:noProof/>
                <w:sz w:val="18"/>
                <w:szCs w:val="18"/>
              </w:rPr>
            </w:pPr>
            <w:r>
              <w:rPr>
                <w:noProof/>
                <w:sz w:val="18"/>
              </w:rPr>
              <w:t>Počet spolu</w:t>
            </w:r>
          </w:p>
        </w:tc>
        <w:tc>
          <w:tcPr>
            <w:tcW w:w="900" w:type="dxa"/>
            <w:tcBorders>
              <w:left w:val="dashSmallGap" w:sz="4" w:space="0" w:color="auto"/>
            </w:tcBorders>
            <w:shd w:val="pct10" w:color="auto" w:fill="auto"/>
            <w:vAlign w:val="center"/>
          </w:tcPr>
          <w:p>
            <w:pPr>
              <w:jc w:val="center"/>
              <w:rPr>
                <w:noProof/>
                <w:sz w:val="18"/>
                <w:szCs w:val="18"/>
              </w:rPr>
            </w:pPr>
            <w:r>
              <w:rPr>
                <w:noProof/>
                <w:sz w:val="18"/>
              </w:rPr>
              <w:t>Náklady spolu</w:t>
            </w:r>
          </w:p>
        </w:tc>
      </w:tr>
      <w:tr>
        <w:trPr>
          <w:jc w:val="center"/>
        </w:trPr>
        <w:tc>
          <w:tcPr>
            <w:tcW w:w="2844" w:type="dxa"/>
            <w:gridSpan w:val="3"/>
            <w:vAlign w:val="center"/>
          </w:tcPr>
          <w:p>
            <w:pPr>
              <w:spacing w:before="60" w:after="60"/>
              <w:ind w:right="-29"/>
              <w:jc w:val="center"/>
              <w:rPr>
                <w:noProof/>
                <w:sz w:val="18"/>
                <w:szCs w:val="18"/>
              </w:rPr>
            </w:pPr>
            <w:r>
              <w:rPr>
                <w:noProof/>
                <w:sz w:val="18"/>
              </w:rPr>
              <w:t>ŠPECIFICKÝ CIEĽ č. 1</w:t>
            </w:r>
            <w:r>
              <w:rPr>
                <w:rStyle w:val="FootnoteReference"/>
                <w:noProof/>
                <w:sz w:val="18"/>
              </w:rPr>
              <w:footnoteReference w:id="22"/>
            </w:r>
            <w:r>
              <w:rPr>
                <w:noProof/>
                <w:sz w:val="18"/>
              </w:rPr>
              <w:t>…</w:t>
            </w:r>
          </w:p>
        </w:tc>
        <w:tc>
          <w:tcPr>
            <w:tcW w:w="504"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900" w:type="dxa"/>
            <w:tcBorders>
              <w:top w:val="nil"/>
              <w:left w:val="nil"/>
              <w:bottom w:val="nil"/>
              <w:right w:val="nil"/>
            </w:tcBorders>
          </w:tcPr>
          <w:p>
            <w:pPr>
              <w:spacing w:before="60" w:after="60"/>
              <w:ind w:right="-29"/>
              <w:jc w:val="center"/>
              <w:rPr>
                <w:noProof/>
                <w:sz w:val="18"/>
                <w:szCs w:val="18"/>
              </w:rPr>
            </w:pPr>
          </w:p>
        </w:tc>
        <w:tc>
          <w:tcPr>
            <w:tcW w:w="720" w:type="dxa"/>
            <w:gridSpan w:val="2"/>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648" w:type="dxa"/>
            <w:tcBorders>
              <w:top w:val="nil"/>
              <w:left w:val="nil"/>
              <w:bottom w:val="nil"/>
              <w:right w:val="nil"/>
            </w:tcBorders>
          </w:tcPr>
          <w:p>
            <w:pPr>
              <w:spacing w:before="60" w:after="60"/>
              <w:ind w:right="-29"/>
              <w:jc w:val="center"/>
              <w:rPr>
                <w:noProof/>
                <w:sz w:val="18"/>
                <w:szCs w:val="18"/>
              </w:rPr>
            </w:pPr>
          </w:p>
        </w:tc>
        <w:tc>
          <w:tcPr>
            <w:tcW w:w="432"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900" w:type="dxa"/>
            <w:tcBorders>
              <w:top w:val="nil"/>
              <w:left w:val="nil"/>
              <w:bottom w:val="nil"/>
              <w:right w:val="nil"/>
            </w:tcBorders>
          </w:tcPr>
          <w:p>
            <w:pPr>
              <w:spacing w:before="60" w:after="60"/>
              <w:ind w:right="-29"/>
              <w:jc w:val="center"/>
              <w:rPr>
                <w:noProof/>
                <w:sz w:val="18"/>
                <w:szCs w:val="18"/>
              </w:rPr>
            </w:pPr>
          </w:p>
        </w:tc>
      </w:tr>
      <w:tr>
        <w:trPr>
          <w:trHeight w:hRule="exact" w:val="369"/>
          <w:jc w:val="center"/>
        </w:trPr>
        <w:tc>
          <w:tcPr>
            <w:tcW w:w="1423" w:type="dxa"/>
          </w:tcPr>
          <w:p>
            <w:pPr>
              <w:ind w:right="-29"/>
              <w:jc w:val="center"/>
              <w:rPr>
                <w:noProof/>
                <w:sz w:val="18"/>
                <w:szCs w:val="18"/>
              </w:rPr>
            </w:pPr>
            <w:r>
              <w:rPr>
                <w:noProof/>
                <w:sz w:val="18"/>
              </w:rPr>
              <w:t>‒ Výstup</w:t>
            </w:r>
          </w:p>
        </w:tc>
        <w:tc>
          <w:tcPr>
            <w:tcW w:w="720" w:type="dxa"/>
          </w:tcPr>
          <w:p>
            <w:pPr>
              <w:ind w:right="-29"/>
              <w:jc w:val="center"/>
              <w:rPr>
                <w:noProof/>
                <w:sz w:val="18"/>
                <w:szCs w:val="18"/>
              </w:rPr>
            </w:pPr>
          </w:p>
        </w:tc>
        <w:tc>
          <w:tcPr>
            <w:tcW w:w="701" w:type="dxa"/>
          </w:tcPr>
          <w:p>
            <w:pPr>
              <w:ind w:right="-29"/>
              <w:jc w:val="center"/>
              <w:rPr>
                <w:noProof/>
                <w:sz w:val="18"/>
                <w:szCs w:val="18"/>
              </w:rPr>
            </w:pPr>
          </w:p>
        </w:tc>
        <w:tc>
          <w:tcPr>
            <w:tcW w:w="504"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54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72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900" w:type="dxa"/>
            <w:tcBorders>
              <w:right w:val="dashSmallGap" w:sz="4" w:space="0" w:color="auto"/>
            </w:tcBorders>
          </w:tcPr>
          <w:p>
            <w:pPr>
              <w:ind w:right="-29"/>
              <w:jc w:val="center"/>
              <w:rPr>
                <w:noProof/>
                <w:sz w:val="18"/>
                <w:szCs w:val="18"/>
              </w:rPr>
            </w:pPr>
          </w:p>
        </w:tc>
        <w:tc>
          <w:tcPr>
            <w:tcW w:w="720" w:type="dxa"/>
            <w:gridSpan w:val="2"/>
            <w:tcBorders>
              <w:left w:val="dashSmallGap" w:sz="4" w:space="0" w:color="auto"/>
            </w:tcBorders>
          </w:tcPr>
          <w:p>
            <w:pPr>
              <w:ind w:right="-29"/>
              <w:jc w:val="center"/>
              <w:rPr>
                <w:noProof/>
                <w:sz w:val="18"/>
                <w:szCs w:val="18"/>
              </w:rPr>
            </w:pPr>
          </w:p>
        </w:tc>
        <w:tc>
          <w:tcPr>
            <w:tcW w:w="540" w:type="dxa"/>
            <w:tcBorders>
              <w:right w:val="dashSmallGap" w:sz="4" w:space="0" w:color="auto"/>
            </w:tcBorders>
          </w:tcPr>
          <w:p>
            <w:pPr>
              <w:ind w:right="-29"/>
              <w:jc w:val="center"/>
              <w:rPr>
                <w:noProof/>
                <w:sz w:val="18"/>
                <w:szCs w:val="18"/>
              </w:rPr>
            </w:pPr>
          </w:p>
        </w:tc>
        <w:tc>
          <w:tcPr>
            <w:tcW w:w="648" w:type="dxa"/>
            <w:tcBorders>
              <w:left w:val="dashSmallGap" w:sz="4" w:space="0" w:color="auto"/>
            </w:tcBorders>
          </w:tcPr>
          <w:p>
            <w:pPr>
              <w:ind w:right="-29"/>
              <w:jc w:val="center"/>
              <w:rPr>
                <w:noProof/>
                <w:sz w:val="18"/>
                <w:szCs w:val="18"/>
              </w:rPr>
            </w:pPr>
          </w:p>
        </w:tc>
        <w:tc>
          <w:tcPr>
            <w:tcW w:w="432"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54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720" w:type="dxa"/>
          </w:tcPr>
          <w:p>
            <w:pPr>
              <w:ind w:right="-29"/>
              <w:jc w:val="center"/>
              <w:rPr>
                <w:noProof/>
                <w:sz w:val="18"/>
                <w:szCs w:val="18"/>
              </w:rPr>
            </w:pPr>
          </w:p>
        </w:tc>
        <w:tc>
          <w:tcPr>
            <w:tcW w:w="900" w:type="dxa"/>
          </w:tcPr>
          <w:p>
            <w:pPr>
              <w:ind w:right="-29"/>
              <w:jc w:val="center"/>
              <w:rPr>
                <w:noProof/>
                <w:sz w:val="18"/>
                <w:szCs w:val="18"/>
              </w:rPr>
            </w:pPr>
          </w:p>
        </w:tc>
      </w:tr>
      <w:tr>
        <w:trPr>
          <w:trHeight w:hRule="exact" w:val="369"/>
          <w:jc w:val="center"/>
        </w:trPr>
        <w:tc>
          <w:tcPr>
            <w:tcW w:w="1423" w:type="dxa"/>
          </w:tcPr>
          <w:p>
            <w:pPr>
              <w:ind w:right="-29"/>
              <w:jc w:val="center"/>
              <w:rPr>
                <w:noProof/>
                <w:sz w:val="18"/>
                <w:szCs w:val="18"/>
              </w:rPr>
            </w:pPr>
            <w:r>
              <w:rPr>
                <w:noProof/>
                <w:sz w:val="18"/>
              </w:rPr>
              <w:t>‒ Výstup</w:t>
            </w:r>
          </w:p>
        </w:tc>
        <w:tc>
          <w:tcPr>
            <w:tcW w:w="720" w:type="dxa"/>
          </w:tcPr>
          <w:p>
            <w:pPr>
              <w:ind w:right="-29"/>
              <w:jc w:val="center"/>
              <w:rPr>
                <w:noProof/>
                <w:sz w:val="18"/>
                <w:szCs w:val="18"/>
              </w:rPr>
            </w:pPr>
          </w:p>
        </w:tc>
        <w:tc>
          <w:tcPr>
            <w:tcW w:w="701" w:type="dxa"/>
          </w:tcPr>
          <w:p>
            <w:pPr>
              <w:ind w:right="-29"/>
              <w:jc w:val="center"/>
              <w:rPr>
                <w:noProof/>
                <w:sz w:val="18"/>
                <w:szCs w:val="18"/>
              </w:rPr>
            </w:pPr>
          </w:p>
        </w:tc>
        <w:tc>
          <w:tcPr>
            <w:tcW w:w="504"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54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72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900" w:type="dxa"/>
            <w:tcBorders>
              <w:right w:val="dashSmallGap" w:sz="4" w:space="0" w:color="auto"/>
            </w:tcBorders>
          </w:tcPr>
          <w:p>
            <w:pPr>
              <w:ind w:right="-29"/>
              <w:jc w:val="center"/>
              <w:rPr>
                <w:noProof/>
                <w:sz w:val="18"/>
                <w:szCs w:val="18"/>
              </w:rPr>
            </w:pPr>
          </w:p>
        </w:tc>
        <w:tc>
          <w:tcPr>
            <w:tcW w:w="720" w:type="dxa"/>
            <w:gridSpan w:val="2"/>
            <w:tcBorders>
              <w:left w:val="dashSmallGap" w:sz="4" w:space="0" w:color="auto"/>
            </w:tcBorders>
          </w:tcPr>
          <w:p>
            <w:pPr>
              <w:ind w:right="-29"/>
              <w:jc w:val="center"/>
              <w:rPr>
                <w:noProof/>
                <w:sz w:val="18"/>
                <w:szCs w:val="18"/>
              </w:rPr>
            </w:pPr>
          </w:p>
        </w:tc>
        <w:tc>
          <w:tcPr>
            <w:tcW w:w="540" w:type="dxa"/>
            <w:tcBorders>
              <w:right w:val="dashSmallGap" w:sz="4" w:space="0" w:color="auto"/>
            </w:tcBorders>
          </w:tcPr>
          <w:p>
            <w:pPr>
              <w:ind w:right="-29"/>
              <w:jc w:val="center"/>
              <w:rPr>
                <w:noProof/>
                <w:sz w:val="18"/>
                <w:szCs w:val="18"/>
              </w:rPr>
            </w:pPr>
          </w:p>
        </w:tc>
        <w:tc>
          <w:tcPr>
            <w:tcW w:w="648" w:type="dxa"/>
            <w:tcBorders>
              <w:left w:val="dashSmallGap" w:sz="4" w:space="0" w:color="auto"/>
            </w:tcBorders>
          </w:tcPr>
          <w:p>
            <w:pPr>
              <w:ind w:right="-29"/>
              <w:jc w:val="center"/>
              <w:rPr>
                <w:noProof/>
                <w:sz w:val="18"/>
                <w:szCs w:val="18"/>
              </w:rPr>
            </w:pPr>
          </w:p>
        </w:tc>
        <w:tc>
          <w:tcPr>
            <w:tcW w:w="432"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54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720" w:type="dxa"/>
          </w:tcPr>
          <w:p>
            <w:pPr>
              <w:ind w:right="-29"/>
              <w:jc w:val="center"/>
              <w:rPr>
                <w:noProof/>
                <w:sz w:val="18"/>
                <w:szCs w:val="18"/>
              </w:rPr>
            </w:pPr>
          </w:p>
        </w:tc>
        <w:tc>
          <w:tcPr>
            <w:tcW w:w="900" w:type="dxa"/>
          </w:tcPr>
          <w:p>
            <w:pPr>
              <w:ind w:right="-29"/>
              <w:jc w:val="center"/>
              <w:rPr>
                <w:noProof/>
                <w:sz w:val="18"/>
                <w:szCs w:val="18"/>
              </w:rPr>
            </w:pPr>
          </w:p>
        </w:tc>
      </w:tr>
      <w:tr>
        <w:trPr>
          <w:trHeight w:hRule="exact" w:val="369"/>
          <w:jc w:val="center"/>
        </w:trPr>
        <w:tc>
          <w:tcPr>
            <w:tcW w:w="1423" w:type="dxa"/>
          </w:tcPr>
          <w:p>
            <w:pPr>
              <w:ind w:right="-29"/>
              <w:jc w:val="center"/>
              <w:rPr>
                <w:noProof/>
                <w:sz w:val="18"/>
                <w:szCs w:val="18"/>
              </w:rPr>
            </w:pPr>
            <w:r>
              <w:rPr>
                <w:noProof/>
                <w:sz w:val="18"/>
              </w:rPr>
              <w:t>‒ Výstup</w:t>
            </w:r>
          </w:p>
        </w:tc>
        <w:tc>
          <w:tcPr>
            <w:tcW w:w="720" w:type="dxa"/>
          </w:tcPr>
          <w:p>
            <w:pPr>
              <w:ind w:right="-29"/>
              <w:jc w:val="center"/>
              <w:rPr>
                <w:noProof/>
                <w:sz w:val="18"/>
                <w:szCs w:val="18"/>
              </w:rPr>
            </w:pPr>
          </w:p>
        </w:tc>
        <w:tc>
          <w:tcPr>
            <w:tcW w:w="701" w:type="dxa"/>
          </w:tcPr>
          <w:p>
            <w:pPr>
              <w:ind w:right="-29"/>
              <w:jc w:val="center"/>
              <w:rPr>
                <w:noProof/>
                <w:sz w:val="18"/>
                <w:szCs w:val="18"/>
              </w:rPr>
            </w:pPr>
          </w:p>
        </w:tc>
        <w:tc>
          <w:tcPr>
            <w:tcW w:w="504" w:type="dxa"/>
          </w:tcPr>
          <w:p>
            <w:pPr>
              <w:ind w:right="-29"/>
              <w:jc w:val="center"/>
              <w:rPr>
                <w:noProof/>
                <w:sz w:val="18"/>
                <w:szCs w:val="18"/>
              </w:rPr>
            </w:pPr>
          </w:p>
        </w:tc>
        <w:tc>
          <w:tcPr>
            <w:tcW w:w="720" w:type="dxa"/>
          </w:tcPr>
          <w:p>
            <w:pPr>
              <w:ind w:right="-29"/>
              <w:jc w:val="center"/>
              <w:rPr>
                <w:noProof/>
                <w:sz w:val="18"/>
                <w:szCs w:val="18"/>
              </w:rPr>
            </w:pPr>
          </w:p>
        </w:tc>
        <w:tc>
          <w:tcPr>
            <w:tcW w:w="540" w:type="dxa"/>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900" w:type="dxa"/>
          </w:tcPr>
          <w:p>
            <w:pPr>
              <w:ind w:right="-29"/>
              <w:jc w:val="center"/>
              <w:rPr>
                <w:noProof/>
                <w:sz w:val="18"/>
                <w:szCs w:val="18"/>
              </w:rPr>
            </w:pPr>
          </w:p>
        </w:tc>
        <w:tc>
          <w:tcPr>
            <w:tcW w:w="720" w:type="dxa"/>
            <w:gridSpan w:val="2"/>
          </w:tcPr>
          <w:p>
            <w:pPr>
              <w:ind w:right="-29"/>
              <w:jc w:val="center"/>
              <w:rPr>
                <w:noProof/>
                <w:sz w:val="18"/>
                <w:szCs w:val="18"/>
              </w:rPr>
            </w:pPr>
          </w:p>
        </w:tc>
        <w:tc>
          <w:tcPr>
            <w:tcW w:w="540" w:type="dxa"/>
          </w:tcPr>
          <w:p>
            <w:pPr>
              <w:ind w:right="-29"/>
              <w:jc w:val="center"/>
              <w:rPr>
                <w:noProof/>
                <w:sz w:val="18"/>
                <w:szCs w:val="18"/>
              </w:rPr>
            </w:pPr>
          </w:p>
        </w:tc>
        <w:tc>
          <w:tcPr>
            <w:tcW w:w="648" w:type="dxa"/>
          </w:tcPr>
          <w:p>
            <w:pPr>
              <w:ind w:right="-29"/>
              <w:jc w:val="center"/>
              <w:rPr>
                <w:noProof/>
                <w:sz w:val="18"/>
                <w:szCs w:val="18"/>
              </w:rPr>
            </w:pPr>
          </w:p>
        </w:tc>
        <w:tc>
          <w:tcPr>
            <w:tcW w:w="432" w:type="dxa"/>
          </w:tcPr>
          <w:p>
            <w:pPr>
              <w:ind w:right="-29"/>
              <w:jc w:val="center"/>
              <w:rPr>
                <w:noProof/>
                <w:sz w:val="18"/>
                <w:szCs w:val="18"/>
              </w:rPr>
            </w:pPr>
          </w:p>
        </w:tc>
        <w:tc>
          <w:tcPr>
            <w:tcW w:w="720" w:type="dxa"/>
          </w:tcPr>
          <w:p>
            <w:pPr>
              <w:ind w:right="-29"/>
              <w:jc w:val="center"/>
              <w:rPr>
                <w:noProof/>
                <w:sz w:val="18"/>
                <w:szCs w:val="18"/>
              </w:rPr>
            </w:pPr>
          </w:p>
        </w:tc>
        <w:tc>
          <w:tcPr>
            <w:tcW w:w="540" w:type="dxa"/>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900" w:type="dxa"/>
          </w:tcPr>
          <w:p>
            <w:pPr>
              <w:ind w:right="-29"/>
              <w:jc w:val="center"/>
              <w:rPr>
                <w:noProof/>
                <w:sz w:val="18"/>
                <w:szCs w:val="18"/>
              </w:rPr>
            </w:pPr>
          </w:p>
        </w:tc>
      </w:tr>
      <w:tr>
        <w:trPr>
          <w:jc w:val="center"/>
        </w:trPr>
        <w:tc>
          <w:tcPr>
            <w:tcW w:w="2844" w:type="dxa"/>
            <w:gridSpan w:val="3"/>
            <w:tcBorders>
              <w:bottom w:val="single" w:sz="12" w:space="0" w:color="auto"/>
            </w:tcBorders>
            <w:vAlign w:val="center"/>
          </w:tcPr>
          <w:p>
            <w:pPr>
              <w:ind w:right="-29"/>
              <w:jc w:val="center"/>
              <w:rPr>
                <w:noProof/>
                <w:sz w:val="18"/>
                <w:szCs w:val="18"/>
              </w:rPr>
            </w:pPr>
            <w:r>
              <w:rPr>
                <w:noProof/>
                <w:sz w:val="18"/>
              </w:rPr>
              <w:t>Špecifický cieľ č. 1 medzisúčet</w:t>
            </w:r>
          </w:p>
        </w:tc>
        <w:tc>
          <w:tcPr>
            <w:tcW w:w="504"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54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900" w:type="dxa"/>
            <w:tcBorders>
              <w:bottom w:val="single" w:sz="12" w:space="0" w:color="auto"/>
            </w:tcBorders>
          </w:tcPr>
          <w:p>
            <w:pPr>
              <w:ind w:right="-29"/>
              <w:jc w:val="center"/>
              <w:rPr>
                <w:noProof/>
                <w:sz w:val="18"/>
                <w:szCs w:val="18"/>
              </w:rPr>
            </w:pPr>
          </w:p>
        </w:tc>
        <w:tc>
          <w:tcPr>
            <w:tcW w:w="720" w:type="dxa"/>
            <w:gridSpan w:val="2"/>
            <w:tcBorders>
              <w:bottom w:val="single" w:sz="12" w:space="0" w:color="auto"/>
            </w:tcBorders>
          </w:tcPr>
          <w:p>
            <w:pPr>
              <w:ind w:right="-29"/>
              <w:jc w:val="center"/>
              <w:rPr>
                <w:noProof/>
                <w:sz w:val="18"/>
                <w:szCs w:val="18"/>
              </w:rPr>
            </w:pPr>
          </w:p>
        </w:tc>
        <w:tc>
          <w:tcPr>
            <w:tcW w:w="540" w:type="dxa"/>
            <w:tcBorders>
              <w:bottom w:val="single" w:sz="12" w:space="0" w:color="auto"/>
            </w:tcBorders>
          </w:tcPr>
          <w:p>
            <w:pPr>
              <w:ind w:right="-29"/>
              <w:jc w:val="center"/>
              <w:rPr>
                <w:noProof/>
                <w:sz w:val="18"/>
                <w:szCs w:val="18"/>
              </w:rPr>
            </w:pPr>
          </w:p>
        </w:tc>
        <w:tc>
          <w:tcPr>
            <w:tcW w:w="648" w:type="dxa"/>
            <w:tcBorders>
              <w:bottom w:val="single" w:sz="12" w:space="0" w:color="auto"/>
            </w:tcBorders>
          </w:tcPr>
          <w:p>
            <w:pPr>
              <w:ind w:right="-29"/>
              <w:jc w:val="center"/>
              <w:rPr>
                <w:noProof/>
                <w:sz w:val="18"/>
                <w:szCs w:val="18"/>
              </w:rPr>
            </w:pPr>
          </w:p>
        </w:tc>
        <w:tc>
          <w:tcPr>
            <w:tcW w:w="432"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54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900" w:type="dxa"/>
            <w:tcBorders>
              <w:bottom w:val="single" w:sz="12" w:space="0" w:color="auto"/>
            </w:tcBorders>
          </w:tcPr>
          <w:p>
            <w:pPr>
              <w:ind w:right="-29"/>
              <w:jc w:val="center"/>
              <w:rPr>
                <w:noProof/>
                <w:sz w:val="18"/>
                <w:szCs w:val="18"/>
              </w:rPr>
            </w:pPr>
          </w:p>
        </w:tc>
      </w:tr>
      <w:tr>
        <w:trPr>
          <w:jc w:val="center"/>
        </w:trPr>
        <w:tc>
          <w:tcPr>
            <w:tcW w:w="2844" w:type="dxa"/>
            <w:gridSpan w:val="3"/>
            <w:vAlign w:val="center"/>
          </w:tcPr>
          <w:p>
            <w:pPr>
              <w:spacing w:before="60" w:after="60"/>
              <w:ind w:right="-29"/>
              <w:jc w:val="center"/>
              <w:rPr>
                <w:noProof/>
                <w:sz w:val="18"/>
                <w:szCs w:val="18"/>
              </w:rPr>
            </w:pPr>
            <w:r>
              <w:rPr>
                <w:noProof/>
                <w:sz w:val="18"/>
              </w:rPr>
              <w:t>ŠPECIFICKÝ CIEĽ č. 2…</w:t>
            </w:r>
          </w:p>
        </w:tc>
        <w:tc>
          <w:tcPr>
            <w:tcW w:w="504"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900" w:type="dxa"/>
            <w:tcBorders>
              <w:top w:val="nil"/>
              <w:left w:val="nil"/>
              <w:bottom w:val="nil"/>
              <w:right w:val="nil"/>
            </w:tcBorders>
          </w:tcPr>
          <w:p>
            <w:pPr>
              <w:spacing w:before="60" w:after="60"/>
              <w:ind w:right="-29"/>
              <w:jc w:val="center"/>
              <w:rPr>
                <w:noProof/>
                <w:sz w:val="18"/>
                <w:szCs w:val="18"/>
              </w:rPr>
            </w:pPr>
          </w:p>
        </w:tc>
        <w:tc>
          <w:tcPr>
            <w:tcW w:w="720" w:type="dxa"/>
            <w:gridSpan w:val="2"/>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648" w:type="dxa"/>
            <w:tcBorders>
              <w:top w:val="nil"/>
              <w:left w:val="nil"/>
              <w:bottom w:val="nil"/>
              <w:right w:val="nil"/>
            </w:tcBorders>
          </w:tcPr>
          <w:p>
            <w:pPr>
              <w:spacing w:before="60" w:after="60"/>
              <w:ind w:right="-29"/>
              <w:jc w:val="center"/>
              <w:rPr>
                <w:noProof/>
                <w:sz w:val="18"/>
                <w:szCs w:val="18"/>
              </w:rPr>
            </w:pPr>
          </w:p>
        </w:tc>
        <w:tc>
          <w:tcPr>
            <w:tcW w:w="432"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900" w:type="dxa"/>
            <w:tcBorders>
              <w:top w:val="nil"/>
              <w:left w:val="nil"/>
              <w:bottom w:val="nil"/>
              <w:right w:val="nil"/>
            </w:tcBorders>
          </w:tcPr>
          <w:p>
            <w:pPr>
              <w:spacing w:before="60" w:after="60"/>
              <w:ind w:right="-29"/>
              <w:jc w:val="center"/>
              <w:rPr>
                <w:noProof/>
                <w:sz w:val="18"/>
                <w:szCs w:val="18"/>
              </w:rPr>
            </w:pPr>
          </w:p>
        </w:tc>
      </w:tr>
      <w:tr>
        <w:trPr>
          <w:trHeight w:hRule="exact" w:val="369"/>
          <w:jc w:val="center"/>
        </w:trPr>
        <w:tc>
          <w:tcPr>
            <w:tcW w:w="1423" w:type="dxa"/>
          </w:tcPr>
          <w:p>
            <w:pPr>
              <w:ind w:right="-29"/>
              <w:jc w:val="center"/>
              <w:rPr>
                <w:noProof/>
                <w:sz w:val="18"/>
                <w:szCs w:val="18"/>
              </w:rPr>
            </w:pPr>
            <w:r>
              <w:rPr>
                <w:noProof/>
                <w:sz w:val="18"/>
              </w:rPr>
              <w:t>‒ Výstup</w:t>
            </w:r>
          </w:p>
        </w:tc>
        <w:tc>
          <w:tcPr>
            <w:tcW w:w="720" w:type="dxa"/>
          </w:tcPr>
          <w:p>
            <w:pPr>
              <w:ind w:right="-29"/>
              <w:jc w:val="center"/>
              <w:rPr>
                <w:noProof/>
                <w:sz w:val="18"/>
                <w:szCs w:val="18"/>
              </w:rPr>
            </w:pPr>
          </w:p>
        </w:tc>
        <w:tc>
          <w:tcPr>
            <w:tcW w:w="701" w:type="dxa"/>
          </w:tcPr>
          <w:p>
            <w:pPr>
              <w:ind w:right="-29"/>
              <w:jc w:val="center"/>
              <w:rPr>
                <w:noProof/>
                <w:sz w:val="18"/>
                <w:szCs w:val="18"/>
              </w:rPr>
            </w:pPr>
          </w:p>
        </w:tc>
        <w:tc>
          <w:tcPr>
            <w:tcW w:w="504" w:type="dxa"/>
          </w:tcPr>
          <w:p>
            <w:pPr>
              <w:ind w:right="-29"/>
              <w:jc w:val="center"/>
              <w:rPr>
                <w:noProof/>
                <w:sz w:val="18"/>
                <w:szCs w:val="18"/>
              </w:rPr>
            </w:pPr>
          </w:p>
        </w:tc>
        <w:tc>
          <w:tcPr>
            <w:tcW w:w="720" w:type="dxa"/>
          </w:tcPr>
          <w:p>
            <w:pPr>
              <w:ind w:right="-29"/>
              <w:jc w:val="center"/>
              <w:rPr>
                <w:noProof/>
                <w:sz w:val="18"/>
                <w:szCs w:val="18"/>
              </w:rPr>
            </w:pPr>
          </w:p>
        </w:tc>
        <w:tc>
          <w:tcPr>
            <w:tcW w:w="540" w:type="dxa"/>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900" w:type="dxa"/>
          </w:tcPr>
          <w:p>
            <w:pPr>
              <w:ind w:right="-29"/>
              <w:jc w:val="center"/>
              <w:rPr>
                <w:noProof/>
                <w:sz w:val="18"/>
                <w:szCs w:val="18"/>
              </w:rPr>
            </w:pPr>
          </w:p>
        </w:tc>
        <w:tc>
          <w:tcPr>
            <w:tcW w:w="720" w:type="dxa"/>
            <w:gridSpan w:val="2"/>
          </w:tcPr>
          <w:p>
            <w:pPr>
              <w:ind w:right="-29"/>
              <w:jc w:val="center"/>
              <w:rPr>
                <w:noProof/>
                <w:sz w:val="18"/>
                <w:szCs w:val="18"/>
              </w:rPr>
            </w:pPr>
          </w:p>
        </w:tc>
        <w:tc>
          <w:tcPr>
            <w:tcW w:w="540" w:type="dxa"/>
          </w:tcPr>
          <w:p>
            <w:pPr>
              <w:ind w:right="-29"/>
              <w:jc w:val="center"/>
              <w:rPr>
                <w:noProof/>
                <w:sz w:val="18"/>
                <w:szCs w:val="18"/>
              </w:rPr>
            </w:pPr>
          </w:p>
        </w:tc>
        <w:tc>
          <w:tcPr>
            <w:tcW w:w="648" w:type="dxa"/>
          </w:tcPr>
          <w:p>
            <w:pPr>
              <w:ind w:right="-29"/>
              <w:jc w:val="center"/>
              <w:rPr>
                <w:noProof/>
                <w:sz w:val="18"/>
                <w:szCs w:val="18"/>
              </w:rPr>
            </w:pPr>
          </w:p>
        </w:tc>
        <w:tc>
          <w:tcPr>
            <w:tcW w:w="432" w:type="dxa"/>
          </w:tcPr>
          <w:p>
            <w:pPr>
              <w:ind w:right="-29"/>
              <w:jc w:val="center"/>
              <w:rPr>
                <w:noProof/>
                <w:sz w:val="18"/>
                <w:szCs w:val="18"/>
              </w:rPr>
            </w:pPr>
          </w:p>
        </w:tc>
        <w:tc>
          <w:tcPr>
            <w:tcW w:w="720" w:type="dxa"/>
          </w:tcPr>
          <w:p>
            <w:pPr>
              <w:ind w:right="-29"/>
              <w:jc w:val="center"/>
              <w:rPr>
                <w:noProof/>
                <w:sz w:val="18"/>
                <w:szCs w:val="18"/>
              </w:rPr>
            </w:pPr>
          </w:p>
        </w:tc>
        <w:tc>
          <w:tcPr>
            <w:tcW w:w="540" w:type="dxa"/>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900" w:type="dxa"/>
          </w:tcPr>
          <w:p>
            <w:pPr>
              <w:ind w:right="-29"/>
              <w:jc w:val="center"/>
              <w:rPr>
                <w:noProof/>
                <w:sz w:val="18"/>
                <w:szCs w:val="18"/>
              </w:rPr>
            </w:pPr>
          </w:p>
        </w:tc>
      </w:tr>
      <w:tr>
        <w:trPr>
          <w:jc w:val="center"/>
        </w:trPr>
        <w:tc>
          <w:tcPr>
            <w:tcW w:w="2844" w:type="dxa"/>
            <w:gridSpan w:val="3"/>
            <w:tcBorders>
              <w:bottom w:val="single" w:sz="12" w:space="0" w:color="auto"/>
            </w:tcBorders>
            <w:vAlign w:val="center"/>
          </w:tcPr>
          <w:p>
            <w:pPr>
              <w:jc w:val="center"/>
              <w:rPr>
                <w:noProof/>
                <w:sz w:val="18"/>
                <w:szCs w:val="18"/>
              </w:rPr>
            </w:pPr>
            <w:r>
              <w:rPr>
                <w:noProof/>
                <w:sz w:val="18"/>
              </w:rPr>
              <w:t>Špecifický cieľ č. 2 medzisúčet</w:t>
            </w:r>
          </w:p>
        </w:tc>
        <w:tc>
          <w:tcPr>
            <w:tcW w:w="504"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54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951" w:type="dxa"/>
            <w:gridSpan w:val="2"/>
            <w:tcBorders>
              <w:bottom w:val="single" w:sz="12" w:space="0" w:color="auto"/>
            </w:tcBorders>
          </w:tcPr>
          <w:p>
            <w:pPr>
              <w:ind w:right="-29"/>
              <w:jc w:val="center"/>
              <w:rPr>
                <w:noProof/>
                <w:sz w:val="18"/>
                <w:szCs w:val="18"/>
              </w:rPr>
            </w:pPr>
          </w:p>
        </w:tc>
        <w:tc>
          <w:tcPr>
            <w:tcW w:w="669" w:type="dxa"/>
            <w:tcBorders>
              <w:bottom w:val="single" w:sz="12" w:space="0" w:color="auto"/>
            </w:tcBorders>
          </w:tcPr>
          <w:p>
            <w:pPr>
              <w:ind w:right="-29"/>
              <w:jc w:val="center"/>
              <w:rPr>
                <w:noProof/>
                <w:sz w:val="18"/>
                <w:szCs w:val="18"/>
              </w:rPr>
            </w:pPr>
          </w:p>
        </w:tc>
        <w:tc>
          <w:tcPr>
            <w:tcW w:w="540" w:type="dxa"/>
            <w:tcBorders>
              <w:bottom w:val="single" w:sz="12" w:space="0" w:color="auto"/>
            </w:tcBorders>
          </w:tcPr>
          <w:p>
            <w:pPr>
              <w:ind w:right="-29"/>
              <w:jc w:val="center"/>
              <w:rPr>
                <w:noProof/>
                <w:sz w:val="18"/>
                <w:szCs w:val="18"/>
              </w:rPr>
            </w:pPr>
          </w:p>
        </w:tc>
        <w:tc>
          <w:tcPr>
            <w:tcW w:w="648" w:type="dxa"/>
            <w:tcBorders>
              <w:bottom w:val="single" w:sz="12" w:space="0" w:color="auto"/>
            </w:tcBorders>
          </w:tcPr>
          <w:p>
            <w:pPr>
              <w:ind w:right="-29"/>
              <w:jc w:val="center"/>
              <w:rPr>
                <w:noProof/>
                <w:sz w:val="18"/>
                <w:szCs w:val="18"/>
              </w:rPr>
            </w:pPr>
          </w:p>
        </w:tc>
        <w:tc>
          <w:tcPr>
            <w:tcW w:w="432"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54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900" w:type="dxa"/>
            <w:tcBorders>
              <w:bottom w:val="single" w:sz="12" w:space="0" w:color="auto"/>
            </w:tcBorders>
          </w:tcPr>
          <w:p>
            <w:pPr>
              <w:ind w:right="-29"/>
              <w:jc w:val="center"/>
              <w:rPr>
                <w:noProof/>
                <w:sz w:val="18"/>
                <w:szCs w:val="18"/>
              </w:rPr>
            </w:pPr>
          </w:p>
        </w:tc>
      </w:tr>
      <w:tr>
        <w:trPr>
          <w:jc w:val="center"/>
        </w:trPr>
        <w:tc>
          <w:tcPr>
            <w:tcW w:w="2844" w:type="dxa"/>
            <w:gridSpan w:val="3"/>
            <w:tcBorders>
              <w:top w:val="single" w:sz="12" w:space="0" w:color="auto"/>
              <w:left w:val="single" w:sz="12" w:space="0" w:color="auto"/>
              <w:bottom w:val="single" w:sz="12" w:space="0" w:color="auto"/>
            </w:tcBorders>
            <w:vAlign w:val="center"/>
          </w:tcPr>
          <w:p>
            <w:pPr>
              <w:ind w:right="-29"/>
              <w:jc w:val="center"/>
              <w:rPr>
                <w:noProof/>
                <w:sz w:val="18"/>
                <w:szCs w:val="18"/>
              </w:rPr>
            </w:pPr>
            <w:r>
              <w:rPr>
                <w:b/>
                <w:noProof/>
                <w:sz w:val="18"/>
              </w:rPr>
              <w:t>NÁKLADY SPOLU</w:t>
            </w:r>
          </w:p>
        </w:tc>
        <w:tc>
          <w:tcPr>
            <w:tcW w:w="504"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540"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900" w:type="dxa"/>
            <w:tcBorders>
              <w:top w:val="single" w:sz="12" w:space="0" w:color="auto"/>
              <w:bottom w:val="single" w:sz="12" w:space="0" w:color="auto"/>
            </w:tcBorders>
          </w:tcPr>
          <w:p>
            <w:pPr>
              <w:spacing w:before="180" w:after="180"/>
              <w:ind w:right="-29"/>
              <w:jc w:val="center"/>
              <w:rPr>
                <w:noProof/>
                <w:sz w:val="18"/>
                <w:szCs w:val="18"/>
              </w:rPr>
            </w:pPr>
          </w:p>
        </w:tc>
        <w:tc>
          <w:tcPr>
            <w:tcW w:w="720" w:type="dxa"/>
            <w:gridSpan w:val="2"/>
            <w:tcBorders>
              <w:top w:val="single" w:sz="12" w:space="0" w:color="auto"/>
              <w:bottom w:val="single" w:sz="12" w:space="0" w:color="auto"/>
            </w:tcBorders>
          </w:tcPr>
          <w:p>
            <w:pPr>
              <w:spacing w:before="180" w:after="180"/>
              <w:ind w:right="-29"/>
              <w:jc w:val="center"/>
              <w:rPr>
                <w:noProof/>
                <w:sz w:val="18"/>
                <w:szCs w:val="18"/>
              </w:rPr>
            </w:pPr>
          </w:p>
        </w:tc>
        <w:tc>
          <w:tcPr>
            <w:tcW w:w="540" w:type="dxa"/>
            <w:tcBorders>
              <w:top w:val="single" w:sz="12" w:space="0" w:color="auto"/>
              <w:bottom w:val="single" w:sz="12" w:space="0" w:color="auto"/>
            </w:tcBorders>
          </w:tcPr>
          <w:p>
            <w:pPr>
              <w:spacing w:before="180" w:after="180"/>
              <w:ind w:right="-29"/>
              <w:jc w:val="center"/>
              <w:rPr>
                <w:noProof/>
                <w:sz w:val="18"/>
                <w:szCs w:val="18"/>
              </w:rPr>
            </w:pPr>
          </w:p>
        </w:tc>
        <w:tc>
          <w:tcPr>
            <w:tcW w:w="648" w:type="dxa"/>
            <w:tcBorders>
              <w:top w:val="single" w:sz="12" w:space="0" w:color="auto"/>
              <w:bottom w:val="single" w:sz="12" w:space="0" w:color="auto"/>
            </w:tcBorders>
          </w:tcPr>
          <w:p>
            <w:pPr>
              <w:spacing w:before="180" w:after="180"/>
              <w:ind w:right="-29"/>
              <w:jc w:val="center"/>
              <w:rPr>
                <w:noProof/>
                <w:sz w:val="18"/>
                <w:szCs w:val="18"/>
              </w:rPr>
            </w:pPr>
          </w:p>
        </w:tc>
        <w:tc>
          <w:tcPr>
            <w:tcW w:w="432"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540"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900" w:type="dxa"/>
            <w:tcBorders>
              <w:top w:val="single" w:sz="12" w:space="0" w:color="auto"/>
              <w:bottom w:val="single" w:sz="12" w:space="0" w:color="auto"/>
              <w:right w:val="single" w:sz="12" w:space="0" w:color="auto"/>
            </w:tcBorders>
          </w:tcPr>
          <w:p>
            <w:pPr>
              <w:spacing w:before="180" w:after="180"/>
              <w:ind w:right="-29"/>
              <w:jc w:val="center"/>
              <w:rPr>
                <w:noProof/>
                <w:sz w:val="18"/>
                <w:szCs w:val="18"/>
              </w:rPr>
            </w:pPr>
          </w:p>
        </w:tc>
      </w:tr>
    </w:tbl>
    <w:p>
      <w:pPr>
        <w:rPr>
          <w:noProof/>
        </w:rPr>
        <w:sectPr>
          <w:pgSz w:w="16840" w:h="11907" w:orient="landscape" w:code="9"/>
          <w:pgMar w:top="1134" w:right="1418" w:bottom="567" w:left="1418" w:header="709" w:footer="709" w:gutter="0"/>
          <w:cols w:space="708"/>
          <w:docGrid w:linePitch="360"/>
        </w:sectPr>
      </w:pPr>
    </w:p>
    <w:p>
      <w:pPr>
        <w:pStyle w:val="ManualHeading3"/>
        <w:rPr>
          <w:bCs/>
          <w:noProof/>
          <w:szCs w:val="24"/>
        </w:rPr>
      </w:pPr>
      <w:r>
        <w:rPr>
          <w:noProof/>
        </w:rPr>
        <w:t>3.2.3.</w:t>
      </w:r>
      <w:r>
        <w:rPr>
          <w:noProof/>
        </w:rPr>
        <w:tab/>
        <w:t>Odhadovaný vplyv na administratívne rozpočtové prostriedky</w:t>
      </w:r>
    </w:p>
    <w:p>
      <w:pPr>
        <w:pStyle w:val="ManualHeading4"/>
        <w:rPr>
          <w:noProof/>
        </w:rPr>
      </w:pPr>
      <w:r>
        <w:rPr>
          <w:noProof/>
        </w:rPr>
        <w:t>3.2.3.1</w:t>
      </w:r>
      <w:r>
        <w:rPr>
          <w:noProof/>
        </w:rPr>
        <w:tab/>
        <w:t xml:space="preserve">Zhrnutie </w:t>
      </w:r>
    </w:p>
    <w:p>
      <w:pPr>
        <w:pStyle w:val="ListDash1"/>
        <w:rPr>
          <w:noProof/>
        </w:rPr>
      </w:pPr>
      <w:r>
        <w:rPr>
          <w:noProof/>
        </w:rPr>
        <w:sym w:font="Wingdings" w:char="F0A8"/>
      </w:r>
      <w:r>
        <w:rPr>
          <w:noProof/>
        </w:rPr>
        <w:tab/>
        <w:t xml:space="preserve">Návrh/iniciatíva si nevyžaduje použitie administratívnych rozpočtových prostriedkov </w:t>
      </w:r>
    </w:p>
    <w:p>
      <w:pPr>
        <w:pStyle w:val="ListDash1"/>
        <w:rPr>
          <w:noProof/>
        </w:rPr>
      </w:pPr>
      <w:r>
        <w:rPr>
          <w:noProof/>
        </w:rPr>
        <w:sym w:font="Wingdings" w:char="F0FE"/>
      </w:r>
      <w:r>
        <w:rPr>
          <w:noProof/>
        </w:rPr>
        <w:tab/>
        <w:t>Návrh/iniciatíva si vyžaduje použitie administratívnych rozpočtových prostriedkov, ako je uvedené v nasledujúcej tabuľke:</w:t>
      </w:r>
    </w:p>
    <w:p>
      <w:pPr>
        <w:pStyle w:val="Text1"/>
        <w:rPr>
          <w:noProof/>
        </w:rPr>
      </w:pPr>
    </w:p>
    <w:p>
      <w:pPr>
        <w:jc w:val="center"/>
        <w:rPr>
          <w:noProof/>
          <w:sz w:val="20"/>
        </w:rPr>
      </w:pPr>
      <w:r>
        <w:rPr>
          <w:noProof/>
          <w:sz w:val="20"/>
        </w:rPr>
        <w:t>v mil. EUR (zaokrúhlené na tri desatinné miesta)</w:t>
      </w:r>
    </w:p>
    <w:tbl>
      <w:tblPr>
        <w:tblW w:w="954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tblGrid>
      <w:tr>
        <w:trPr>
          <w:trHeight w:val="585"/>
        </w:trPr>
        <w:tc>
          <w:tcPr>
            <w:tcW w:w="1980" w:type="dxa"/>
          </w:tcPr>
          <w:p>
            <w:pPr>
              <w:spacing w:before="60" w:after="60" w:line="200" w:lineRule="exact"/>
              <w:rPr>
                <w:noProof/>
                <w:sz w:val="16"/>
                <w:szCs w:val="16"/>
              </w:rPr>
            </w:pPr>
          </w:p>
        </w:tc>
        <w:tc>
          <w:tcPr>
            <w:tcW w:w="1080" w:type="dxa"/>
            <w:vAlign w:val="center"/>
          </w:tcPr>
          <w:p>
            <w:pPr>
              <w:spacing w:before="60" w:after="60" w:line="200" w:lineRule="exact"/>
              <w:jc w:val="center"/>
              <w:rPr>
                <w:noProof/>
                <w:sz w:val="16"/>
                <w:szCs w:val="16"/>
              </w:rPr>
            </w:pPr>
            <w:r>
              <w:rPr>
                <w:noProof/>
              </w:rPr>
              <w:t>Rok</w:t>
            </w:r>
            <w:r>
              <w:rPr>
                <w:noProof/>
              </w:rPr>
              <w:br/>
            </w:r>
            <w:r>
              <w:rPr>
                <w:b/>
                <w:noProof/>
                <w:sz w:val="16"/>
              </w:rPr>
              <w:t>2019</w:t>
            </w:r>
            <w:r>
              <w:rPr>
                <w:rStyle w:val="FootnoteReference"/>
                <w:b/>
                <w:noProof/>
                <w:sz w:val="16"/>
              </w:rPr>
              <w:footnoteReference w:id="23"/>
            </w:r>
          </w:p>
        </w:tc>
        <w:tc>
          <w:tcPr>
            <w:tcW w:w="1080" w:type="dxa"/>
            <w:vAlign w:val="center"/>
          </w:tcPr>
          <w:p>
            <w:pPr>
              <w:spacing w:before="60" w:after="60" w:line="200" w:lineRule="exact"/>
              <w:jc w:val="center"/>
              <w:rPr>
                <w:noProof/>
                <w:sz w:val="16"/>
                <w:szCs w:val="16"/>
              </w:rPr>
            </w:pPr>
            <w:r>
              <w:rPr>
                <w:noProof/>
              </w:rPr>
              <w:t>Rok</w:t>
            </w:r>
            <w:r>
              <w:rPr>
                <w:noProof/>
              </w:rPr>
              <w:br/>
            </w:r>
            <w:r>
              <w:rPr>
                <w:b/>
                <w:noProof/>
                <w:sz w:val="16"/>
              </w:rPr>
              <w:t>2020</w:t>
            </w:r>
          </w:p>
        </w:tc>
        <w:tc>
          <w:tcPr>
            <w:tcW w:w="1080" w:type="dxa"/>
            <w:vAlign w:val="center"/>
          </w:tcPr>
          <w:p>
            <w:pPr>
              <w:spacing w:before="60" w:after="60" w:line="200" w:lineRule="exact"/>
              <w:jc w:val="center"/>
              <w:rPr>
                <w:noProof/>
                <w:sz w:val="16"/>
                <w:szCs w:val="16"/>
              </w:rPr>
            </w:pPr>
            <w:r>
              <w:rPr>
                <w:noProof/>
              </w:rPr>
              <w:t>Rok</w:t>
            </w:r>
            <w:r>
              <w:rPr>
                <w:noProof/>
              </w:rPr>
              <w:br/>
            </w:r>
            <w:r>
              <w:rPr>
                <w:b/>
                <w:noProof/>
                <w:sz w:val="16"/>
              </w:rPr>
              <w:t>2021</w:t>
            </w:r>
          </w:p>
        </w:tc>
        <w:tc>
          <w:tcPr>
            <w:tcW w:w="1080" w:type="dxa"/>
            <w:vAlign w:val="center"/>
          </w:tcPr>
          <w:p>
            <w:pPr>
              <w:spacing w:before="60" w:after="60" w:line="200" w:lineRule="exact"/>
              <w:jc w:val="center"/>
              <w:rPr>
                <w:noProof/>
                <w:sz w:val="16"/>
                <w:szCs w:val="16"/>
              </w:rPr>
            </w:pPr>
            <w:r>
              <w:rPr>
                <w:noProof/>
              </w:rPr>
              <w:t>Rok</w:t>
            </w:r>
            <w:r>
              <w:rPr>
                <w:noProof/>
              </w:rPr>
              <w:br/>
            </w:r>
            <w:r>
              <w:rPr>
                <w:b/>
                <w:noProof/>
                <w:sz w:val="16"/>
              </w:rPr>
              <w:t>2022</w:t>
            </w:r>
          </w:p>
        </w:tc>
        <w:tc>
          <w:tcPr>
            <w:tcW w:w="1080" w:type="dxa"/>
          </w:tcPr>
          <w:p>
            <w:pPr>
              <w:spacing w:before="60" w:after="60" w:line="200" w:lineRule="exact"/>
              <w:jc w:val="center"/>
              <w:rPr>
                <w:b/>
                <w:noProof/>
                <w:sz w:val="16"/>
              </w:rPr>
            </w:pPr>
            <w:r>
              <w:rPr>
                <w:noProof/>
              </w:rPr>
              <w:t>Rok</w:t>
            </w:r>
            <w:r>
              <w:rPr>
                <w:noProof/>
              </w:rPr>
              <w:br/>
            </w:r>
            <w:r>
              <w:rPr>
                <w:b/>
                <w:noProof/>
                <w:sz w:val="16"/>
              </w:rPr>
              <w:t>2023</w:t>
            </w:r>
          </w:p>
        </w:tc>
        <w:tc>
          <w:tcPr>
            <w:tcW w:w="1080" w:type="dxa"/>
          </w:tcPr>
          <w:p>
            <w:pPr>
              <w:spacing w:before="60" w:after="60" w:line="200" w:lineRule="exact"/>
              <w:jc w:val="center"/>
              <w:rPr>
                <w:b/>
                <w:noProof/>
                <w:sz w:val="16"/>
              </w:rPr>
            </w:pPr>
            <w:r>
              <w:rPr>
                <w:noProof/>
              </w:rPr>
              <w:t>Rok</w:t>
            </w:r>
            <w:r>
              <w:rPr>
                <w:noProof/>
              </w:rPr>
              <w:br/>
            </w:r>
            <w:r>
              <w:rPr>
                <w:b/>
                <w:noProof/>
                <w:sz w:val="16"/>
              </w:rPr>
              <w:t>2024</w:t>
            </w:r>
          </w:p>
        </w:tc>
        <w:tc>
          <w:tcPr>
            <w:tcW w:w="1080" w:type="dxa"/>
            <w:vAlign w:val="center"/>
          </w:tcPr>
          <w:p>
            <w:pPr>
              <w:spacing w:before="60" w:after="60" w:line="200" w:lineRule="exact"/>
              <w:jc w:val="center"/>
              <w:rPr>
                <w:b/>
                <w:noProof/>
                <w:sz w:val="16"/>
                <w:szCs w:val="16"/>
              </w:rPr>
            </w:pPr>
            <w:r>
              <w:rPr>
                <w:b/>
                <w:noProof/>
                <w:sz w:val="16"/>
              </w:rPr>
              <w:t>SPOLU</w:t>
            </w:r>
          </w:p>
        </w:tc>
      </w:tr>
    </w:tbl>
    <w:p>
      <w:pPr>
        <w:spacing w:line="200" w:lineRule="exact"/>
        <w:rPr>
          <w:noProof/>
          <w:sz w:val="16"/>
          <w:szCs w:val="16"/>
        </w:rPr>
      </w:pPr>
    </w:p>
    <w:tbl>
      <w:tblPr>
        <w:tblW w:w="954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tblGrid>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OKRUH 5</w:t>
            </w:r>
            <w:r>
              <w:rPr>
                <w:noProof/>
              </w:rPr>
              <w:br/>
            </w:r>
            <w:r>
              <w:rPr>
                <w:b/>
                <w:noProof/>
                <w:sz w:val="16"/>
              </w:rPr>
              <w:t>viacročného finančného rámca</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tcPr>
          <w:p>
            <w:pPr>
              <w:spacing w:before="60" w:after="60" w:line="200" w:lineRule="exact"/>
              <w:jc w:val="right"/>
              <w:rPr>
                <w:b/>
                <w:noProof/>
                <w:sz w:val="16"/>
                <w:szCs w:val="16"/>
              </w:rPr>
            </w:pPr>
          </w:p>
        </w:tc>
        <w:tc>
          <w:tcPr>
            <w:tcW w:w="1080" w:type="dxa"/>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Ľudské zdroje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tcPr>
          <w:p>
            <w:pPr>
              <w:spacing w:before="60" w:after="60" w:line="200" w:lineRule="exact"/>
              <w:jc w:val="right"/>
              <w:rPr>
                <w:b/>
                <w:noProof/>
                <w:sz w:val="16"/>
                <w:szCs w:val="16"/>
              </w:rPr>
            </w:pPr>
          </w:p>
        </w:tc>
        <w:tc>
          <w:tcPr>
            <w:tcW w:w="1080" w:type="dxa"/>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Ostatné administratívne výdavky </w:t>
            </w:r>
          </w:p>
        </w:tc>
        <w:tc>
          <w:tcPr>
            <w:tcW w:w="1080" w:type="dxa"/>
            <w:vAlign w:val="center"/>
          </w:tcPr>
          <w:p>
            <w:pPr>
              <w:spacing w:before="20" w:after="20"/>
              <w:jc w:val="right"/>
              <w:rPr>
                <w:b/>
                <w:noProof/>
                <w:sz w:val="20"/>
              </w:rPr>
            </w:pPr>
          </w:p>
        </w:tc>
        <w:tc>
          <w:tcPr>
            <w:tcW w:w="1080" w:type="dxa"/>
            <w:vAlign w:val="center"/>
          </w:tcPr>
          <w:p>
            <w:pPr>
              <w:spacing w:before="20" w:after="20"/>
              <w:jc w:val="right"/>
              <w:rPr>
                <w:b/>
                <w:noProof/>
                <w:sz w:val="20"/>
              </w:rPr>
            </w:pPr>
          </w:p>
        </w:tc>
        <w:tc>
          <w:tcPr>
            <w:tcW w:w="1080" w:type="dxa"/>
            <w:vAlign w:val="center"/>
          </w:tcPr>
          <w:p>
            <w:pPr>
              <w:spacing w:before="20" w:after="20"/>
              <w:jc w:val="right"/>
              <w:rPr>
                <w:b/>
                <w:noProof/>
                <w:sz w:val="20"/>
              </w:rPr>
            </w:pPr>
          </w:p>
        </w:tc>
        <w:tc>
          <w:tcPr>
            <w:tcW w:w="1080" w:type="dxa"/>
            <w:vAlign w:val="center"/>
          </w:tcPr>
          <w:p>
            <w:pPr>
              <w:spacing w:before="20" w:after="20"/>
              <w:jc w:val="right"/>
              <w:rPr>
                <w:b/>
                <w:noProof/>
                <w:sz w:val="20"/>
              </w:rPr>
            </w:pPr>
          </w:p>
        </w:tc>
        <w:tc>
          <w:tcPr>
            <w:tcW w:w="1080" w:type="dxa"/>
            <w:vAlign w:val="center"/>
          </w:tcPr>
          <w:p>
            <w:pPr>
              <w:spacing w:before="20" w:after="20"/>
              <w:jc w:val="right"/>
              <w:rPr>
                <w:b/>
                <w:noProof/>
                <w:sz w:val="20"/>
              </w:rPr>
            </w:pPr>
          </w:p>
        </w:tc>
        <w:tc>
          <w:tcPr>
            <w:tcW w:w="1080" w:type="dxa"/>
            <w:vAlign w:val="center"/>
          </w:tcPr>
          <w:p>
            <w:pPr>
              <w:spacing w:before="20" w:after="20"/>
              <w:jc w:val="right"/>
              <w:rPr>
                <w:b/>
                <w:noProof/>
                <w:sz w:val="20"/>
              </w:rPr>
            </w:pPr>
          </w:p>
        </w:tc>
        <w:tc>
          <w:tcPr>
            <w:tcW w:w="1080" w:type="dxa"/>
            <w:vAlign w:val="center"/>
          </w:tcPr>
          <w:p>
            <w:pPr>
              <w:spacing w:before="20" w:after="20"/>
              <w:jc w:val="right"/>
              <w:rPr>
                <w:b/>
                <w:noProof/>
                <w:sz w:val="20"/>
              </w:rPr>
            </w:pPr>
          </w:p>
        </w:tc>
      </w:tr>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Medzisúčet OKRUHU 5</w:t>
            </w:r>
            <w:r>
              <w:rPr>
                <w:noProof/>
              </w:rPr>
              <w:br/>
            </w:r>
            <w:r>
              <w:rPr>
                <w:b/>
                <w:noProof/>
                <w:sz w:val="16"/>
              </w:rPr>
              <w:t xml:space="preserve">viacročného finančného rámca </w:t>
            </w:r>
          </w:p>
        </w:tc>
        <w:tc>
          <w:tcPr>
            <w:tcW w:w="1080" w:type="dxa"/>
            <w:vAlign w:val="center"/>
          </w:tcPr>
          <w:p>
            <w:pPr>
              <w:spacing w:before="20" w:after="20"/>
              <w:jc w:val="right"/>
              <w:rPr>
                <w:b/>
                <w:noProof/>
                <w:sz w:val="20"/>
              </w:rPr>
            </w:pPr>
          </w:p>
        </w:tc>
        <w:tc>
          <w:tcPr>
            <w:tcW w:w="1080" w:type="dxa"/>
            <w:vAlign w:val="center"/>
          </w:tcPr>
          <w:p>
            <w:pPr>
              <w:spacing w:before="20" w:after="20"/>
              <w:jc w:val="right"/>
              <w:rPr>
                <w:b/>
                <w:noProof/>
                <w:sz w:val="20"/>
              </w:rPr>
            </w:pPr>
          </w:p>
        </w:tc>
        <w:tc>
          <w:tcPr>
            <w:tcW w:w="1080" w:type="dxa"/>
            <w:vAlign w:val="center"/>
          </w:tcPr>
          <w:p>
            <w:pPr>
              <w:spacing w:before="20" w:after="20"/>
              <w:jc w:val="right"/>
              <w:rPr>
                <w:b/>
                <w:noProof/>
                <w:sz w:val="20"/>
              </w:rPr>
            </w:pPr>
          </w:p>
        </w:tc>
        <w:tc>
          <w:tcPr>
            <w:tcW w:w="1080" w:type="dxa"/>
            <w:vAlign w:val="center"/>
          </w:tcPr>
          <w:p>
            <w:pPr>
              <w:spacing w:before="20" w:after="20"/>
              <w:jc w:val="right"/>
              <w:rPr>
                <w:b/>
                <w:noProof/>
                <w:sz w:val="20"/>
              </w:rPr>
            </w:pPr>
          </w:p>
        </w:tc>
        <w:tc>
          <w:tcPr>
            <w:tcW w:w="1080" w:type="dxa"/>
            <w:vAlign w:val="center"/>
          </w:tcPr>
          <w:p>
            <w:pPr>
              <w:spacing w:before="20" w:after="20"/>
              <w:jc w:val="right"/>
              <w:rPr>
                <w:b/>
                <w:noProof/>
                <w:sz w:val="20"/>
              </w:rPr>
            </w:pPr>
          </w:p>
        </w:tc>
        <w:tc>
          <w:tcPr>
            <w:tcW w:w="1080" w:type="dxa"/>
            <w:vAlign w:val="center"/>
          </w:tcPr>
          <w:p>
            <w:pPr>
              <w:spacing w:before="20" w:after="20"/>
              <w:jc w:val="right"/>
              <w:rPr>
                <w:b/>
                <w:noProof/>
                <w:sz w:val="20"/>
              </w:rPr>
            </w:pPr>
          </w:p>
        </w:tc>
        <w:tc>
          <w:tcPr>
            <w:tcW w:w="1080" w:type="dxa"/>
            <w:vAlign w:val="center"/>
          </w:tcPr>
          <w:p>
            <w:pPr>
              <w:spacing w:before="20" w:after="20"/>
              <w:jc w:val="right"/>
              <w:rPr>
                <w:b/>
                <w:noProof/>
                <w:sz w:val="20"/>
              </w:rPr>
            </w:pPr>
          </w:p>
        </w:tc>
      </w:tr>
    </w:tbl>
    <w:p>
      <w:pPr>
        <w:spacing w:line="200" w:lineRule="exact"/>
        <w:rPr>
          <w:noProof/>
          <w:sz w:val="16"/>
          <w:szCs w:val="16"/>
        </w:rPr>
      </w:pPr>
    </w:p>
    <w:tbl>
      <w:tblPr>
        <w:tblW w:w="954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tblGrid>
      <w:tr>
        <w:trPr>
          <w:trHeight w:val="585"/>
        </w:trPr>
        <w:tc>
          <w:tcPr>
            <w:tcW w:w="1980" w:type="dxa"/>
            <w:shd w:val="clear" w:color="auto" w:fill="CCCCCC"/>
            <w:vAlign w:val="center"/>
          </w:tcPr>
          <w:p>
            <w:pPr>
              <w:spacing w:before="60" w:after="60" w:line="200" w:lineRule="exact"/>
              <w:jc w:val="center"/>
              <w:rPr>
                <w:noProof/>
                <w:sz w:val="16"/>
                <w:szCs w:val="16"/>
              </w:rPr>
            </w:pPr>
            <w:r>
              <w:rPr>
                <w:b/>
                <w:noProof/>
                <w:sz w:val="16"/>
              </w:rPr>
              <w:t>mimo OKRUHU 5</w:t>
            </w:r>
            <w:r>
              <w:rPr>
                <w:rStyle w:val="FootnoteReference"/>
                <w:b/>
                <w:noProof/>
                <w:sz w:val="16"/>
              </w:rPr>
              <w:footnoteReference w:id="24"/>
            </w:r>
            <w:r>
              <w:rPr>
                <w:noProof/>
              </w:rPr>
              <w:br/>
            </w:r>
            <w:r>
              <w:rPr>
                <w:b/>
                <w:noProof/>
                <w:sz w:val="16"/>
              </w:rPr>
              <w:t xml:space="preserve">viacročného finančného rámca </w:t>
            </w:r>
          </w:p>
          <w:p>
            <w:pPr>
              <w:spacing w:before="0" w:after="0" w:line="200" w:lineRule="exact"/>
              <w:jc w:val="center"/>
              <w:rPr>
                <w:b/>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Ľudské zdroje </w:t>
            </w:r>
          </w:p>
        </w:tc>
        <w:tc>
          <w:tcPr>
            <w:tcW w:w="1080" w:type="dxa"/>
            <w:vAlign w:val="center"/>
          </w:tcPr>
          <w:p>
            <w:pPr>
              <w:pStyle w:val="Default"/>
              <w:jc w:val="right"/>
              <w:rPr>
                <w:noProof/>
                <w:sz w:val="20"/>
                <w:szCs w:val="20"/>
              </w:rPr>
            </w:pPr>
            <w:r>
              <w:rPr>
                <w:b/>
                <w:noProof/>
                <w:sz w:val="20"/>
              </w:rPr>
              <w:t>0,050</w:t>
            </w:r>
          </w:p>
        </w:tc>
        <w:tc>
          <w:tcPr>
            <w:tcW w:w="1080" w:type="dxa"/>
            <w:vAlign w:val="center"/>
          </w:tcPr>
          <w:p>
            <w:pPr>
              <w:pStyle w:val="Default"/>
              <w:jc w:val="right"/>
              <w:rPr>
                <w:noProof/>
                <w:sz w:val="20"/>
                <w:szCs w:val="20"/>
              </w:rPr>
            </w:pPr>
            <w:r>
              <w:rPr>
                <w:b/>
                <w:noProof/>
                <w:sz w:val="20"/>
              </w:rPr>
              <w:t>0,060</w:t>
            </w:r>
          </w:p>
        </w:tc>
        <w:tc>
          <w:tcPr>
            <w:tcW w:w="1080" w:type="dxa"/>
            <w:vAlign w:val="center"/>
          </w:tcPr>
          <w:p>
            <w:pPr>
              <w:pStyle w:val="Default"/>
              <w:jc w:val="right"/>
              <w:rPr>
                <w:noProof/>
                <w:sz w:val="20"/>
                <w:szCs w:val="20"/>
              </w:rPr>
            </w:pPr>
            <w:r>
              <w:rPr>
                <w:b/>
                <w:noProof/>
                <w:sz w:val="20"/>
              </w:rPr>
              <w:t>0,060</w:t>
            </w:r>
          </w:p>
        </w:tc>
        <w:tc>
          <w:tcPr>
            <w:tcW w:w="1080" w:type="dxa"/>
            <w:vAlign w:val="center"/>
          </w:tcPr>
          <w:p>
            <w:pPr>
              <w:pStyle w:val="Default"/>
              <w:jc w:val="right"/>
              <w:rPr>
                <w:b/>
                <w:bCs/>
                <w:noProof/>
                <w:sz w:val="20"/>
                <w:szCs w:val="20"/>
              </w:rPr>
            </w:pPr>
            <w:r>
              <w:rPr>
                <w:b/>
                <w:noProof/>
                <w:sz w:val="20"/>
              </w:rPr>
              <w:t>0,060</w:t>
            </w:r>
          </w:p>
        </w:tc>
        <w:tc>
          <w:tcPr>
            <w:tcW w:w="1080" w:type="dxa"/>
            <w:vAlign w:val="center"/>
          </w:tcPr>
          <w:p>
            <w:pPr>
              <w:pStyle w:val="Default"/>
              <w:jc w:val="right"/>
              <w:rPr>
                <w:b/>
                <w:noProof/>
                <w:sz w:val="20"/>
                <w:szCs w:val="20"/>
              </w:rPr>
            </w:pPr>
            <w:r>
              <w:rPr>
                <w:b/>
                <w:noProof/>
                <w:sz w:val="20"/>
              </w:rPr>
              <w:t>0,060</w:t>
            </w:r>
          </w:p>
        </w:tc>
        <w:tc>
          <w:tcPr>
            <w:tcW w:w="1080" w:type="dxa"/>
            <w:vAlign w:val="center"/>
          </w:tcPr>
          <w:p>
            <w:pPr>
              <w:pStyle w:val="Default"/>
              <w:jc w:val="right"/>
              <w:rPr>
                <w:b/>
                <w:noProof/>
                <w:sz w:val="20"/>
                <w:szCs w:val="20"/>
              </w:rPr>
            </w:pPr>
            <w:r>
              <w:rPr>
                <w:b/>
                <w:noProof/>
                <w:sz w:val="20"/>
              </w:rPr>
              <w:t>0,010</w:t>
            </w:r>
          </w:p>
        </w:tc>
        <w:tc>
          <w:tcPr>
            <w:tcW w:w="1080" w:type="dxa"/>
            <w:vAlign w:val="center"/>
          </w:tcPr>
          <w:p>
            <w:pPr>
              <w:pStyle w:val="Default"/>
              <w:jc w:val="right"/>
              <w:rPr>
                <w:b/>
                <w:noProof/>
                <w:sz w:val="20"/>
                <w:szCs w:val="20"/>
              </w:rPr>
            </w:pPr>
            <w:r>
              <w:rPr>
                <w:b/>
                <w:noProof/>
                <w:sz w:val="20"/>
              </w:rPr>
              <w:t>0,300</w:t>
            </w:r>
          </w:p>
        </w:tc>
      </w:tr>
      <w:tr>
        <w:trPr>
          <w:trHeight w:val="585"/>
        </w:trPr>
        <w:tc>
          <w:tcPr>
            <w:tcW w:w="1980" w:type="dxa"/>
            <w:vAlign w:val="center"/>
          </w:tcPr>
          <w:p>
            <w:pPr>
              <w:spacing w:before="60" w:after="60" w:line="200" w:lineRule="exact"/>
              <w:ind w:left="72"/>
              <w:jc w:val="left"/>
              <w:rPr>
                <w:noProof/>
                <w:sz w:val="16"/>
                <w:szCs w:val="16"/>
              </w:rPr>
            </w:pPr>
            <w:r>
              <w:rPr>
                <w:noProof/>
                <w:sz w:val="16"/>
              </w:rPr>
              <w:t>Ostatné administratívne</w:t>
            </w:r>
            <w:r>
              <w:rPr>
                <w:noProof/>
                <w:sz w:val="22"/>
              </w:rPr>
              <w:br/>
            </w:r>
            <w:r>
              <w:rPr>
                <w:noProof/>
              </w:rPr>
              <w:br/>
            </w:r>
            <w:r>
              <w:rPr>
                <w:noProof/>
                <w:sz w:val="16"/>
              </w:rPr>
              <w:t>výdavky</w:t>
            </w:r>
          </w:p>
        </w:tc>
        <w:tc>
          <w:tcPr>
            <w:tcW w:w="1080" w:type="dxa"/>
            <w:vAlign w:val="center"/>
          </w:tcPr>
          <w:p>
            <w:pPr>
              <w:spacing w:before="60" w:after="60" w:line="200" w:lineRule="exact"/>
              <w:jc w:val="right"/>
              <w:rPr>
                <w:noProof/>
                <w:sz w:val="16"/>
                <w:szCs w:val="16"/>
              </w:rPr>
            </w:pPr>
            <w:r>
              <w:rPr>
                <w:b/>
                <w:noProof/>
                <w:sz w:val="20"/>
              </w:rPr>
              <w:t>0,010</w:t>
            </w:r>
          </w:p>
        </w:tc>
        <w:tc>
          <w:tcPr>
            <w:tcW w:w="1080" w:type="dxa"/>
            <w:vAlign w:val="center"/>
          </w:tcPr>
          <w:p>
            <w:pPr>
              <w:spacing w:before="60" w:after="60" w:line="200" w:lineRule="exact"/>
              <w:jc w:val="right"/>
              <w:rPr>
                <w:noProof/>
                <w:sz w:val="16"/>
                <w:szCs w:val="16"/>
              </w:rPr>
            </w:pPr>
            <w:r>
              <w:rPr>
                <w:b/>
                <w:noProof/>
                <w:sz w:val="20"/>
              </w:rPr>
              <w:t>0,012</w:t>
            </w:r>
          </w:p>
        </w:tc>
        <w:tc>
          <w:tcPr>
            <w:tcW w:w="1080" w:type="dxa"/>
            <w:vAlign w:val="center"/>
          </w:tcPr>
          <w:p>
            <w:pPr>
              <w:spacing w:before="60" w:after="60" w:line="200" w:lineRule="exact"/>
              <w:jc w:val="right"/>
              <w:rPr>
                <w:noProof/>
                <w:sz w:val="16"/>
                <w:szCs w:val="16"/>
              </w:rPr>
            </w:pPr>
            <w:r>
              <w:rPr>
                <w:b/>
                <w:noProof/>
                <w:sz w:val="20"/>
              </w:rPr>
              <w:t>0,012</w:t>
            </w:r>
          </w:p>
        </w:tc>
        <w:tc>
          <w:tcPr>
            <w:tcW w:w="1080" w:type="dxa"/>
            <w:vAlign w:val="center"/>
          </w:tcPr>
          <w:p>
            <w:pPr>
              <w:spacing w:before="60" w:after="60" w:line="200" w:lineRule="exact"/>
              <w:jc w:val="right"/>
              <w:rPr>
                <w:noProof/>
                <w:sz w:val="16"/>
                <w:szCs w:val="16"/>
              </w:rPr>
            </w:pPr>
            <w:r>
              <w:rPr>
                <w:b/>
                <w:noProof/>
                <w:sz w:val="20"/>
              </w:rPr>
              <w:t>0,012</w:t>
            </w:r>
          </w:p>
        </w:tc>
        <w:tc>
          <w:tcPr>
            <w:tcW w:w="1080" w:type="dxa"/>
            <w:vAlign w:val="center"/>
          </w:tcPr>
          <w:p>
            <w:pPr>
              <w:spacing w:before="60" w:after="60" w:line="200" w:lineRule="exact"/>
              <w:jc w:val="right"/>
              <w:rPr>
                <w:noProof/>
                <w:sz w:val="16"/>
                <w:szCs w:val="16"/>
              </w:rPr>
            </w:pPr>
            <w:r>
              <w:rPr>
                <w:b/>
                <w:noProof/>
                <w:sz w:val="20"/>
              </w:rPr>
              <w:t>0,012</w:t>
            </w:r>
          </w:p>
        </w:tc>
        <w:tc>
          <w:tcPr>
            <w:tcW w:w="1080" w:type="dxa"/>
            <w:vAlign w:val="center"/>
          </w:tcPr>
          <w:p>
            <w:pPr>
              <w:spacing w:before="60" w:after="60" w:line="200" w:lineRule="exact"/>
              <w:jc w:val="right"/>
              <w:rPr>
                <w:noProof/>
                <w:sz w:val="16"/>
                <w:szCs w:val="16"/>
              </w:rPr>
            </w:pPr>
            <w:r>
              <w:rPr>
                <w:b/>
                <w:noProof/>
                <w:sz w:val="20"/>
              </w:rPr>
              <w:t>0,002</w:t>
            </w:r>
          </w:p>
        </w:tc>
        <w:tc>
          <w:tcPr>
            <w:tcW w:w="1080" w:type="dxa"/>
            <w:vAlign w:val="center"/>
          </w:tcPr>
          <w:p>
            <w:pPr>
              <w:spacing w:before="60" w:after="60" w:line="200" w:lineRule="exact"/>
              <w:jc w:val="right"/>
              <w:rPr>
                <w:b/>
                <w:noProof/>
                <w:sz w:val="16"/>
                <w:szCs w:val="16"/>
              </w:rPr>
            </w:pPr>
            <w:r>
              <w:rPr>
                <w:b/>
                <w:noProof/>
                <w:sz w:val="20"/>
              </w:rPr>
              <w:t>0,060</w:t>
            </w:r>
          </w:p>
        </w:tc>
      </w:tr>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Medzisúčet</w:t>
            </w:r>
            <w:r>
              <w:rPr>
                <w:noProof/>
              </w:rPr>
              <w:br/>
            </w:r>
            <w:r>
              <w:rPr>
                <w:b/>
                <w:noProof/>
                <w:sz w:val="16"/>
              </w:rPr>
              <w:t>mimo OKRUHU 5</w:t>
            </w:r>
            <w:r>
              <w:rPr>
                <w:noProof/>
              </w:rPr>
              <w:br/>
            </w:r>
            <w:r>
              <w:rPr>
                <w:b/>
                <w:noProof/>
                <w:sz w:val="16"/>
              </w:rPr>
              <w:t xml:space="preserve">viacročného finančného rámca </w:t>
            </w:r>
          </w:p>
        </w:tc>
        <w:tc>
          <w:tcPr>
            <w:tcW w:w="1080" w:type="dxa"/>
            <w:vAlign w:val="center"/>
          </w:tcPr>
          <w:p>
            <w:pPr>
              <w:pStyle w:val="Default"/>
              <w:jc w:val="right"/>
              <w:rPr>
                <w:noProof/>
                <w:sz w:val="20"/>
                <w:szCs w:val="20"/>
              </w:rPr>
            </w:pPr>
            <w:r>
              <w:rPr>
                <w:b/>
                <w:noProof/>
                <w:sz w:val="20"/>
              </w:rPr>
              <w:t>0,060</w:t>
            </w:r>
          </w:p>
        </w:tc>
        <w:tc>
          <w:tcPr>
            <w:tcW w:w="1080" w:type="dxa"/>
            <w:vAlign w:val="center"/>
          </w:tcPr>
          <w:p>
            <w:pPr>
              <w:pStyle w:val="Default"/>
              <w:jc w:val="right"/>
              <w:rPr>
                <w:noProof/>
                <w:sz w:val="20"/>
                <w:szCs w:val="20"/>
              </w:rPr>
            </w:pPr>
            <w:r>
              <w:rPr>
                <w:b/>
                <w:noProof/>
                <w:sz w:val="20"/>
              </w:rPr>
              <w:t>0,072</w:t>
            </w:r>
          </w:p>
        </w:tc>
        <w:tc>
          <w:tcPr>
            <w:tcW w:w="1080" w:type="dxa"/>
            <w:vAlign w:val="center"/>
          </w:tcPr>
          <w:p>
            <w:pPr>
              <w:pStyle w:val="Default"/>
              <w:jc w:val="right"/>
              <w:rPr>
                <w:noProof/>
                <w:sz w:val="20"/>
                <w:szCs w:val="20"/>
              </w:rPr>
            </w:pPr>
            <w:r>
              <w:rPr>
                <w:b/>
                <w:noProof/>
                <w:sz w:val="20"/>
              </w:rPr>
              <w:t>0,072</w:t>
            </w:r>
          </w:p>
        </w:tc>
        <w:tc>
          <w:tcPr>
            <w:tcW w:w="1080" w:type="dxa"/>
            <w:vAlign w:val="center"/>
          </w:tcPr>
          <w:p>
            <w:pPr>
              <w:pStyle w:val="Default"/>
              <w:jc w:val="right"/>
              <w:rPr>
                <w:b/>
                <w:bCs/>
                <w:noProof/>
                <w:sz w:val="20"/>
                <w:szCs w:val="20"/>
              </w:rPr>
            </w:pPr>
            <w:r>
              <w:rPr>
                <w:b/>
                <w:noProof/>
                <w:sz w:val="20"/>
              </w:rPr>
              <w:t>0,072</w:t>
            </w:r>
          </w:p>
        </w:tc>
        <w:tc>
          <w:tcPr>
            <w:tcW w:w="1080" w:type="dxa"/>
            <w:vAlign w:val="center"/>
          </w:tcPr>
          <w:p>
            <w:pPr>
              <w:pStyle w:val="Default"/>
              <w:jc w:val="right"/>
              <w:rPr>
                <w:b/>
                <w:noProof/>
                <w:sz w:val="20"/>
                <w:szCs w:val="20"/>
              </w:rPr>
            </w:pPr>
            <w:r>
              <w:rPr>
                <w:b/>
                <w:noProof/>
                <w:sz w:val="20"/>
              </w:rPr>
              <w:t>0,072</w:t>
            </w:r>
          </w:p>
        </w:tc>
        <w:tc>
          <w:tcPr>
            <w:tcW w:w="1080" w:type="dxa"/>
            <w:vAlign w:val="center"/>
          </w:tcPr>
          <w:p>
            <w:pPr>
              <w:pStyle w:val="Default"/>
              <w:jc w:val="right"/>
              <w:rPr>
                <w:b/>
                <w:noProof/>
                <w:sz w:val="20"/>
                <w:szCs w:val="20"/>
              </w:rPr>
            </w:pPr>
            <w:r>
              <w:rPr>
                <w:b/>
                <w:noProof/>
                <w:sz w:val="20"/>
              </w:rPr>
              <w:t>0,012</w:t>
            </w:r>
          </w:p>
        </w:tc>
        <w:tc>
          <w:tcPr>
            <w:tcW w:w="1080" w:type="dxa"/>
            <w:vAlign w:val="center"/>
          </w:tcPr>
          <w:p>
            <w:pPr>
              <w:pStyle w:val="Default"/>
              <w:jc w:val="right"/>
              <w:rPr>
                <w:b/>
                <w:noProof/>
                <w:sz w:val="20"/>
                <w:szCs w:val="20"/>
              </w:rPr>
            </w:pPr>
            <w:r>
              <w:rPr>
                <w:b/>
                <w:noProof/>
                <w:sz w:val="20"/>
              </w:rPr>
              <w:t>0,360</w:t>
            </w:r>
          </w:p>
        </w:tc>
      </w:tr>
    </w:tbl>
    <w:p>
      <w:pPr>
        <w:spacing w:line="200" w:lineRule="exact"/>
        <w:rPr>
          <w:noProof/>
          <w:sz w:val="16"/>
          <w:szCs w:val="16"/>
        </w:rPr>
      </w:pPr>
    </w:p>
    <w:tbl>
      <w:tblPr>
        <w:tblW w:w="9540" w:type="dxa"/>
        <w:tblInd w:w="-612" w:type="dxa"/>
        <w:tblLayout w:type="fixed"/>
        <w:tblLook w:val="01E0" w:firstRow="1" w:lastRow="1" w:firstColumn="1" w:lastColumn="1" w:noHBand="0" w:noVBand="0"/>
      </w:tblPr>
      <w:tblGrid>
        <w:gridCol w:w="1980"/>
        <w:gridCol w:w="1080"/>
        <w:gridCol w:w="1080"/>
        <w:gridCol w:w="1080"/>
        <w:gridCol w:w="1080"/>
        <w:gridCol w:w="1080"/>
        <w:gridCol w:w="1080"/>
        <w:gridCol w:w="1080"/>
      </w:tblGrid>
      <w:tr>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pPr>
              <w:spacing w:before="60" w:after="60" w:line="200" w:lineRule="exact"/>
              <w:jc w:val="center"/>
              <w:rPr>
                <w:noProof/>
                <w:sz w:val="16"/>
                <w:szCs w:val="16"/>
              </w:rPr>
            </w:pPr>
            <w:r>
              <w:rPr>
                <w:b/>
                <w:noProof/>
                <w:sz w:val="16"/>
              </w:rPr>
              <w:t>SPOLU</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right"/>
              <w:rPr>
                <w:b/>
                <w:noProof/>
                <w:sz w:val="20"/>
              </w:rPr>
            </w:pPr>
            <w:r>
              <w:rPr>
                <w:b/>
                <w:noProof/>
                <w:sz w:val="20"/>
              </w:rPr>
              <w:t>0,060</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right"/>
              <w:rPr>
                <w:b/>
                <w:noProof/>
                <w:sz w:val="20"/>
              </w:rPr>
            </w:pPr>
            <w:r>
              <w:rPr>
                <w:b/>
                <w:noProof/>
                <w:sz w:val="20"/>
              </w:rPr>
              <w:t>0,072</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right"/>
              <w:rPr>
                <w:b/>
                <w:noProof/>
                <w:sz w:val="20"/>
              </w:rPr>
            </w:pPr>
            <w:r>
              <w:rPr>
                <w:b/>
                <w:noProof/>
                <w:sz w:val="20"/>
              </w:rPr>
              <w:t>0,072</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right"/>
              <w:rPr>
                <w:b/>
                <w:noProof/>
                <w:sz w:val="20"/>
              </w:rPr>
            </w:pPr>
            <w:r>
              <w:rPr>
                <w:b/>
                <w:noProof/>
                <w:sz w:val="20"/>
              </w:rPr>
              <w:t>0,072</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right"/>
              <w:rPr>
                <w:b/>
                <w:noProof/>
                <w:sz w:val="20"/>
              </w:rPr>
            </w:pPr>
            <w:r>
              <w:rPr>
                <w:b/>
                <w:noProof/>
                <w:sz w:val="20"/>
              </w:rPr>
              <w:t>0,072</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right"/>
              <w:rPr>
                <w:b/>
                <w:noProof/>
                <w:sz w:val="20"/>
              </w:rPr>
            </w:pPr>
            <w:r>
              <w:rPr>
                <w:b/>
                <w:noProof/>
                <w:sz w:val="20"/>
              </w:rPr>
              <w:t>0,012</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right"/>
              <w:rPr>
                <w:b/>
                <w:noProof/>
                <w:sz w:val="20"/>
                <w:highlight w:val="yellow"/>
              </w:rPr>
            </w:pPr>
            <w:r>
              <w:rPr>
                <w:b/>
                <w:noProof/>
                <w:sz w:val="20"/>
              </w:rPr>
              <w:t>0,360</w:t>
            </w:r>
          </w:p>
        </w:tc>
      </w:tr>
    </w:tbl>
    <w:p>
      <w:pPr>
        <w:rPr>
          <w:noProof/>
          <w:sz w:val="18"/>
        </w:rPr>
      </w:pPr>
      <w:r>
        <w:rPr>
          <w:noProof/>
          <w:sz w:val="18"/>
        </w:rPr>
        <w:t>Rozpočtové prostriedky potrebné na ľudské zdroje a na ostatné administratívne výdavky budú pokryté rozpočtovými prostriedkami GR, ktoré už boli pridelené na riadenie akcie a/alebo boli prerozdelené v rámci GR, a v prípade potreby budú doplnené zdrojmi, ktoré sa môžu prideliť riadiacemu GR v rámci ročného postupu prideľovania zdrojov a v závislosti od rozpočtových obmedzení.</w:t>
      </w:r>
    </w:p>
    <w:p>
      <w:pPr>
        <w:rPr>
          <w:noProof/>
          <w:sz w:val="18"/>
        </w:rPr>
        <w:sectPr>
          <w:headerReference w:type="default" r:id="rId22"/>
          <w:footerReference w:type="default" r:id="rId23"/>
          <w:headerReference w:type="first" r:id="rId24"/>
          <w:footerReference w:type="first" r:id="rId25"/>
          <w:pgSz w:w="11907" w:h="16840"/>
          <w:pgMar w:top="1134" w:right="1418" w:bottom="1134" w:left="1418" w:header="709" w:footer="709" w:gutter="0"/>
          <w:cols w:space="708"/>
          <w:docGrid w:linePitch="360"/>
        </w:sectPr>
      </w:pPr>
    </w:p>
    <w:p>
      <w:pPr>
        <w:pStyle w:val="ManualHeading4"/>
        <w:rPr>
          <w:bCs/>
          <w:noProof/>
          <w:szCs w:val="24"/>
        </w:rPr>
      </w:pPr>
      <w:r>
        <w:rPr>
          <w:noProof/>
        </w:rPr>
        <w:t>3.2.3.2</w:t>
      </w:r>
      <w:r>
        <w:rPr>
          <w:noProof/>
        </w:rPr>
        <w:tab/>
        <w:t>Odhadované potreby ľudských zdrojov</w:t>
      </w:r>
    </w:p>
    <w:p>
      <w:pPr>
        <w:pStyle w:val="ListDash1"/>
        <w:rPr>
          <w:noProof/>
        </w:rPr>
      </w:pPr>
      <w:r>
        <w:rPr>
          <w:noProof/>
        </w:rPr>
        <w:sym w:font="Wingdings" w:char="F0A8"/>
      </w:r>
      <w:r>
        <w:rPr>
          <w:noProof/>
        </w:rPr>
        <w:tab/>
        <w:t xml:space="preserve">Návrh/iniciatíva si nevyžaduje použitie ľudských zdrojov. </w:t>
      </w:r>
    </w:p>
    <w:p>
      <w:pPr>
        <w:pStyle w:val="ListDash1"/>
        <w:rPr>
          <w:noProof/>
        </w:rPr>
      </w:pPr>
      <w:r>
        <w:rPr>
          <w:noProof/>
        </w:rPr>
        <w:sym w:font="Wingdings" w:char="F0FE"/>
      </w:r>
      <w:r>
        <w:rPr>
          <w:noProof/>
        </w:rPr>
        <w:tab/>
        <w:t>Návrh/iniciatíva si vyžaduje použitie ľudských zdrojov, ako je uvedené v nasledujúcej tabuľke:</w:t>
      </w:r>
    </w:p>
    <w:p>
      <w:pPr>
        <w:spacing w:after="60"/>
        <w:jc w:val="right"/>
        <w:rPr>
          <w:i/>
          <w:noProof/>
          <w:sz w:val="20"/>
        </w:rPr>
      </w:pPr>
      <w:r>
        <w:rPr>
          <w:i/>
          <w:noProof/>
          <w:sz w:val="20"/>
        </w:rPr>
        <w:t>odhady sa vyjadrujú v jednotkách ekvivalentu plného pracovného času</w:t>
      </w:r>
    </w:p>
    <w:tbl>
      <w:tblPr>
        <w:tblW w:w="4678"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772"/>
        <w:gridCol w:w="2002"/>
        <w:gridCol w:w="601"/>
        <w:gridCol w:w="839"/>
        <w:gridCol w:w="841"/>
        <w:gridCol w:w="721"/>
        <w:gridCol w:w="636"/>
        <w:gridCol w:w="321"/>
        <w:gridCol w:w="956"/>
      </w:tblGrid>
      <w:tr>
        <w:trPr>
          <w:trHeight w:val="289"/>
          <w:jc w:val="center"/>
        </w:trPr>
        <w:tc>
          <w:tcPr>
            <w:tcW w:w="2171" w:type="pct"/>
            <w:gridSpan w:val="2"/>
            <w:shd w:val="clear" w:color="auto" w:fill="auto"/>
          </w:tcPr>
          <w:p>
            <w:pPr>
              <w:pStyle w:val="Text1"/>
              <w:spacing w:before="40" w:after="40"/>
              <w:ind w:left="0"/>
              <w:jc w:val="center"/>
              <w:rPr>
                <w:i/>
                <w:noProof/>
                <w:sz w:val="16"/>
                <w:szCs w:val="16"/>
              </w:rPr>
            </w:pPr>
          </w:p>
        </w:tc>
        <w:tc>
          <w:tcPr>
            <w:tcW w:w="346" w:type="pct"/>
            <w:shd w:val="clear" w:color="auto" w:fill="auto"/>
            <w:vAlign w:val="center"/>
          </w:tcPr>
          <w:p>
            <w:pPr>
              <w:spacing w:before="20" w:after="20"/>
              <w:jc w:val="center"/>
              <w:rPr>
                <w:noProof/>
                <w:sz w:val="16"/>
                <w:szCs w:val="16"/>
              </w:rPr>
            </w:pPr>
            <w:r>
              <w:rPr>
                <w:noProof/>
              </w:rPr>
              <w:t>Rok</w:t>
            </w:r>
            <w:r>
              <w:rPr>
                <w:noProof/>
              </w:rPr>
              <w:br/>
            </w:r>
            <w:r>
              <w:rPr>
                <w:b/>
                <w:noProof/>
                <w:sz w:val="16"/>
              </w:rPr>
              <w:t>2019</w:t>
            </w:r>
          </w:p>
        </w:tc>
        <w:tc>
          <w:tcPr>
            <w:tcW w:w="483" w:type="pct"/>
            <w:shd w:val="clear" w:color="auto" w:fill="auto"/>
            <w:vAlign w:val="center"/>
          </w:tcPr>
          <w:p>
            <w:pPr>
              <w:spacing w:before="20" w:after="20"/>
              <w:jc w:val="center"/>
              <w:rPr>
                <w:noProof/>
                <w:sz w:val="16"/>
                <w:szCs w:val="16"/>
              </w:rPr>
            </w:pPr>
            <w:r>
              <w:rPr>
                <w:noProof/>
              </w:rPr>
              <w:t>Rok</w:t>
            </w:r>
            <w:r>
              <w:rPr>
                <w:noProof/>
              </w:rPr>
              <w:br/>
            </w:r>
            <w:r>
              <w:rPr>
                <w:b/>
                <w:noProof/>
                <w:sz w:val="16"/>
              </w:rPr>
              <w:t>2020</w:t>
            </w:r>
          </w:p>
        </w:tc>
        <w:tc>
          <w:tcPr>
            <w:tcW w:w="484" w:type="pct"/>
            <w:shd w:val="clear" w:color="auto" w:fill="auto"/>
            <w:vAlign w:val="center"/>
          </w:tcPr>
          <w:p>
            <w:pPr>
              <w:spacing w:before="20" w:after="20"/>
              <w:jc w:val="center"/>
              <w:rPr>
                <w:noProof/>
                <w:sz w:val="16"/>
                <w:szCs w:val="16"/>
              </w:rPr>
            </w:pPr>
            <w:r>
              <w:rPr>
                <w:noProof/>
                <w:sz w:val="16"/>
              </w:rPr>
              <w:t>Rok</w:t>
            </w:r>
          </w:p>
          <w:p>
            <w:pPr>
              <w:spacing w:before="20" w:after="20"/>
              <w:jc w:val="center"/>
              <w:rPr>
                <w:noProof/>
                <w:sz w:val="16"/>
                <w:szCs w:val="16"/>
              </w:rPr>
            </w:pPr>
            <w:r>
              <w:rPr>
                <w:b/>
                <w:noProof/>
                <w:sz w:val="16"/>
              </w:rPr>
              <w:t>2021</w:t>
            </w:r>
          </w:p>
        </w:tc>
        <w:tc>
          <w:tcPr>
            <w:tcW w:w="415" w:type="pct"/>
            <w:shd w:val="clear" w:color="auto" w:fill="auto"/>
            <w:vAlign w:val="center"/>
          </w:tcPr>
          <w:p>
            <w:pPr>
              <w:spacing w:before="20" w:after="20"/>
              <w:jc w:val="center"/>
              <w:rPr>
                <w:noProof/>
                <w:sz w:val="16"/>
                <w:szCs w:val="16"/>
              </w:rPr>
            </w:pPr>
            <w:r>
              <w:rPr>
                <w:noProof/>
                <w:sz w:val="16"/>
              </w:rPr>
              <w:t>Rok</w:t>
            </w:r>
          </w:p>
          <w:p>
            <w:pPr>
              <w:spacing w:before="20" w:after="20"/>
              <w:jc w:val="center"/>
              <w:rPr>
                <w:noProof/>
                <w:sz w:val="16"/>
                <w:szCs w:val="16"/>
              </w:rPr>
            </w:pPr>
            <w:r>
              <w:rPr>
                <w:b/>
                <w:noProof/>
                <w:sz w:val="16"/>
              </w:rPr>
              <w:t>2022</w:t>
            </w:r>
          </w:p>
        </w:tc>
        <w:tc>
          <w:tcPr>
            <w:tcW w:w="551" w:type="pct"/>
            <w:gridSpan w:val="2"/>
            <w:vAlign w:val="center"/>
          </w:tcPr>
          <w:p>
            <w:pPr>
              <w:spacing w:before="20" w:after="20"/>
              <w:jc w:val="center"/>
              <w:rPr>
                <w:noProof/>
                <w:sz w:val="16"/>
                <w:szCs w:val="16"/>
              </w:rPr>
            </w:pPr>
            <w:r>
              <w:rPr>
                <w:noProof/>
                <w:sz w:val="16"/>
              </w:rPr>
              <w:t>Rok</w:t>
            </w:r>
          </w:p>
          <w:p>
            <w:pPr>
              <w:jc w:val="center"/>
              <w:rPr>
                <w:b/>
                <w:noProof/>
                <w:sz w:val="16"/>
              </w:rPr>
            </w:pPr>
            <w:r>
              <w:rPr>
                <w:b/>
                <w:noProof/>
                <w:sz w:val="16"/>
              </w:rPr>
              <w:t>2023</w:t>
            </w:r>
          </w:p>
        </w:tc>
        <w:tc>
          <w:tcPr>
            <w:tcW w:w="551" w:type="pct"/>
            <w:shd w:val="clear" w:color="auto" w:fill="auto"/>
            <w:vAlign w:val="center"/>
          </w:tcPr>
          <w:p>
            <w:pPr>
              <w:spacing w:before="20" w:after="20"/>
              <w:jc w:val="center"/>
              <w:rPr>
                <w:noProof/>
                <w:sz w:val="16"/>
                <w:szCs w:val="16"/>
              </w:rPr>
            </w:pPr>
            <w:r>
              <w:rPr>
                <w:noProof/>
                <w:sz w:val="16"/>
              </w:rPr>
              <w:t>Rok</w:t>
            </w:r>
          </w:p>
          <w:p>
            <w:pPr>
              <w:jc w:val="center"/>
              <w:rPr>
                <w:b/>
                <w:noProof/>
                <w:sz w:val="16"/>
                <w:szCs w:val="16"/>
              </w:rPr>
            </w:pPr>
            <w:r>
              <w:rPr>
                <w:b/>
                <w:noProof/>
                <w:sz w:val="16"/>
              </w:rPr>
              <w:t>2024</w:t>
            </w:r>
          </w:p>
        </w:tc>
      </w:tr>
      <w:tr>
        <w:trPr>
          <w:trHeight w:val="289"/>
          <w:jc w:val="center"/>
        </w:trPr>
        <w:tc>
          <w:tcPr>
            <w:tcW w:w="3483" w:type="pct"/>
            <w:gridSpan w:val="5"/>
            <w:shd w:val="clear" w:color="auto" w:fill="auto"/>
          </w:tcPr>
          <w:p>
            <w:pPr>
              <w:spacing w:before="20" w:after="20"/>
              <w:rPr>
                <w:noProof/>
                <w:sz w:val="16"/>
                <w:szCs w:val="16"/>
              </w:rPr>
            </w:pPr>
            <w:r>
              <w:rPr>
                <w:b/>
                <w:noProof/>
                <w:sz w:val="16"/>
              </w:rPr>
              <w:sym w:font="Wingdings" w:char="F09F"/>
            </w:r>
            <w:r>
              <w:rPr>
                <w:b/>
                <w:noProof/>
                <w:sz w:val="16"/>
              </w:rPr>
              <w:t>Plán pracovných miest (úradníci a dočasní zamestnanci)</w:t>
            </w:r>
          </w:p>
        </w:tc>
        <w:tc>
          <w:tcPr>
            <w:tcW w:w="415" w:type="pct"/>
            <w:shd w:val="clear" w:color="auto" w:fill="auto"/>
            <w:vAlign w:val="center"/>
          </w:tcPr>
          <w:p>
            <w:pPr>
              <w:spacing w:before="20" w:after="20"/>
              <w:jc w:val="center"/>
              <w:rPr>
                <w:noProof/>
                <w:sz w:val="16"/>
                <w:szCs w:val="16"/>
              </w:rPr>
            </w:pPr>
          </w:p>
        </w:tc>
        <w:tc>
          <w:tcPr>
            <w:tcW w:w="551" w:type="pct"/>
            <w:gridSpan w:val="2"/>
          </w:tcPr>
          <w:p>
            <w:pPr>
              <w:jc w:val="center"/>
              <w:rPr>
                <w:noProof/>
                <w:sz w:val="16"/>
                <w:szCs w:val="16"/>
              </w:rPr>
            </w:pPr>
          </w:p>
        </w:tc>
        <w:tc>
          <w:tcPr>
            <w:tcW w:w="551" w:type="pct"/>
            <w:shd w:val="clear" w:color="auto" w:fill="auto"/>
            <w:vAlign w:val="center"/>
          </w:tcPr>
          <w:p>
            <w:pPr>
              <w:jc w:val="center"/>
              <w:rPr>
                <w:noProof/>
                <w:sz w:val="16"/>
                <w:szCs w:val="16"/>
              </w:rPr>
            </w:pPr>
          </w:p>
        </w:tc>
      </w:tr>
      <w:tr>
        <w:trPr>
          <w:trHeight w:val="289"/>
          <w:jc w:val="center"/>
        </w:trPr>
        <w:tc>
          <w:tcPr>
            <w:tcW w:w="2171" w:type="pct"/>
            <w:gridSpan w:val="2"/>
            <w:shd w:val="clear" w:color="auto" w:fill="auto"/>
            <w:vAlign w:val="center"/>
          </w:tcPr>
          <w:p>
            <w:pPr>
              <w:pStyle w:val="Text1"/>
              <w:spacing w:beforeLines="20" w:before="48" w:afterLines="20" w:after="48"/>
              <w:ind w:left="134"/>
              <w:jc w:val="left"/>
              <w:rPr>
                <w:b/>
                <w:noProof/>
                <w:sz w:val="16"/>
                <w:szCs w:val="16"/>
              </w:rPr>
            </w:pPr>
            <w:r>
              <w:rPr>
                <w:noProof/>
                <w:sz w:val="16"/>
              </w:rPr>
              <w:t>XX 01 01 01 (ústredie a zastúpenia Komisie)</w:t>
            </w:r>
          </w:p>
        </w:tc>
        <w:tc>
          <w:tcPr>
            <w:tcW w:w="346" w:type="pct"/>
            <w:shd w:val="clear" w:color="auto" w:fill="auto"/>
            <w:vAlign w:val="center"/>
          </w:tcPr>
          <w:p>
            <w:pPr>
              <w:spacing w:beforeLines="20" w:before="48" w:afterLines="20" w:after="48"/>
              <w:jc w:val="center"/>
              <w:rPr>
                <w:noProof/>
                <w:sz w:val="16"/>
                <w:szCs w:val="16"/>
              </w:rPr>
            </w:pPr>
          </w:p>
        </w:tc>
        <w:tc>
          <w:tcPr>
            <w:tcW w:w="483" w:type="pct"/>
            <w:shd w:val="clear" w:color="auto" w:fill="auto"/>
            <w:vAlign w:val="center"/>
          </w:tcPr>
          <w:p>
            <w:pPr>
              <w:spacing w:beforeLines="20" w:before="48" w:afterLines="20" w:after="48"/>
              <w:jc w:val="center"/>
              <w:rPr>
                <w:noProof/>
                <w:sz w:val="16"/>
                <w:szCs w:val="16"/>
              </w:rPr>
            </w:pPr>
          </w:p>
        </w:tc>
        <w:tc>
          <w:tcPr>
            <w:tcW w:w="484" w:type="pct"/>
            <w:shd w:val="clear" w:color="auto" w:fill="auto"/>
            <w:vAlign w:val="center"/>
          </w:tcPr>
          <w:p>
            <w:pPr>
              <w:spacing w:beforeLines="20" w:before="48" w:afterLines="20" w:after="48"/>
              <w:jc w:val="center"/>
              <w:rPr>
                <w:noProof/>
                <w:sz w:val="16"/>
                <w:szCs w:val="16"/>
              </w:rPr>
            </w:pPr>
          </w:p>
        </w:tc>
        <w:tc>
          <w:tcPr>
            <w:tcW w:w="415" w:type="pct"/>
            <w:shd w:val="clear" w:color="auto" w:fill="auto"/>
            <w:vAlign w:val="center"/>
          </w:tcPr>
          <w:p>
            <w:pPr>
              <w:spacing w:beforeLines="20" w:before="48" w:afterLines="20" w:after="48"/>
              <w:jc w:val="center"/>
              <w:rPr>
                <w:noProof/>
                <w:sz w:val="16"/>
                <w:szCs w:val="16"/>
              </w:rPr>
            </w:pPr>
          </w:p>
        </w:tc>
        <w:tc>
          <w:tcPr>
            <w:tcW w:w="551" w:type="pct"/>
            <w:gridSpan w:val="2"/>
          </w:tcPr>
          <w:p>
            <w:pPr>
              <w:spacing w:beforeLines="20" w:before="48" w:afterLines="20" w:after="48"/>
              <w:jc w:val="center"/>
              <w:rPr>
                <w:noProof/>
                <w:sz w:val="16"/>
                <w:szCs w:val="16"/>
              </w:rPr>
            </w:pPr>
          </w:p>
        </w:tc>
        <w:tc>
          <w:tcPr>
            <w:tcW w:w="551" w:type="pct"/>
            <w:shd w:val="clear" w:color="auto" w:fill="auto"/>
            <w:vAlign w:val="center"/>
          </w:tcPr>
          <w:p>
            <w:pPr>
              <w:spacing w:beforeLines="20" w:before="48" w:afterLines="20" w:after="48"/>
              <w:jc w:val="center"/>
              <w:rPr>
                <w:noProof/>
                <w:sz w:val="16"/>
                <w:szCs w:val="16"/>
              </w:rPr>
            </w:pPr>
          </w:p>
        </w:tc>
      </w:tr>
      <w:tr>
        <w:trPr>
          <w:trHeight w:val="289"/>
          <w:jc w:val="center"/>
        </w:trPr>
        <w:tc>
          <w:tcPr>
            <w:tcW w:w="2171" w:type="pct"/>
            <w:gridSpan w:val="2"/>
            <w:shd w:val="clear" w:color="auto" w:fill="auto"/>
            <w:vAlign w:val="center"/>
          </w:tcPr>
          <w:p>
            <w:pPr>
              <w:pStyle w:val="Text1"/>
              <w:spacing w:beforeLines="20" w:before="48" w:afterLines="20" w:after="48"/>
              <w:ind w:left="134"/>
              <w:jc w:val="left"/>
              <w:rPr>
                <w:noProof/>
                <w:sz w:val="16"/>
                <w:szCs w:val="16"/>
              </w:rPr>
            </w:pPr>
            <w:r>
              <w:rPr>
                <w:noProof/>
                <w:sz w:val="16"/>
              </w:rPr>
              <w:t>XX 01 01 02 (delegácie)</w:t>
            </w:r>
          </w:p>
        </w:tc>
        <w:tc>
          <w:tcPr>
            <w:tcW w:w="346" w:type="pct"/>
            <w:shd w:val="clear" w:color="auto" w:fill="auto"/>
            <w:vAlign w:val="center"/>
          </w:tcPr>
          <w:p>
            <w:pPr>
              <w:spacing w:beforeLines="20" w:before="48" w:afterLines="20" w:after="48"/>
              <w:jc w:val="center"/>
              <w:rPr>
                <w:noProof/>
                <w:sz w:val="16"/>
                <w:szCs w:val="16"/>
              </w:rPr>
            </w:pPr>
          </w:p>
        </w:tc>
        <w:tc>
          <w:tcPr>
            <w:tcW w:w="483" w:type="pct"/>
            <w:shd w:val="clear" w:color="auto" w:fill="auto"/>
            <w:vAlign w:val="center"/>
          </w:tcPr>
          <w:p>
            <w:pPr>
              <w:spacing w:beforeLines="20" w:before="48" w:afterLines="20" w:after="48"/>
              <w:jc w:val="center"/>
              <w:rPr>
                <w:noProof/>
                <w:sz w:val="16"/>
                <w:szCs w:val="16"/>
              </w:rPr>
            </w:pPr>
          </w:p>
        </w:tc>
        <w:tc>
          <w:tcPr>
            <w:tcW w:w="484" w:type="pct"/>
            <w:shd w:val="clear" w:color="auto" w:fill="auto"/>
            <w:vAlign w:val="center"/>
          </w:tcPr>
          <w:p>
            <w:pPr>
              <w:spacing w:beforeLines="20" w:before="48" w:afterLines="20" w:after="48"/>
              <w:jc w:val="center"/>
              <w:rPr>
                <w:noProof/>
                <w:sz w:val="16"/>
                <w:szCs w:val="16"/>
              </w:rPr>
            </w:pPr>
          </w:p>
        </w:tc>
        <w:tc>
          <w:tcPr>
            <w:tcW w:w="415" w:type="pct"/>
            <w:shd w:val="clear" w:color="auto" w:fill="auto"/>
            <w:vAlign w:val="center"/>
          </w:tcPr>
          <w:p>
            <w:pPr>
              <w:spacing w:beforeLines="20" w:before="48" w:afterLines="20" w:after="48"/>
              <w:jc w:val="center"/>
              <w:rPr>
                <w:noProof/>
                <w:sz w:val="16"/>
                <w:szCs w:val="16"/>
              </w:rPr>
            </w:pPr>
          </w:p>
        </w:tc>
        <w:tc>
          <w:tcPr>
            <w:tcW w:w="551" w:type="pct"/>
            <w:gridSpan w:val="2"/>
          </w:tcPr>
          <w:p>
            <w:pPr>
              <w:spacing w:beforeLines="20" w:before="48" w:afterLines="20" w:after="48"/>
              <w:jc w:val="center"/>
              <w:rPr>
                <w:noProof/>
                <w:sz w:val="16"/>
                <w:szCs w:val="16"/>
              </w:rPr>
            </w:pPr>
          </w:p>
        </w:tc>
        <w:tc>
          <w:tcPr>
            <w:tcW w:w="551" w:type="pct"/>
            <w:shd w:val="clear" w:color="auto" w:fill="auto"/>
            <w:vAlign w:val="center"/>
          </w:tcPr>
          <w:p>
            <w:pPr>
              <w:spacing w:beforeLines="20" w:before="48" w:afterLines="20" w:after="48"/>
              <w:jc w:val="center"/>
              <w:rPr>
                <w:noProof/>
                <w:sz w:val="16"/>
                <w:szCs w:val="16"/>
              </w:rPr>
            </w:pPr>
          </w:p>
        </w:tc>
      </w:tr>
      <w:tr>
        <w:trPr>
          <w:trHeight w:val="289"/>
          <w:jc w:val="center"/>
        </w:trPr>
        <w:tc>
          <w:tcPr>
            <w:tcW w:w="2171" w:type="pct"/>
            <w:gridSpan w:val="2"/>
            <w:shd w:val="clear" w:color="auto" w:fill="auto"/>
            <w:vAlign w:val="center"/>
          </w:tcPr>
          <w:p>
            <w:pPr>
              <w:pStyle w:val="Text1"/>
              <w:spacing w:beforeLines="20" w:before="48" w:afterLines="20" w:after="48"/>
              <w:ind w:left="134"/>
              <w:jc w:val="left"/>
              <w:rPr>
                <w:noProof/>
                <w:sz w:val="16"/>
                <w:szCs w:val="16"/>
              </w:rPr>
            </w:pPr>
            <w:r>
              <w:rPr>
                <w:noProof/>
                <w:sz w:val="16"/>
              </w:rPr>
              <w:t>08 01 05 01 (nepriamy výskum)</w:t>
            </w:r>
          </w:p>
        </w:tc>
        <w:tc>
          <w:tcPr>
            <w:tcW w:w="346" w:type="pct"/>
            <w:shd w:val="clear" w:color="auto" w:fill="auto"/>
            <w:vAlign w:val="center"/>
          </w:tcPr>
          <w:p>
            <w:pPr>
              <w:spacing w:beforeLines="20" w:before="48" w:afterLines="20" w:after="48"/>
              <w:jc w:val="center"/>
              <w:rPr>
                <w:noProof/>
                <w:sz w:val="16"/>
                <w:szCs w:val="16"/>
              </w:rPr>
            </w:pPr>
            <w:r>
              <w:rPr>
                <w:noProof/>
                <w:sz w:val="16"/>
              </w:rPr>
              <w:t>0,4</w:t>
            </w:r>
          </w:p>
        </w:tc>
        <w:tc>
          <w:tcPr>
            <w:tcW w:w="483" w:type="pct"/>
            <w:shd w:val="clear" w:color="auto" w:fill="auto"/>
            <w:vAlign w:val="center"/>
          </w:tcPr>
          <w:p>
            <w:pPr>
              <w:spacing w:beforeLines="20" w:before="48" w:afterLines="20" w:after="48"/>
              <w:jc w:val="center"/>
              <w:rPr>
                <w:noProof/>
                <w:sz w:val="16"/>
                <w:szCs w:val="16"/>
              </w:rPr>
            </w:pPr>
            <w:r>
              <w:rPr>
                <w:noProof/>
                <w:sz w:val="16"/>
              </w:rPr>
              <w:t>0,5</w:t>
            </w:r>
          </w:p>
        </w:tc>
        <w:tc>
          <w:tcPr>
            <w:tcW w:w="484" w:type="pct"/>
            <w:shd w:val="clear" w:color="auto" w:fill="auto"/>
            <w:vAlign w:val="center"/>
          </w:tcPr>
          <w:p>
            <w:pPr>
              <w:spacing w:beforeLines="20" w:before="48" w:afterLines="20" w:after="48"/>
              <w:jc w:val="center"/>
              <w:rPr>
                <w:noProof/>
                <w:sz w:val="16"/>
                <w:szCs w:val="16"/>
              </w:rPr>
            </w:pPr>
            <w:r>
              <w:rPr>
                <w:noProof/>
                <w:sz w:val="16"/>
              </w:rPr>
              <w:t>0,5</w:t>
            </w:r>
          </w:p>
        </w:tc>
        <w:tc>
          <w:tcPr>
            <w:tcW w:w="415" w:type="pct"/>
            <w:shd w:val="clear" w:color="auto" w:fill="auto"/>
            <w:vAlign w:val="center"/>
          </w:tcPr>
          <w:p>
            <w:pPr>
              <w:spacing w:beforeLines="20" w:before="48" w:afterLines="20" w:after="48"/>
              <w:jc w:val="center"/>
              <w:rPr>
                <w:noProof/>
                <w:sz w:val="16"/>
                <w:szCs w:val="16"/>
              </w:rPr>
            </w:pPr>
            <w:r>
              <w:rPr>
                <w:noProof/>
                <w:sz w:val="16"/>
              </w:rPr>
              <w:t>0,5</w:t>
            </w:r>
          </w:p>
        </w:tc>
        <w:tc>
          <w:tcPr>
            <w:tcW w:w="551" w:type="pct"/>
            <w:gridSpan w:val="2"/>
          </w:tcPr>
          <w:p>
            <w:pPr>
              <w:spacing w:beforeLines="20" w:before="48" w:afterLines="20" w:after="48"/>
              <w:jc w:val="center"/>
              <w:rPr>
                <w:noProof/>
                <w:sz w:val="16"/>
                <w:szCs w:val="16"/>
              </w:rPr>
            </w:pPr>
            <w:r>
              <w:rPr>
                <w:noProof/>
                <w:sz w:val="16"/>
              </w:rPr>
              <w:t>0,5</w:t>
            </w:r>
          </w:p>
        </w:tc>
        <w:tc>
          <w:tcPr>
            <w:tcW w:w="551" w:type="pct"/>
            <w:shd w:val="clear" w:color="auto" w:fill="auto"/>
            <w:vAlign w:val="center"/>
          </w:tcPr>
          <w:p>
            <w:pPr>
              <w:spacing w:beforeLines="20" w:before="48" w:afterLines="20" w:after="48"/>
              <w:jc w:val="center"/>
              <w:rPr>
                <w:noProof/>
                <w:sz w:val="16"/>
                <w:szCs w:val="16"/>
              </w:rPr>
            </w:pPr>
            <w:r>
              <w:rPr>
                <w:noProof/>
                <w:sz w:val="16"/>
              </w:rPr>
              <w:t>0,1</w:t>
            </w:r>
          </w:p>
        </w:tc>
      </w:tr>
      <w:tr>
        <w:trPr>
          <w:trHeight w:val="289"/>
          <w:jc w:val="center"/>
        </w:trPr>
        <w:tc>
          <w:tcPr>
            <w:tcW w:w="2171" w:type="pct"/>
            <w:gridSpan w:val="2"/>
            <w:shd w:val="clear" w:color="auto" w:fill="auto"/>
            <w:vAlign w:val="center"/>
          </w:tcPr>
          <w:p>
            <w:pPr>
              <w:pStyle w:val="Text1"/>
              <w:spacing w:beforeLines="20" w:before="48" w:afterLines="20" w:after="48"/>
              <w:ind w:left="134"/>
              <w:jc w:val="left"/>
              <w:rPr>
                <w:noProof/>
                <w:sz w:val="16"/>
                <w:szCs w:val="16"/>
              </w:rPr>
            </w:pPr>
            <w:r>
              <w:rPr>
                <w:noProof/>
                <w:sz w:val="16"/>
              </w:rPr>
              <w:t>10 01 05 01 (priamy výskum)</w:t>
            </w:r>
          </w:p>
        </w:tc>
        <w:tc>
          <w:tcPr>
            <w:tcW w:w="346" w:type="pct"/>
            <w:shd w:val="clear" w:color="auto" w:fill="auto"/>
            <w:vAlign w:val="center"/>
          </w:tcPr>
          <w:p>
            <w:pPr>
              <w:spacing w:beforeLines="20" w:before="48" w:afterLines="20" w:after="48"/>
              <w:jc w:val="center"/>
              <w:rPr>
                <w:noProof/>
                <w:sz w:val="16"/>
                <w:szCs w:val="16"/>
              </w:rPr>
            </w:pPr>
          </w:p>
        </w:tc>
        <w:tc>
          <w:tcPr>
            <w:tcW w:w="483" w:type="pct"/>
            <w:shd w:val="clear" w:color="auto" w:fill="auto"/>
            <w:vAlign w:val="center"/>
          </w:tcPr>
          <w:p>
            <w:pPr>
              <w:spacing w:beforeLines="20" w:before="48" w:afterLines="20" w:after="48"/>
              <w:jc w:val="center"/>
              <w:rPr>
                <w:noProof/>
                <w:sz w:val="16"/>
                <w:szCs w:val="16"/>
              </w:rPr>
            </w:pPr>
          </w:p>
        </w:tc>
        <w:tc>
          <w:tcPr>
            <w:tcW w:w="484" w:type="pct"/>
            <w:shd w:val="clear" w:color="auto" w:fill="auto"/>
            <w:vAlign w:val="center"/>
          </w:tcPr>
          <w:p>
            <w:pPr>
              <w:spacing w:beforeLines="20" w:before="48" w:afterLines="20" w:after="48"/>
              <w:jc w:val="center"/>
              <w:rPr>
                <w:noProof/>
                <w:sz w:val="16"/>
                <w:szCs w:val="16"/>
              </w:rPr>
            </w:pPr>
          </w:p>
        </w:tc>
        <w:tc>
          <w:tcPr>
            <w:tcW w:w="415" w:type="pct"/>
            <w:shd w:val="clear" w:color="auto" w:fill="auto"/>
            <w:vAlign w:val="center"/>
          </w:tcPr>
          <w:p>
            <w:pPr>
              <w:spacing w:beforeLines="20" w:before="48" w:afterLines="20" w:after="48"/>
              <w:jc w:val="center"/>
              <w:rPr>
                <w:noProof/>
                <w:sz w:val="16"/>
                <w:szCs w:val="16"/>
              </w:rPr>
            </w:pPr>
          </w:p>
        </w:tc>
        <w:tc>
          <w:tcPr>
            <w:tcW w:w="551" w:type="pct"/>
            <w:gridSpan w:val="2"/>
          </w:tcPr>
          <w:p>
            <w:pPr>
              <w:spacing w:beforeLines="20" w:before="48" w:afterLines="20" w:after="48"/>
              <w:jc w:val="center"/>
              <w:rPr>
                <w:noProof/>
                <w:sz w:val="16"/>
                <w:szCs w:val="16"/>
              </w:rPr>
            </w:pPr>
          </w:p>
        </w:tc>
        <w:tc>
          <w:tcPr>
            <w:tcW w:w="551" w:type="pct"/>
            <w:shd w:val="clear" w:color="auto" w:fill="auto"/>
            <w:vAlign w:val="center"/>
          </w:tcPr>
          <w:p>
            <w:pPr>
              <w:spacing w:beforeLines="20" w:before="48" w:afterLines="20" w:after="48"/>
              <w:jc w:val="center"/>
              <w:rPr>
                <w:noProof/>
                <w:sz w:val="16"/>
                <w:szCs w:val="16"/>
              </w:rPr>
            </w:pPr>
          </w:p>
        </w:tc>
      </w:tr>
      <w:tr>
        <w:trPr>
          <w:gridAfter w:val="2"/>
          <w:wAfter w:w="736" w:type="pct"/>
          <w:trHeight w:val="248"/>
          <w:jc w:val="center"/>
        </w:trPr>
        <w:tc>
          <w:tcPr>
            <w:tcW w:w="3483" w:type="pct"/>
            <w:gridSpan w:val="5"/>
            <w:shd w:val="clear" w:color="auto" w:fill="auto"/>
            <w:vAlign w:val="center"/>
          </w:tcPr>
          <w:p>
            <w:pPr>
              <w:pStyle w:val="Text1"/>
              <w:spacing w:before="60" w:after="60"/>
              <w:ind w:left="0"/>
              <w:jc w:val="left"/>
              <w:rPr>
                <w:b/>
                <w:noProof/>
                <w:sz w:val="16"/>
                <w:szCs w:val="16"/>
              </w:rPr>
            </w:pPr>
            <w:r>
              <w:rPr>
                <w:b/>
                <w:noProof/>
                <w:sz w:val="16"/>
              </w:rPr>
              <w:sym w:font="Wingdings" w:char="F09F"/>
            </w:r>
            <w:r>
              <w:rPr>
                <w:b/>
                <w:noProof/>
                <w:sz w:val="16"/>
              </w:rPr>
              <w:t xml:space="preserve"> Externí zamestnanci (ekvivalent plného pracovného času )</w:t>
            </w:r>
            <w:r>
              <w:rPr>
                <w:rStyle w:val="FootnoteReference"/>
                <w:b/>
                <w:noProof/>
                <w:sz w:val="16"/>
              </w:rPr>
              <w:footnoteReference w:id="25"/>
            </w:r>
          </w:p>
          <w:p>
            <w:pPr>
              <w:pStyle w:val="Text1"/>
              <w:spacing w:before="0" w:after="0"/>
              <w:ind w:left="0"/>
              <w:jc w:val="left"/>
              <w:rPr>
                <w:noProof/>
                <w:sz w:val="16"/>
                <w:szCs w:val="16"/>
              </w:rPr>
            </w:pPr>
          </w:p>
        </w:tc>
        <w:tc>
          <w:tcPr>
            <w:tcW w:w="781" w:type="pct"/>
            <w:gridSpan w:val="2"/>
          </w:tcPr>
          <w:p>
            <w:pPr>
              <w:pStyle w:val="Text1"/>
              <w:spacing w:before="60" w:after="60"/>
              <w:ind w:left="0"/>
              <w:jc w:val="left"/>
              <w:rPr>
                <w:b/>
                <w:noProof/>
                <w:sz w:val="16"/>
              </w:rPr>
            </w:pPr>
          </w:p>
        </w:tc>
      </w:tr>
      <w:tr>
        <w:trPr>
          <w:trHeight w:val="289"/>
          <w:jc w:val="center"/>
        </w:trPr>
        <w:tc>
          <w:tcPr>
            <w:tcW w:w="2171" w:type="pct"/>
            <w:gridSpan w:val="2"/>
            <w:shd w:val="clear" w:color="auto" w:fill="auto"/>
            <w:vAlign w:val="center"/>
          </w:tcPr>
          <w:p>
            <w:pPr>
              <w:pStyle w:val="Text1"/>
              <w:spacing w:beforeLines="20" w:before="48" w:afterLines="20" w:after="48"/>
              <w:ind w:left="136"/>
              <w:jc w:val="left"/>
              <w:rPr>
                <w:b/>
                <w:noProof/>
                <w:sz w:val="16"/>
                <w:szCs w:val="16"/>
              </w:rPr>
            </w:pPr>
            <w:r>
              <w:rPr>
                <w:noProof/>
                <w:sz w:val="16"/>
              </w:rPr>
              <w:t>XX 01 02 01 (ZZ, VNE, DAZ z celkového finančného krytia)</w:t>
            </w:r>
          </w:p>
        </w:tc>
        <w:tc>
          <w:tcPr>
            <w:tcW w:w="346" w:type="pct"/>
            <w:shd w:val="clear" w:color="auto" w:fill="auto"/>
            <w:vAlign w:val="center"/>
          </w:tcPr>
          <w:p>
            <w:pPr>
              <w:spacing w:beforeLines="20" w:before="48" w:afterLines="20" w:after="48"/>
              <w:jc w:val="center"/>
              <w:rPr>
                <w:noProof/>
                <w:sz w:val="16"/>
                <w:szCs w:val="16"/>
              </w:rPr>
            </w:pPr>
          </w:p>
        </w:tc>
        <w:tc>
          <w:tcPr>
            <w:tcW w:w="483" w:type="pct"/>
            <w:shd w:val="clear" w:color="auto" w:fill="auto"/>
            <w:vAlign w:val="center"/>
          </w:tcPr>
          <w:p>
            <w:pPr>
              <w:spacing w:beforeLines="20" w:before="48" w:afterLines="20" w:after="48"/>
              <w:jc w:val="center"/>
              <w:rPr>
                <w:noProof/>
                <w:sz w:val="16"/>
                <w:szCs w:val="16"/>
              </w:rPr>
            </w:pPr>
          </w:p>
        </w:tc>
        <w:tc>
          <w:tcPr>
            <w:tcW w:w="484" w:type="pct"/>
            <w:shd w:val="clear" w:color="auto" w:fill="auto"/>
            <w:vAlign w:val="center"/>
          </w:tcPr>
          <w:p>
            <w:pPr>
              <w:spacing w:beforeLines="20" w:before="48" w:afterLines="20" w:after="48"/>
              <w:jc w:val="center"/>
              <w:rPr>
                <w:noProof/>
                <w:sz w:val="16"/>
                <w:szCs w:val="16"/>
              </w:rPr>
            </w:pPr>
          </w:p>
        </w:tc>
        <w:tc>
          <w:tcPr>
            <w:tcW w:w="415" w:type="pct"/>
            <w:shd w:val="clear" w:color="auto" w:fill="auto"/>
            <w:vAlign w:val="center"/>
          </w:tcPr>
          <w:p>
            <w:pPr>
              <w:spacing w:beforeLines="20" w:before="48" w:afterLines="20" w:after="48"/>
              <w:jc w:val="center"/>
              <w:rPr>
                <w:noProof/>
                <w:sz w:val="16"/>
                <w:szCs w:val="16"/>
              </w:rPr>
            </w:pPr>
          </w:p>
        </w:tc>
        <w:tc>
          <w:tcPr>
            <w:tcW w:w="551" w:type="pct"/>
            <w:gridSpan w:val="2"/>
          </w:tcPr>
          <w:p>
            <w:pPr>
              <w:spacing w:beforeLines="20" w:before="48" w:afterLines="20" w:after="48"/>
              <w:jc w:val="center"/>
              <w:rPr>
                <w:noProof/>
                <w:sz w:val="16"/>
                <w:szCs w:val="16"/>
              </w:rPr>
            </w:pPr>
          </w:p>
        </w:tc>
        <w:tc>
          <w:tcPr>
            <w:tcW w:w="551" w:type="pct"/>
            <w:shd w:val="clear" w:color="auto" w:fill="auto"/>
            <w:vAlign w:val="center"/>
          </w:tcPr>
          <w:p>
            <w:pPr>
              <w:spacing w:beforeLines="20" w:before="48" w:afterLines="20" w:after="48"/>
              <w:jc w:val="center"/>
              <w:rPr>
                <w:noProof/>
                <w:sz w:val="16"/>
                <w:szCs w:val="16"/>
              </w:rPr>
            </w:pPr>
          </w:p>
        </w:tc>
      </w:tr>
      <w:tr>
        <w:trPr>
          <w:trHeight w:val="289"/>
          <w:jc w:val="center"/>
        </w:trPr>
        <w:tc>
          <w:tcPr>
            <w:tcW w:w="2171" w:type="pct"/>
            <w:gridSpan w:val="2"/>
            <w:shd w:val="clear" w:color="auto" w:fill="auto"/>
            <w:vAlign w:val="center"/>
          </w:tcPr>
          <w:p>
            <w:pPr>
              <w:pStyle w:val="Text1"/>
              <w:spacing w:beforeLines="20" w:before="48" w:afterLines="20" w:after="48"/>
              <w:ind w:left="136"/>
              <w:jc w:val="left"/>
              <w:rPr>
                <w:noProof/>
                <w:sz w:val="16"/>
                <w:szCs w:val="16"/>
              </w:rPr>
            </w:pPr>
            <w:r>
              <w:rPr>
                <w:noProof/>
                <w:sz w:val="16"/>
              </w:rPr>
              <w:t>XX 01 02 02 (ZZ, MZ, VNE, DAZ, PED v delegáciách)</w:t>
            </w:r>
          </w:p>
        </w:tc>
        <w:tc>
          <w:tcPr>
            <w:tcW w:w="346" w:type="pct"/>
            <w:shd w:val="clear" w:color="auto" w:fill="auto"/>
            <w:vAlign w:val="center"/>
          </w:tcPr>
          <w:p>
            <w:pPr>
              <w:spacing w:beforeLines="20" w:before="48" w:afterLines="20" w:after="48"/>
              <w:jc w:val="center"/>
              <w:rPr>
                <w:noProof/>
                <w:sz w:val="16"/>
                <w:szCs w:val="16"/>
              </w:rPr>
            </w:pPr>
          </w:p>
        </w:tc>
        <w:tc>
          <w:tcPr>
            <w:tcW w:w="483" w:type="pct"/>
            <w:shd w:val="clear" w:color="auto" w:fill="auto"/>
            <w:vAlign w:val="center"/>
          </w:tcPr>
          <w:p>
            <w:pPr>
              <w:spacing w:beforeLines="20" w:before="48" w:afterLines="20" w:after="48"/>
              <w:jc w:val="center"/>
              <w:rPr>
                <w:noProof/>
                <w:sz w:val="16"/>
                <w:szCs w:val="16"/>
              </w:rPr>
            </w:pPr>
          </w:p>
        </w:tc>
        <w:tc>
          <w:tcPr>
            <w:tcW w:w="484" w:type="pct"/>
            <w:shd w:val="clear" w:color="auto" w:fill="auto"/>
            <w:vAlign w:val="center"/>
          </w:tcPr>
          <w:p>
            <w:pPr>
              <w:spacing w:beforeLines="20" w:before="48" w:afterLines="20" w:after="48"/>
              <w:jc w:val="center"/>
              <w:rPr>
                <w:noProof/>
                <w:sz w:val="16"/>
                <w:szCs w:val="16"/>
              </w:rPr>
            </w:pPr>
          </w:p>
        </w:tc>
        <w:tc>
          <w:tcPr>
            <w:tcW w:w="415" w:type="pct"/>
            <w:shd w:val="clear" w:color="auto" w:fill="auto"/>
            <w:vAlign w:val="center"/>
          </w:tcPr>
          <w:p>
            <w:pPr>
              <w:spacing w:beforeLines="20" w:before="48" w:afterLines="20" w:after="48"/>
              <w:jc w:val="center"/>
              <w:rPr>
                <w:noProof/>
                <w:sz w:val="16"/>
                <w:szCs w:val="16"/>
              </w:rPr>
            </w:pPr>
          </w:p>
        </w:tc>
        <w:tc>
          <w:tcPr>
            <w:tcW w:w="551" w:type="pct"/>
            <w:gridSpan w:val="2"/>
          </w:tcPr>
          <w:p>
            <w:pPr>
              <w:spacing w:beforeLines="20" w:before="48" w:afterLines="20" w:after="48"/>
              <w:jc w:val="center"/>
              <w:rPr>
                <w:noProof/>
                <w:sz w:val="16"/>
                <w:szCs w:val="16"/>
              </w:rPr>
            </w:pPr>
          </w:p>
        </w:tc>
        <w:tc>
          <w:tcPr>
            <w:tcW w:w="551" w:type="pct"/>
            <w:shd w:val="clear" w:color="auto" w:fill="auto"/>
            <w:vAlign w:val="center"/>
          </w:tcPr>
          <w:p>
            <w:pPr>
              <w:spacing w:beforeLines="20" w:before="48" w:afterLines="20" w:after="48"/>
              <w:jc w:val="center"/>
              <w:rPr>
                <w:noProof/>
                <w:sz w:val="16"/>
                <w:szCs w:val="16"/>
              </w:rPr>
            </w:pPr>
          </w:p>
        </w:tc>
      </w:tr>
      <w:tr>
        <w:trPr>
          <w:trHeight w:val="289"/>
          <w:jc w:val="center"/>
        </w:trPr>
        <w:tc>
          <w:tcPr>
            <w:tcW w:w="1019" w:type="pct"/>
            <w:vMerge w:val="restart"/>
            <w:shd w:val="clear" w:color="auto" w:fill="auto"/>
            <w:vAlign w:val="center"/>
          </w:tcPr>
          <w:p>
            <w:pPr>
              <w:pStyle w:val="Text1"/>
              <w:spacing w:beforeLines="20" w:before="48" w:afterLines="20" w:after="48"/>
              <w:ind w:left="136"/>
              <w:jc w:val="left"/>
              <w:rPr>
                <w:b/>
                <w:noProof/>
                <w:sz w:val="16"/>
                <w:szCs w:val="16"/>
              </w:rPr>
            </w:pPr>
            <w:r>
              <w:rPr>
                <w:b/>
                <w:noProof/>
                <w:sz w:val="16"/>
              </w:rPr>
              <w:t>XX</w:t>
            </w:r>
            <w:r>
              <w:rPr>
                <w:noProof/>
                <w:sz w:val="16"/>
              </w:rPr>
              <w:t xml:space="preserve"> 01 04 </w:t>
            </w:r>
            <w:r>
              <w:rPr>
                <w:b/>
                <w:noProof/>
                <w:sz w:val="16"/>
              </w:rPr>
              <w:t>yy</w:t>
            </w:r>
            <w:r>
              <w:rPr>
                <w:b/>
                <w:i/>
                <w:noProof/>
                <w:sz w:val="16"/>
              </w:rPr>
              <w:t xml:space="preserve"> </w:t>
            </w:r>
            <w:r>
              <w:rPr>
                <w:rStyle w:val="FootnoteReference"/>
                <w:b/>
                <w:i/>
                <w:noProof/>
                <w:sz w:val="16"/>
              </w:rPr>
              <w:footnoteReference w:id="26"/>
            </w:r>
          </w:p>
          <w:p>
            <w:pPr>
              <w:pStyle w:val="Text1"/>
              <w:spacing w:beforeLines="20" w:before="48" w:afterLines="20" w:after="48"/>
              <w:ind w:left="136"/>
              <w:jc w:val="left"/>
              <w:rPr>
                <w:b/>
                <w:noProof/>
                <w:sz w:val="16"/>
                <w:szCs w:val="16"/>
              </w:rPr>
            </w:pPr>
          </w:p>
        </w:tc>
        <w:tc>
          <w:tcPr>
            <w:tcW w:w="1151" w:type="pct"/>
            <w:shd w:val="clear" w:color="auto" w:fill="auto"/>
            <w:vAlign w:val="center"/>
          </w:tcPr>
          <w:p>
            <w:pPr>
              <w:pStyle w:val="Text1"/>
              <w:spacing w:beforeLines="20" w:before="48" w:afterLines="20" w:after="48"/>
              <w:ind w:left="136"/>
              <w:jc w:val="left"/>
              <w:rPr>
                <w:b/>
                <w:noProof/>
                <w:sz w:val="16"/>
                <w:szCs w:val="16"/>
              </w:rPr>
            </w:pPr>
            <w:r>
              <w:rPr>
                <w:noProof/>
                <w:sz w:val="16"/>
              </w:rPr>
              <w:t>‒ ústredie</w:t>
            </w:r>
          </w:p>
          <w:p>
            <w:pPr>
              <w:pStyle w:val="Text1"/>
              <w:spacing w:beforeLines="20" w:before="48" w:afterLines="20" w:after="48"/>
              <w:ind w:left="136"/>
              <w:jc w:val="left"/>
              <w:rPr>
                <w:b/>
                <w:noProof/>
                <w:sz w:val="16"/>
                <w:szCs w:val="16"/>
              </w:rPr>
            </w:pPr>
          </w:p>
        </w:tc>
        <w:tc>
          <w:tcPr>
            <w:tcW w:w="346" w:type="pct"/>
            <w:shd w:val="clear" w:color="auto" w:fill="auto"/>
            <w:vAlign w:val="center"/>
          </w:tcPr>
          <w:p>
            <w:pPr>
              <w:pStyle w:val="Text1"/>
              <w:spacing w:beforeLines="20" w:before="48" w:afterLines="20" w:after="48"/>
              <w:ind w:left="0"/>
              <w:rPr>
                <w:noProof/>
                <w:sz w:val="16"/>
                <w:szCs w:val="16"/>
              </w:rPr>
            </w:pPr>
          </w:p>
        </w:tc>
        <w:tc>
          <w:tcPr>
            <w:tcW w:w="483" w:type="pct"/>
            <w:shd w:val="clear" w:color="auto" w:fill="auto"/>
            <w:vAlign w:val="center"/>
          </w:tcPr>
          <w:p>
            <w:pPr>
              <w:spacing w:beforeLines="20" w:before="48" w:afterLines="20" w:after="48"/>
              <w:jc w:val="center"/>
              <w:rPr>
                <w:noProof/>
                <w:sz w:val="16"/>
                <w:szCs w:val="16"/>
              </w:rPr>
            </w:pPr>
          </w:p>
        </w:tc>
        <w:tc>
          <w:tcPr>
            <w:tcW w:w="484" w:type="pct"/>
            <w:shd w:val="clear" w:color="auto" w:fill="auto"/>
            <w:vAlign w:val="center"/>
          </w:tcPr>
          <w:p>
            <w:pPr>
              <w:spacing w:beforeLines="20" w:before="48" w:afterLines="20" w:after="48"/>
              <w:jc w:val="center"/>
              <w:rPr>
                <w:noProof/>
                <w:sz w:val="16"/>
                <w:szCs w:val="16"/>
              </w:rPr>
            </w:pPr>
          </w:p>
        </w:tc>
        <w:tc>
          <w:tcPr>
            <w:tcW w:w="415" w:type="pct"/>
            <w:shd w:val="clear" w:color="auto" w:fill="auto"/>
            <w:vAlign w:val="center"/>
          </w:tcPr>
          <w:p>
            <w:pPr>
              <w:spacing w:beforeLines="20" w:before="48" w:afterLines="20" w:after="48"/>
              <w:jc w:val="center"/>
              <w:rPr>
                <w:noProof/>
                <w:sz w:val="16"/>
                <w:szCs w:val="16"/>
              </w:rPr>
            </w:pPr>
          </w:p>
        </w:tc>
        <w:tc>
          <w:tcPr>
            <w:tcW w:w="551" w:type="pct"/>
            <w:gridSpan w:val="2"/>
          </w:tcPr>
          <w:p>
            <w:pPr>
              <w:spacing w:beforeLines="20" w:before="48" w:afterLines="20" w:after="48"/>
              <w:jc w:val="center"/>
              <w:rPr>
                <w:noProof/>
                <w:sz w:val="16"/>
                <w:szCs w:val="16"/>
              </w:rPr>
            </w:pPr>
          </w:p>
        </w:tc>
        <w:tc>
          <w:tcPr>
            <w:tcW w:w="551" w:type="pct"/>
            <w:shd w:val="clear" w:color="auto" w:fill="auto"/>
            <w:vAlign w:val="center"/>
          </w:tcPr>
          <w:p>
            <w:pPr>
              <w:spacing w:beforeLines="20" w:before="48" w:afterLines="20" w:after="48"/>
              <w:jc w:val="center"/>
              <w:rPr>
                <w:noProof/>
                <w:sz w:val="16"/>
                <w:szCs w:val="16"/>
              </w:rPr>
            </w:pPr>
          </w:p>
        </w:tc>
      </w:tr>
      <w:tr>
        <w:trPr>
          <w:trHeight w:val="289"/>
          <w:jc w:val="center"/>
        </w:trPr>
        <w:tc>
          <w:tcPr>
            <w:tcW w:w="1019" w:type="pct"/>
            <w:vMerge/>
            <w:shd w:val="clear" w:color="auto" w:fill="auto"/>
            <w:vAlign w:val="center"/>
          </w:tcPr>
          <w:p>
            <w:pPr>
              <w:pStyle w:val="Text1"/>
              <w:spacing w:beforeLines="20" w:before="48" w:afterLines="20" w:after="48"/>
              <w:ind w:left="136"/>
              <w:jc w:val="left"/>
              <w:rPr>
                <w:b/>
                <w:noProof/>
                <w:sz w:val="16"/>
                <w:szCs w:val="16"/>
              </w:rPr>
            </w:pPr>
          </w:p>
        </w:tc>
        <w:tc>
          <w:tcPr>
            <w:tcW w:w="1151" w:type="pct"/>
            <w:shd w:val="clear" w:color="auto" w:fill="auto"/>
            <w:vAlign w:val="center"/>
          </w:tcPr>
          <w:p>
            <w:pPr>
              <w:pStyle w:val="Text1"/>
              <w:spacing w:beforeLines="20" w:before="48" w:afterLines="20" w:after="48"/>
              <w:ind w:left="136"/>
              <w:jc w:val="left"/>
              <w:rPr>
                <w:b/>
                <w:noProof/>
                <w:sz w:val="16"/>
                <w:szCs w:val="16"/>
              </w:rPr>
            </w:pPr>
            <w:r>
              <w:rPr>
                <w:noProof/>
                <w:sz w:val="16"/>
              </w:rPr>
              <w:t xml:space="preserve">– delegácie </w:t>
            </w:r>
          </w:p>
        </w:tc>
        <w:tc>
          <w:tcPr>
            <w:tcW w:w="346" w:type="pct"/>
            <w:shd w:val="clear" w:color="auto" w:fill="auto"/>
            <w:vAlign w:val="center"/>
          </w:tcPr>
          <w:p>
            <w:pPr>
              <w:pStyle w:val="Text1"/>
              <w:spacing w:beforeLines="20" w:before="48" w:afterLines="20" w:after="48"/>
              <w:ind w:left="0"/>
              <w:rPr>
                <w:noProof/>
                <w:sz w:val="16"/>
                <w:szCs w:val="16"/>
              </w:rPr>
            </w:pPr>
          </w:p>
        </w:tc>
        <w:tc>
          <w:tcPr>
            <w:tcW w:w="483" w:type="pct"/>
            <w:shd w:val="clear" w:color="auto" w:fill="auto"/>
            <w:vAlign w:val="center"/>
          </w:tcPr>
          <w:p>
            <w:pPr>
              <w:spacing w:beforeLines="20" w:before="48" w:afterLines="20" w:after="48"/>
              <w:jc w:val="center"/>
              <w:rPr>
                <w:noProof/>
                <w:sz w:val="16"/>
                <w:szCs w:val="16"/>
              </w:rPr>
            </w:pPr>
          </w:p>
        </w:tc>
        <w:tc>
          <w:tcPr>
            <w:tcW w:w="484" w:type="pct"/>
            <w:shd w:val="clear" w:color="auto" w:fill="auto"/>
            <w:vAlign w:val="center"/>
          </w:tcPr>
          <w:p>
            <w:pPr>
              <w:spacing w:beforeLines="20" w:before="48" w:afterLines="20" w:after="48"/>
              <w:jc w:val="center"/>
              <w:rPr>
                <w:noProof/>
                <w:sz w:val="16"/>
                <w:szCs w:val="16"/>
              </w:rPr>
            </w:pPr>
          </w:p>
        </w:tc>
        <w:tc>
          <w:tcPr>
            <w:tcW w:w="415" w:type="pct"/>
            <w:shd w:val="clear" w:color="auto" w:fill="auto"/>
            <w:vAlign w:val="center"/>
          </w:tcPr>
          <w:p>
            <w:pPr>
              <w:spacing w:beforeLines="20" w:before="48" w:afterLines="20" w:after="48"/>
              <w:jc w:val="center"/>
              <w:rPr>
                <w:noProof/>
                <w:sz w:val="16"/>
                <w:szCs w:val="16"/>
              </w:rPr>
            </w:pPr>
          </w:p>
        </w:tc>
        <w:tc>
          <w:tcPr>
            <w:tcW w:w="551" w:type="pct"/>
            <w:gridSpan w:val="2"/>
          </w:tcPr>
          <w:p>
            <w:pPr>
              <w:spacing w:beforeLines="20" w:before="48" w:afterLines="20" w:after="48"/>
              <w:jc w:val="center"/>
              <w:rPr>
                <w:noProof/>
                <w:sz w:val="16"/>
                <w:szCs w:val="16"/>
              </w:rPr>
            </w:pPr>
          </w:p>
        </w:tc>
        <w:tc>
          <w:tcPr>
            <w:tcW w:w="551" w:type="pct"/>
            <w:shd w:val="clear" w:color="auto" w:fill="auto"/>
            <w:vAlign w:val="center"/>
          </w:tcPr>
          <w:p>
            <w:pPr>
              <w:spacing w:beforeLines="20" w:before="48" w:afterLines="20" w:after="48"/>
              <w:jc w:val="center"/>
              <w:rPr>
                <w:noProof/>
                <w:sz w:val="16"/>
                <w:szCs w:val="16"/>
              </w:rPr>
            </w:pPr>
          </w:p>
        </w:tc>
      </w:tr>
      <w:tr>
        <w:trPr>
          <w:trHeight w:val="289"/>
          <w:jc w:val="center"/>
        </w:trPr>
        <w:tc>
          <w:tcPr>
            <w:tcW w:w="2171" w:type="pct"/>
            <w:gridSpan w:val="2"/>
            <w:shd w:val="clear" w:color="auto" w:fill="auto"/>
            <w:vAlign w:val="center"/>
          </w:tcPr>
          <w:p>
            <w:pPr>
              <w:pStyle w:val="Text1"/>
              <w:spacing w:beforeLines="20" w:before="48" w:afterLines="20" w:after="48"/>
              <w:ind w:left="136"/>
              <w:jc w:val="left"/>
              <w:rPr>
                <w:noProof/>
                <w:sz w:val="16"/>
                <w:szCs w:val="16"/>
              </w:rPr>
            </w:pPr>
            <w:r>
              <w:rPr>
                <w:b/>
                <w:noProof/>
                <w:sz w:val="16"/>
              </w:rPr>
              <w:t>XX</w:t>
            </w:r>
            <w:r>
              <w:rPr>
                <w:noProof/>
                <w:sz w:val="16"/>
              </w:rPr>
              <w:t xml:space="preserve"> 01 05 02 (ZZ, VNE, DAZ – nepriamy výskum)</w:t>
            </w:r>
          </w:p>
        </w:tc>
        <w:tc>
          <w:tcPr>
            <w:tcW w:w="346" w:type="pct"/>
            <w:shd w:val="clear" w:color="auto" w:fill="auto"/>
            <w:vAlign w:val="center"/>
          </w:tcPr>
          <w:p>
            <w:pPr>
              <w:spacing w:beforeLines="20" w:before="48" w:afterLines="20" w:after="48"/>
              <w:jc w:val="center"/>
              <w:rPr>
                <w:noProof/>
                <w:sz w:val="16"/>
                <w:szCs w:val="16"/>
              </w:rPr>
            </w:pPr>
          </w:p>
        </w:tc>
        <w:tc>
          <w:tcPr>
            <w:tcW w:w="483" w:type="pct"/>
            <w:shd w:val="clear" w:color="auto" w:fill="auto"/>
            <w:vAlign w:val="center"/>
          </w:tcPr>
          <w:p>
            <w:pPr>
              <w:spacing w:beforeLines="20" w:before="48" w:afterLines="20" w:after="48"/>
              <w:jc w:val="center"/>
              <w:rPr>
                <w:noProof/>
                <w:sz w:val="16"/>
                <w:szCs w:val="16"/>
              </w:rPr>
            </w:pPr>
          </w:p>
        </w:tc>
        <w:tc>
          <w:tcPr>
            <w:tcW w:w="484" w:type="pct"/>
            <w:shd w:val="clear" w:color="auto" w:fill="auto"/>
            <w:vAlign w:val="center"/>
          </w:tcPr>
          <w:p>
            <w:pPr>
              <w:spacing w:beforeLines="20" w:before="48" w:afterLines="20" w:after="48"/>
              <w:jc w:val="center"/>
              <w:rPr>
                <w:noProof/>
                <w:sz w:val="16"/>
                <w:szCs w:val="16"/>
              </w:rPr>
            </w:pPr>
          </w:p>
        </w:tc>
        <w:tc>
          <w:tcPr>
            <w:tcW w:w="415" w:type="pct"/>
            <w:shd w:val="clear" w:color="auto" w:fill="auto"/>
            <w:vAlign w:val="center"/>
          </w:tcPr>
          <w:p>
            <w:pPr>
              <w:spacing w:beforeLines="20" w:before="48" w:afterLines="20" w:after="48"/>
              <w:jc w:val="center"/>
              <w:rPr>
                <w:noProof/>
                <w:sz w:val="16"/>
                <w:szCs w:val="16"/>
              </w:rPr>
            </w:pPr>
          </w:p>
        </w:tc>
        <w:tc>
          <w:tcPr>
            <w:tcW w:w="551" w:type="pct"/>
            <w:gridSpan w:val="2"/>
          </w:tcPr>
          <w:p>
            <w:pPr>
              <w:spacing w:beforeLines="20" w:before="48" w:afterLines="20" w:after="48"/>
              <w:jc w:val="center"/>
              <w:rPr>
                <w:noProof/>
                <w:sz w:val="16"/>
                <w:szCs w:val="16"/>
              </w:rPr>
            </w:pPr>
          </w:p>
        </w:tc>
        <w:tc>
          <w:tcPr>
            <w:tcW w:w="551" w:type="pct"/>
            <w:shd w:val="clear" w:color="auto" w:fill="auto"/>
            <w:vAlign w:val="center"/>
          </w:tcPr>
          <w:p>
            <w:pPr>
              <w:spacing w:beforeLines="20" w:before="48" w:afterLines="20" w:after="48"/>
              <w:jc w:val="center"/>
              <w:rPr>
                <w:noProof/>
                <w:sz w:val="16"/>
                <w:szCs w:val="16"/>
              </w:rPr>
            </w:pPr>
          </w:p>
        </w:tc>
      </w:tr>
      <w:tr>
        <w:trPr>
          <w:trHeight w:val="289"/>
          <w:jc w:val="center"/>
        </w:trPr>
        <w:tc>
          <w:tcPr>
            <w:tcW w:w="2171" w:type="pct"/>
            <w:gridSpan w:val="2"/>
            <w:shd w:val="clear" w:color="auto" w:fill="auto"/>
            <w:vAlign w:val="center"/>
          </w:tcPr>
          <w:p>
            <w:pPr>
              <w:pStyle w:val="Text1"/>
              <w:spacing w:beforeLines="20" w:before="48" w:afterLines="20" w:after="48"/>
              <w:ind w:left="136"/>
              <w:jc w:val="left"/>
              <w:rPr>
                <w:noProof/>
                <w:sz w:val="16"/>
                <w:szCs w:val="16"/>
              </w:rPr>
            </w:pPr>
            <w:r>
              <w:rPr>
                <w:noProof/>
                <w:sz w:val="16"/>
              </w:rPr>
              <w:t>10 01 05 02 (ZZ, VNE, DAZ – priamy výskum)</w:t>
            </w:r>
          </w:p>
        </w:tc>
        <w:tc>
          <w:tcPr>
            <w:tcW w:w="346" w:type="pct"/>
            <w:shd w:val="clear" w:color="auto" w:fill="auto"/>
            <w:vAlign w:val="center"/>
          </w:tcPr>
          <w:p>
            <w:pPr>
              <w:spacing w:beforeLines="20" w:before="48" w:afterLines="20" w:after="48"/>
              <w:jc w:val="center"/>
              <w:rPr>
                <w:noProof/>
                <w:sz w:val="16"/>
                <w:szCs w:val="16"/>
              </w:rPr>
            </w:pPr>
          </w:p>
        </w:tc>
        <w:tc>
          <w:tcPr>
            <w:tcW w:w="483" w:type="pct"/>
            <w:shd w:val="clear" w:color="auto" w:fill="auto"/>
            <w:vAlign w:val="center"/>
          </w:tcPr>
          <w:p>
            <w:pPr>
              <w:spacing w:beforeLines="20" w:before="48" w:afterLines="20" w:after="48"/>
              <w:jc w:val="center"/>
              <w:rPr>
                <w:noProof/>
                <w:sz w:val="16"/>
                <w:szCs w:val="16"/>
              </w:rPr>
            </w:pPr>
          </w:p>
        </w:tc>
        <w:tc>
          <w:tcPr>
            <w:tcW w:w="484" w:type="pct"/>
            <w:shd w:val="clear" w:color="auto" w:fill="auto"/>
            <w:vAlign w:val="center"/>
          </w:tcPr>
          <w:p>
            <w:pPr>
              <w:spacing w:beforeLines="20" w:before="48" w:afterLines="20" w:after="48"/>
              <w:jc w:val="center"/>
              <w:rPr>
                <w:noProof/>
                <w:sz w:val="16"/>
                <w:szCs w:val="16"/>
              </w:rPr>
            </w:pPr>
          </w:p>
        </w:tc>
        <w:tc>
          <w:tcPr>
            <w:tcW w:w="415" w:type="pct"/>
            <w:shd w:val="clear" w:color="auto" w:fill="auto"/>
            <w:vAlign w:val="center"/>
          </w:tcPr>
          <w:p>
            <w:pPr>
              <w:spacing w:beforeLines="20" w:before="48" w:afterLines="20" w:after="48"/>
              <w:jc w:val="center"/>
              <w:rPr>
                <w:noProof/>
                <w:sz w:val="16"/>
                <w:szCs w:val="16"/>
              </w:rPr>
            </w:pPr>
          </w:p>
        </w:tc>
        <w:tc>
          <w:tcPr>
            <w:tcW w:w="551" w:type="pct"/>
            <w:gridSpan w:val="2"/>
          </w:tcPr>
          <w:p>
            <w:pPr>
              <w:spacing w:beforeLines="20" w:before="48" w:afterLines="20" w:after="48"/>
              <w:jc w:val="center"/>
              <w:rPr>
                <w:noProof/>
                <w:sz w:val="16"/>
                <w:szCs w:val="16"/>
              </w:rPr>
            </w:pPr>
          </w:p>
        </w:tc>
        <w:tc>
          <w:tcPr>
            <w:tcW w:w="551" w:type="pct"/>
            <w:shd w:val="clear" w:color="auto" w:fill="auto"/>
            <w:vAlign w:val="center"/>
          </w:tcPr>
          <w:p>
            <w:pPr>
              <w:spacing w:beforeLines="20" w:before="48" w:afterLines="20" w:after="48"/>
              <w:jc w:val="center"/>
              <w:rPr>
                <w:noProof/>
                <w:sz w:val="16"/>
                <w:szCs w:val="16"/>
              </w:rPr>
            </w:pPr>
          </w:p>
        </w:tc>
      </w:tr>
      <w:tr>
        <w:trPr>
          <w:trHeight w:val="289"/>
          <w:jc w:val="center"/>
        </w:trPr>
        <w:tc>
          <w:tcPr>
            <w:tcW w:w="2171" w:type="pct"/>
            <w:gridSpan w:val="2"/>
            <w:tcBorders>
              <w:bottom w:val="double" w:sz="4" w:space="0" w:color="auto"/>
            </w:tcBorders>
            <w:shd w:val="clear" w:color="auto" w:fill="auto"/>
            <w:vAlign w:val="center"/>
          </w:tcPr>
          <w:p>
            <w:pPr>
              <w:pStyle w:val="Text1"/>
              <w:spacing w:beforeLines="20" w:before="48" w:afterLines="20" w:after="48"/>
              <w:ind w:left="134"/>
              <w:jc w:val="left"/>
              <w:rPr>
                <w:noProof/>
                <w:sz w:val="16"/>
                <w:szCs w:val="16"/>
              </w:rPr>
            </w:pPr>
            <w:r>
              <w:rPr>
                <w:noProof/>
                <w:sz w:val="16"/>
              </w:rPr>
              <w:t>Iné rozpočtové riadky (uveďte)</w:t>
            </w:r>
          </w:p>
        </w:tc>
        <w:tc>
          <w:tcPr>
            <w:tcW w:w="346"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483"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484"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415"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551" w:type="pct"/>
            <w:gridSpan w:val="2"/>
            <w:tcBorders>
              <w:bottom w:val="double" w:sz="4" w:space="0" w:color="auto"/>
            </w:tcBorders>
          </w:tcPr>
          <w:p>
            <w:pPr>
              <w:spacing w:beforeLines="20" w:before="48" w:afterLines="20" w:after="48"/>
              <w:jc w:val="center"/>
              <w:rPr>
                <w:noProof/>
                <w:sz w:val="16"/>
                <w:szCs w:val="16"/>
              </w:rPr>
            </w:pPr>
          </w:p>
        </w:tc>
        <w:tc>
          <w:tcPr>
            <w:tcW w:w="551" w:type="pct"/>
            <w:tcBorders>
              <w:bottom w:val="double" w:sz="4" w:space="0" w:color="auto"/>
            </w:tcBorders>
            <w:shd w:val="clear" w:color="auto" w:fill="auto"/>
            <w:vAlign w:val="center"/>
          </w:tcPr>
          <w:p>
            <w:pPr>
              <w:spacing w:beforeLines="20" w:before="48" w:afterLines="20" w:after="48"/>
              <w:jc w:val="center"/>
              <w:rPr>
                <w:noProof/>
                <w:sz w:val="16"/>
                <w:szCs w:val="16"/>
              </w:rPr>
            </w:pPr>
          </w:p>
        </w:tc>
      </w:tr>
      <w:tr>
        <w:trPr>
          <w:trHeight w:val="289"/>
          <w:jc w:val="center"/>
        </w:trPr>
        <w:tc>
          <w:tcPr>
            <w:tcW w:w="2171" w:type="pct"/>
            <w:gridSpan w:val="2"/>
            <w:tcBorders>
              <w:top w:val="double" w:sz="4" w:space="0" w:color="auto"/>
            </w:tcBorders>
            <w:shd w:val="clear" w:color="auto" w:fill="auto"/>
            <w:vAlign w:val="center"/>
          </w:tcPr>
          <w:p>
            <w:pPr>
              <w:pStyle w:val="Text1"/>
              <w:spacing w:beforeLines="20" w:before="48" w:afterLines="20" w:after="48"/>
              <w:ind w:left="136"/>
              <w:jc w:val="left"/>
              <w:rPr>
                <w:noProof/>
                <w:sz w:val="16"/>
                <w:szCs w:val="16"/>
              </w:rPr>
            </w:pPr>
            <w:r>
              <w:rPr>
                <w:b/>
                <w:noProof/>
                <w:sz w:val="16"/>
              </w:rPr>
              <w:t>SPOLU</w:t>
            </w:r>
          </w:p>
        </w:tc>
        <w:tc>
          <w:tcPr>
            <w:tcW w:w="346" w:type="pct"/>
            <w:tcBorders>
              <w:top w:val="double" w:sz="4" w:space="0" w:color="auto"/>
            </w:tcBorders>
            <w:shd w:val="clear" w:color="auto" w:fill="auto"/>
            <w:vAlign w:val="center"/>
          </w:tcPr>
          <w:p>
            <w:pPr>
              <w:spacing w:beforeLines="20" w:before="48" w:afterLines="20" w:after="48"/>
              <w:jc w:val="center"/>
              <w:rPr>
                <w:b/>
                <w:noProof/>
                <w:sz w:val="16"/>
                <w:szCs w:val="16"/>
              </w:rPr>
            </w:pPr>
            <w:r>
              <w:rPr>
                <w:noProof/>
                <w:sz w:val="16"/>
              </w:rPr>
              <w:t>0,4</w:t>
            </w:r>
          </w:p>
        </w:tc>
        <w:tc>
          <w:tcPr>
            <w:tcW w:w="483" w:type="pct"/>
            <w:tcBorders>
              <w:top w:val="double" w:sz="4" w:space="0" w:color="auto"/>
            </w:tcBorders>
            <w:shd w:val="clear" w:color="auto" w:fill="auto"/>
            <w:vAlign w:val="center"/>
          </w:tcPr>
          <w:p>
            <w:pPr>
              <w:spacing w:beforeLines="20" w:before="48" w:afterLines="20" w:after="48"/>
              <w:jc w:val="center"/>
              <w:rPr>
                <w:b/>
                <w:noProof/>
                <w:sz w:val="16"/>
                <w:szCs w:val="16"/>
              </w:rPr>
            </w:pPr>
            <w:r>
              <w:rPr>
                <w:noProof/>
                <w:sz w:val="16"/>
              </w:rPr>
              <w:t>0,5</w:t>
            </w:r>
          </w:p>
        </w:tc>
        <w:tc>
          <w:tcPr>
            <w:tcW w:w="484" w:type="pct"/>
            <w:tcBorders>
              <w:top w:val="double" w:sz="4" w:space="0" w:color="auto"/>
            </w:tcBorders>
            <w:shd w:val="clear" w:color="auto" w:fill="auto"/>
            <w:vAlign w:val="center"/>
          </w:tcPr>
          <w:p>
            <w:pPr>
              <w:spacing w:beforeLines="20" w:before="48" w:afterLines="20" w:after="48"/>
              <w:jc w:val="center"/>
              <w:rPr>
                <w:b/>
                <w:noProof/>
                <w:sz w:val="16"/>
                <w:szCs w:val="16"/>
              </w:rPr>
            </w:pPr>
            <w:r>
              <w:rPr>
                <w:noProof/>
                <w:sz w:val="16"/>
              </w:rPr>
              <w:t>0,5</w:t>
            </w:r>
          </w:p>
        </w:tc>
        <w:tc>
          <w:tcPr>
            <w:tcW w:w="415" w:type="pct"/>
            <w:tcBorders>
              <w:top w:val="double" w:sz="4" w:space="0" w:color="auto"/>
            </w:tcBorders>
            <w:shd w:val="clear" w:color="auto" w:fill="auto"/>
            <w:vAlign w:val="center"/>
          </w:tcPr>
          <w:p>
            <w:pPr>
              <w:spacing w:beforeLines="20" w:before="48" w:afterLines="20" w:after="48"/>
              <w:jc w:val="center"/>
              <w:rPr>
                <w:b/>
                <w:noProof/>
                <w:sz w:val="16"/>
                <w:szCs w:val="16"/>
              </w:rPr>
            </w:pPr>
            <w:r>
              <w:rPr>
                <w:noProof/>
                <w:sz w:val="16"/>
              </w:rPr>
              <w:t>0,5</w:t>
            </w:r>
          </w:p>
        </w:tc>
        <w:tc>
          <w:tcPr>
            <w:tcW w:w="551" w:type="pct"/>
            <w:gridSpan w:val="2"/>
            <w:tcBorders>
              <w:top w:val="double" w:sz="4" w:space="0" w:color="auto"/>
            </w:tcBorders>
          </w:tcPr>
          <w:p>
            <w:pPr>
              <w:spacing w:beforeLines="20" w:before="48" w:afterLines="20" w:after="48"/>
              <w:jc w:val="center"/>
              <w:rPr>
                <w:b/>
                <w:noProof/>
                <w:sz w:val="16"/>
                <w:szCs w:val="16"/>
              </w:rPr>
            </w:pPr>
            <w:r>
              <w:rPr>
                <w:noProof/>
                <w:sz w:val="16"/>
              </w:rPr>
              <w:t>0,5</w:t>
            </w:r>
          </w:p>
        </w:tc>
        <w:tc>
          <w:tcPr>
            <w:tcW w:w="551" w:type="pct"/>
            <w:tcBorders>
              <w:top w:val="double" w:sz="4" w:space="0" w:color="auto"/>
            </w:tcBorders>
            <w:shd w:val="clear" w:color="auto" w:fill="auto"/>
            <w:vAlign w:val="center"/>
          </w:tcPr>
          <w:p>
            <w:pPr>
              <w:spacing w:beforeLines="20" w:before="48" w:afterLines="20" w:after="48"/>
              <w:jc w:val="center"/>
              <w:rPr>
                <w:b/>
                <w:noProof/>
                <w:sz w:val="16"/>
                <w:szCs w:val="16"/>
              </w:rPr>
            </w:pPr>
            <w:r>
              <w:rPr>
                <w:noProof/>
                <w:sz w:val="16"/>
              </w:rPr>
              <w:t>0,1</w:t>
            </w:r>
          </w:p>
        </w:tc>
      </w:tr>
    </w:tbl>
    <w:p>
      <w:pPr>
        <w:pStyle w:val="Text1"/>
        <w:spacing w:before="60" w:after="60"/>
        <w:ind w:left="851"/>
        <w:rPr>
          <w:noProof/>
          <w:sz w:val="18"/>
          <w:szCs w:val="18"/>
        </w:rPr>
      </w:pPr>
      <w:r>
        <w:rPr>
          <w:b/>
          <w:noProof/>
          <w:sz w:val="18"/>
        </w:rPr>
        <w:t>XX</w:t>
      </w:r>
      <w:r>
        <w:rPr>
          <w:noProof/>
        </w:rPr>
        <w:t xml:space="preserve"> predstavuje príslušnú oblasť politiky alebo rozpočtovú hlavu.</w:t>
      </w:r>
    </w:p>
    <w:p>
      <w:pPr>
        <w:pStyle w:val="Text1"/>
        <w:rPr>
          <w:noProof/>
          <w:sz w:val="18"/>
          <w:szCs w:val="18"/>
        </w:rPr>
      </w:pPr>
      <w:r>
        <w:rPr>
          <w:noProof/>
          <w:sz w:val="18"/>
        </w:rPr>
        <w:t>Potreby ľudských zdrojov budú pokryté úradníkmi GR, ktorí už boli pridelení na riadenie akcie a/alebo boli interne prerozdelení v rámci GR, a v prípade potreby budú doplnené zdrojmi, ktoré sa môžu prideliť riadiacemu GR v rámci ročného postupu prideľovania zdrojov v závislosti od rozpočtových obmedzení.</w:t>
      </w:r>
    </w:p>
    <w:p>
      <w:pPr>
        <w:rPr>
          <w:noProof/>
          <w:sz w:val="20"/>
        </w:rPr>
      </w:pPr>
      <w:r>
        <w:rPr>
          <w:noProof/>
          <w:sz w:val="20"/>
        </w:rPr>
        <w:t>Opis úloh, ktoré sa majú vykonať:</w:t>
      </w:r>
    </w:p>
    <w:tbl>
      <w:tblPr>
        <w:tblW w:w="10440" w:type="dxa"/>
        <w:tblInd w:w="-4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40"/>
        <w:gridCol w:w="7200"/>
      </w:tblGrid>
      <w:tr>
        <w:tc>
          <w:tcPr>
            <w:tcW w:w="3240" w:type="dxa"/>
          </w:tcPr>
          <w:p>
            <w:pPr>
              <w:rPr>
                <w:noProof/>
                <w:sz w:val="20"/>
              </w:rPr>
            </w:pPr>
            <w:r>
              <w:rPr>
                <w:noProof/>
                <w:sz w:val="20"/>
              </w:rPr>
              <w:t>Úradníci a dočasní zamestnanci</w:t>
            </w:r>
          </w:p>
        </w:tc>
        <w:tc>
          <w:tcPr>
            <w:tcW w:w="7200" w:type="dxa"/>
          </w:tcPr>
          <w:p>
            <w:pPr>
              <w:rPr>
                <w:noProof/>
                <w:sz w:val="20"/>
              </w:rPr>
            </w:pPr>
            <w:r>
              <w:rPr>
                <w:noProof/>
                <w:sz w:val="20"/>
              </w:rPr>
              <w:t>Príprava a riadenie zasadnutí Spoločnej konzultačnej skupiny zriadenej podľa článku 6 písm. b) dohody, ako aj následné činnosti týkajúce sa fungovania a vykonávania dohody.</w:t>
            </w:r>
          </w:p>
          <w:p>
            <w:pPr>
              <w:rPr>
                <w:noProof/>
                <w:sz w:val="20"/>
              </w:rPr>
            </w:pPr>
            <w:r>
              <w:rPr>
                <w:noProof/>
                <w:sz w:val="20"/>
              </w:rPr>
              <w:t>Výpočty sa vykonávajú proporcionálne vzhľadom na trvanie dohody.</w:t>
            </w:r>
          </w:p>
        </w:tc>
      </w:tr>
      <w:tr>
        <w:tc>
          <w:tcPr>
            <w:tcW w:w="3240" w:type="dxa"/>
          </w:tcPr>
          <w:p>
            <w:pPr>
              <w:spacing w:before="60" w:after="60"/>
              <w:rPr>
                <w:noProof/>
                <w:sz w:val="20"/>
              </w:rPr>
            </w:pPr>
            <w:r>
              <w:rPr>
                <w:noProof/>
                <w:sz w:val="20"/>
              </w:rPr>
              <w:t>Externí zamestnanci</w:t>
            </w:r>
          </w:p>
        </w:tc>
        <w:tc>
          <w:tcPr>
            <w:tcW w:w="7200" w:type="dxa"/>
          </w:tcPr>
          <w:p>
            <w:pPr>
              <w:rPr>
                <w:noProof/>
                <w:sz w:val="20"/>
              </w:rPr>
            </w:pPr>
          </w:p>
        </w:tc>
      </w:tr>
    </w:tbl>
    <w:p>
      <w:pPr>
        <w:rPr>
          <w:noProof/>
        </w:rPr>
        <w:sectPr>
          <w:pgSz w:w="11907" w:h="16840"/>
          <w:pgMar w:top="1134" w:right="1418" w:bottom="1134" w:left="1418" w:header="709" w:footer="709" w:gutter="0"/>
          <w:cols w:space="708"/>
          <w:docGrid w:linePitch="360"/>
        </w:sectPr>
      </w:pPr>
    </w:p>
    <w:p>
      <w:pPr>
        <w:pStyle w:val="ManualHeading3"/>
        <w:rPr>
          <w:bCs/>
          <w:noProof/>
          <w:szCs w:val="24"/>
        </w:rPr>
      </w:pPr>
      <w:r>
        <w:rPr>
          <w:noProof/>
        </w:rPr>
        <w:t>3.2.4.</w:t>
      </w:r>
      <w:r>
        <w:rPr>
          <w:noProof/>
        </w:rPr>
        <w:tab/>
        <w:t xml:space="preserve">Súlad s platným viacročným finančným rámcom </w:t>
      </w:r>
    </w:p>
    <w:p>
      <w:pPr>
        <w:pStyle w:val="ListDash1"/>
        <w:rPr>
          <w:noProof/>
        </w:rPr>
      </w:pPr>
      <w:r>
        <w:rPr>
          <w:noProof/>
        </w:rPr>
        <w:sym w:font="Wingdings" w:char="F0FE"/>
      </w:r>
      <w:r>
        <w:rPr>
          <w:noProof/>
        </w:rPr>
        <w:tab/>
        <w:t>Návrh/iniciatíva je v súlade s platným viacročným finančným rámcom.</w:t>
      </w:r>
    </w:p>
    <w:p>
      <w:pPr>
        <w:pStyle w:val="Text1"/>
        <w:pBdr>
          <w:top w:val="single" w:sz="4" w:space="1" w:color="auto"/>
          <w:left w:val="single" w:sz="4" w:space="4" w:color="auto"/>
          <w:bottom w:val="single" w:sz="4" w:space="1" w:color="auto"/>
          <w:right w:val="single" w:sz="4" w:space="4" w:color="auto"/>
        </w:pBdr>
        <w:rPr>
          <w:noProof/>
          <w:sz w:val="20"/>
        </w:rPr>
      </w:pPr>
      <w:r>
        <w:rPr>
          <w:noProof/>
          <w:sz w:val="20"/>
        </w:rPr>
        <w:t>Viacročný finančný rámec na roky 2021 – 2027 ešte musia schváliť Európsky parlament a Rada.</w:t>
      </w:r>
    </w:p>
    <w:p>
      <w:pPr>
        <w:rPr>
          <w:noProof/>
        </w:rPr>
      </w:pPr>
    </w:p>
    <w:p>
      <w:pPr>
        <w:pStyle w:val="ManualHeading3"/>
        <w:rPr>
          <w:bCs/>
          <w:noProof/>
          <w:szCs w:val="24"/>
        </w:rPr>
      </w:pPr>
      <w:r>
        <w:rPr>
          <w:noProof/>
        </w:rPr>
        <w:t>3.2.5.</w:t>
      </w:r>
      <w:r>
        <w:rPr>
          <w:noProof/>
        </w:rPr>
        <w:tab/>
        <w:t xml:space="preserve">Príspevky od tretích strán </w:t>
      </w:r>
    </w:p>
    <w:p>
      <w:pPr>
        <w:pStyle w:val="ListDash1"/>
        <w:rPr>
          <w:noProof/>
        </w:rPr>
      </w:pPr>
      <w:r>
        <w:rPr>
          <w:noProof/>
        </w:rPr>
        <w:sym w:font="Wingdings" w:char="F0FE"/>
      </w:r>
      <w:r>
        <w:rPr>
          <w:noProof/>
        </w:rPr>
        <w:t xml:space="preserve"> Návrh/iniciatíva nezahŕňa spolufinancovanie tretími stranami. </w:t>
      </w:r>
    </w:p>
    <w:p>
      <w:pPr>
        <w:rPr>
          <w:noProof/>
        </w:rPr>
      </w:pPr>
    </w:p>
    <w:p>
      <w:pPr>
        <w:jc w:val="right"/>
        <w:rPr>
          <w:noProof/>
          <w:sz w:val="20"/>
        </w:rPr>
      </w:pPr>
      <w:r>
        <w:rPr>
          <w:noProof/>
          <w:sz w:val="20"/>
        </w:rPr>
        <w:t>rozpočtové prostriedky v mil. EUR (zaokrúhlené na tri desatinné miesta)</w:t>
      </w:r>
    </w:p>
    <w:tbl>
      <w:tblPr>
        <w:tblW w:w="10246" w:type="dxa"/>
        <w:tblInd w:w="-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40"/>
        <w:gridCol w:w="964"/>
        <w:gridCol w:w="964"/>
        <w:gridCol w:w="964"/>
        <w:gridCol w:w="964"/>
        <w:gridCol w:w="964"/>
        <w:gridCol w:w="964"/>
        <w:gridCol w:w="964"/>
        <w:gridCol w:w="1158"/>
      </w:tblGrid>
      <w:tr>
        <w:trPr>
          <w:cantSplit/>
        </w:trPr>
        <w:tc>
          <w:tcPr>
            <w:tcW w:w="2340" w:type="dxa"/>
          </w:tcPr>
          <w:p>
            <w:pPr>
              <w:spacing w:before="60" w:after="60"/>
              <w:rPr>
                <w:noProof/>
                <w:sz w:val="20"/>
              </w:rPr>
            </w:pPr>
          </w:p>
        </w:tc>
        <w:tc>
          <w:tcPr>
            <w:tcW w:w="964" w:type="dxa"/>
            <w:vAlign w:val="center"/>
          </w:tcPr>
          <w:p>
            <w:pPr>
              <w:jc w:val="center"/>
              <w:rPr>
                <w:noProof/>
                <w:sz w:val="20"/>
              </w:rPr>
            </w:pPr>
            <w:r>
              <w:rPr>
                <w:noProof/>
              </w:rPr>
              <w:t>Rok</w:t>
            </w:r>
            <w:r>
              <w:rPr>
                <w:noProof/>
              </w:rPr>
              <w:br/>
            </w:r>
            <w:r>
              <w:rPr>
                <w:b/>
                <w:noProof/>
                <w:sz w:val="20"/>
              </w:rPr>
              <w:t>N</w:t>
            </w:r>
          </w:p>
        </w:tc>
        <w:tc>
          <w:tcPr>
            <w:tcW w:w="964" w:type="dxa"/>
            <w:vAlign w:val="center"/>
          </w:tcPr>
          <w:p>
            <w:pPr>
              <w:jc w:val="center"/>
              <w:rPr>
                <w:noProof/>
                <w:sz w:val="20"/>
              </w:rPr>
            </w:pPr>
            <w:r>
              <w:rPr>
                <w:noProof/>
              </w:rPr>
              <w:t>Rok</w:t>
            </w:r>
            <w:r>
              <w:rPr>
                <w:noProof/>
              </w:rPr>
              <w:br/>
            </w:r>
            <w:r>
              <w:rPr>
                <w:b/>
                <w:noProof/>
                <w:sz w:val="20"/>
              </w:rPr>
              <w:t>N + 1</w:t>
            </w:r>
          </w:p>
        </w:tc>
        <w:tc>
          <w:tcPr>
            <w:tcW w:w="964" w:type="dxa"/>
            <w:vAlign w:val="center"/>
          </w:tcPr>
          <w:p>
            <w:pPr>
              <w:jc w:val="center"/>
              <w:rPr>
                <w:noProof/>
                <w:sz w:val="20"/>
              </w:rPr>
            </w:pPr>
            <w:r>
              <w:rPr>
                <w:noProof/>
              </w:rPr>
              <w:t>Rok</w:t>
            </w:r>
            <w:r>
              <w:rPr>
                <w:noProof/>
              </w:rPr>
              <w:br/>
            </w:r>
            <w:r>
              <w:rPr>
                <w:b/>
                <w:noProof/>
                <w:sz w:val="20"/>
              </w:rPr>
              <w:t>N + 2</w:t>
            </w:r>
          </w:p>
        </w:tc>
        <w:tc>
          <w:tcPr>
            <w:tcW w:w="964" w:type="dxa"/>
            <w:vAlign w:val="center"/>
          </w:tcPr>
          <w:p>
            <w:pPr>
              <w:jc w:val="center"/>
              <w:rPr>
                <w:noProof/>
                <w:sz w:val="20"/>
              </w:rPr>
            </w:pPr>
            <w:r>
              <w:rPr>
                <w:noProof/>
              </w:rPr>
              <w:t>Rok</w:t>
            </w:r>
            <w:r>
              <w:rPr>
                <w:noProof/>
              </w:rPr>
              <w:br/>
            </w:r>
            <w:r>
              <w:rPr>
                <w:b/>
                <w:noProof/>
                <w:sz w:val="20"/>
              </w:rPr>
              <w:t>N + 3</w:t>
            </w:r>
          </w:p>
        </w:tc>
        <w:tc>
          <w:tcPr>
            <w:tcW w:w="2892" w:type="dxa"/>
            <w:gridSpan w:val="3"/>
            <w:vAlign w:val="center"/>
          </w:tcPr>
          <w:p>
            <w:pPr>
              <w:jc w:val="center"/>
              <w:rPr>
                <w:b/>
                <w:noProof/>
                <w:sz w:val="20"/>
              </w:rPr>
            </w:pPr>
            <w:r>
              <w:rPr>
                <w:noProof/>
                <w:sz w:val="20"/>
              </w:rPr>
              <w:t>Uveďte všetky roky, počas ktorých vplyv trvá (pozri bod 1.6)</w:t>
            </w:r>
          </w:p>
        </w:tc>
        <w:tc>
          <w:tcPr>
            <w:tcW w:w="1158" w:type="dxa"/>
            <w:vAlign w:val="center"/>
          </w:tcPr>
          <w:p>
            <w:pPr>
              <w:spacing w:before="60" w:after="60"/>
              <w:jc w:val="center"/>
              <w:rPr>
                <w:noProof/>
                <w:sz w:val="20"/>
              </w:rPr>
            </w:pPr>
            <w:r>
              <w:rPr>
                <w:noProof/>
                <w:sz w:val="20"/>
              </w:rPr>
              <w:t>Spolu</w:t>
            </w:r>
          </w:p>
        </w:tc>
      </w:tr>
      <w:tr>
        <w:trPr>
          <w:cantSplit/>
        </w:trPr>
        <w:tc>
          <w:tcPr>
            <w:tcW w:w="2340" w:type="dxa"/>
          </w:tcPr>
          <w:p>
            <w:pPr>
              <w:rPr>
                <w:noProof/>
                <w:sz w:val="22"/>
              </w:rPr>
            </w:pPr>
            <w:r>
              <w:rPr>
                <w:noProof/>
                <w:sz w:val="20"/>
              </w:rPr>
              <w:t>Uveďte spolufinancujúci subjekt</w:t>
            </w:r>
            <w:r>
              <w:rPr>
                <w:i/>
                <w:noProof/>
                <w:sz w:val="20"/>
              </w:rPr>
              <w:t xml:space="preserve"> </w:t>
            </w: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1158" w:type="dxa"/>
            <w:vAlign w:val="center"/>
          </w:tcPr>
          <w:p>
            <w:pPr>
              <w:spacing w:before="60" w:after="60"/>
              <w:jc w:val="center"/>
              <w:rPr>
                <w:noProof/>
                <w:sz w:val="20"/>
              </w:rPr>
            </w:pPr>
          </w:p>
        </w:tc>
      </w:tr>
      <w:tr>
        <w:trPr>
          <w:cantSplit/>
        </w:trPr>
        <w:tc>
          <w:tcPr>
            <w:tcW w:w="2340" w:type="dxa"/>
          </w:tcPr>
          <w:p>
            <w:pPr>
              <w:spacing w:before="60" w:after="60"/>
              <w:jc w:val="left"/>
              <w:rPr>
                <w:noProof/>
                <w:sz w:val="20"/>
              </w:rPr>
            </w:pPr>
            <w:r>
              <w:rPr>
                <w:noProof/>
                <w:sz w:val="20"/>
              </w:rPr>
              <w:t xml:space="preserve">Prostriedky zo spolufinancovania SPOLU </w:t>
            </w: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1158" w:type="dxa"/>
            <w:vAlign w:val="center"/>
          </w:tcPr>
          <w:p>
            <w:pPr>
              <w:spacing w:before="60" w:after="60"/>
              <w:jc w:val="center"/>
              <w:rPr>
                <w:noProof/>
                <w:sz w:val="20"/>
              </w:rPr>
            </w:pPr>
          </w:p>
        </w:tc>
      </w:tr>
    </w:tbl>
    <w:p>
      <w:pPr>
        <w:rPr>
          <w:noProof/>
        </w:rPr>
      </w:pPr>
      <w:r>
        <w:rPr>
          <w:noProof/>
        </w:rPr>
        <w:br/>
      </w:r>
    </w:p>
    <w:p>
      <w:pPr>
        <w:pStyle w:val="ManualHeading2"/>
        <w:rPr>
          <w:bCs/>
          <w:noProof/>
          <w:szCs w:val="24"/>
        </w:rPr>
      </w:pPr>
      <w:r>
        <w:rPr>
          <w:noProof/>
        </w:rPr>
        <w:t>3.3.</w:t>
      </w:r>
      <w:r>
        <w:rPr>
          <w:noProof/>
        </w:rPr>
        <w:tab/>
        <w:t xml:space="preserve">Odhadovaný vplyv na príjmy </w:t>
      </w:r>
    </w:p>
    <w:p>
      <w:pPr>
        <w:pStyle w:val="ListDash1"/>
        <w:rPr>
          <w:noProof/>
        </w:rPr>
      </w:pPr>
      <w:r>
        <w:rPr>
          <w:noProof/>
        </w:rPr>
        <w:sym w:font="Wingdings" w:char="F0FE"/>
      </w:r>
      <w:r>
        <w:rPr>
          <w:noProof/>
        </w:rPr>
        <w:tab/>
        <w:t>Návrh/iniciatíva nemá finančný vplyv na príjmy.</w:t>
      </w:r>
    </w:p>
    <w:p>
      <w:pPr>
        <w:rPr>
          <w:noProof/>
        </w:rPr>
      </w:pPr>
    </w:p>
    <w:p>
      <w:pPr>
        <w:jc w:val="center"/>
        <w:rPr>
          <w:i/>
          <w:noProof/>
          <w:sz w:val="20"/>
        </w:rPr>
      </w:pPr>
      <w:r>
        <w:rPr>
          <w:noProof/>
        </w:rPr>
        <w:t>v mil. EUR (zaokrúhlené na tri desatinné miesta)</w:t>
      </w:r>
    </w:p>
    <w:tbl>
      <w:tblPr>
        <w:tblW w:w="1062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4"/>
        <w:gridCol w:w="1276"/>
        <w:gridCol w:w="1080"/>
        <w:gridCol w:w="900"/>
        <w:gridCol w:w="900"/>
        <w:gridCol w:w="1080"/>
        <w:gridCol w:w="1080"/>
        <w:gridCol w:w="1080"/>
        <w:gridCol w:w="1080"/>
      </w:tblGrid>
      <w:tr>
        <w:trPr>
          <w:trHeight w:val="388"/>
        </w:trPr>
        <w:tc>
          <w:tcPr>
            <w:tcW w:w="2144" w:type="dxa"/>
            <w:vMerge w:val="restart"/>
            <w:vAlign w:val="center"/>
          </w:tcPr>
          <w:p>
            <w:pPr>
              <w:spacing w:before="40" w:after="40"/>
              <w:rPr>
                <w:noProof/>
                <w:sz w:val="18"/>
              </w:rPr>
            </w:pPr>
            <w:r>
              <w:rPr>
                <w:noProof/>
                <w:sz w:val="18"/>
              </w:rPr>
              <w:t>Rozpočtový riadok príjmov:</w:t>
            </w:r>
          </w:p>
        </w:tc>
        <w:tc>
          <w:tcPr>
            <w:tcW w:w="1276" w:type="dxa"/>
            <w:vMerge w:val="restart"/>
            <w:vAlign w:val="center"/>
          </w:tcPr>
          <w:p>
            <w:pPr>
              <w:jc w:val="center"/>
              <w:rPr>
                <w:noProof/>
                <w:sz w:val="18"/>
              </w:rPr>
            </w:pPr>
            <w:r>
              <w:rPr>
                <w:noProof/>
                <w:sz w:val="18"/>
              </w:rPr>
              <w:t>Rozpočtové prostriedky k dispozícii v bežnom rozpočtovom roku</w:t>
            </w:r>
          </w:p>
        </w:tc>
        <w:tc>
          <w:tcPr>
            <w:tcW w:w="7200" w:type="dxa"/>
            <w:gridSpan w:val="7"/>
            <w:vAlign w:val="center"/>
          </w:tcPr>
          <w:p>
            <w:pPr>
              <w:jc w:val="center"/>
              <w:rPr>
                <w:noProof/>
                <w:sz w:val="18"/>
              </w:rPr>
            </w:pPr>
            <w:r>
              <w:rPr>
                <w:noProof/>
                <w:sz w:val="18"/>
              </w:rPr>
              <w:t>Vplyv návrhu/iniciatívy</w:t>
            </w:r>
          </w:p>
        </w:tc>
      </w:tr>
      <w:tr>
        <w:trPr>
          <w:trHeight w:val="388"/>
        </w:trPr>
        <w:tc>
          <w:tcPr>
            <w:tcW w:w="2144" w:type="dxa"/>
            <w:vMerge/>
          </w:tcPr>
          <w:p>
            <w:pPr>
              <w:spacing w:before="40" w:after="40"/>
              <w:rPr>
                <w:noProof/>
                <w:sz w:val="18"/>
              </w:rPr>
            </w:pPr>
          </w:p>
        </w:tc>
        <w:tc>
          <w:tcPr>
            <w:tcW w:w="1276" w:type="dxa"/>
            <w:vMerge/>
          </w:tcPr>
          <w:p>
            <w:pPr>
              <w:spacing w:beforeLines="40" w:before="96" w:afterLines="40" w:after="96"/>
              <w:rPr>
                <w:i/>
                <w:noProof/>
                <w:sz w:val="18"/>
              </w:rPr>
            </w:pPr>
          </w:p>
        </w:tc>
        <w:tc>
          <w:tcPr>
            <w:tcW w:w="1080" w:type="dxa"/>
            <w:vAlign w:val="center"/>
          </w:tcPr>
          <w:p>
            <w:pPr>
              <w:jc w:val="center"/>
              <w:rPr>
                <w:noProof/>
                <w:sz w:val="18"/>
              </w:rPr>
            </w:pPr>
            <w:r>
              <w:rPr>
                <w:noProof/>
              </w:rPr>
              <w:t>Rok</w:t>
            </w:r>
            <w:r>
              <w:rPr>
                <w:noProof/>
              </w:rPr>
              <w:br/>
            </w:r>
            <w:r>
              <w:rPr>
                <w:b/>
                <w:noProof/>
                <w:sz w:val="18"/>
              </w:rPr>
              <w:t>N</w:t>
            </w:r>
          </w:p>
        </w:tc>
        <w:tc>
          <w:tcPr>
            <w:tcW w:w="900" w:type="dxa"/>
            <w:vAlign w:val="center"/>
          </w:tcPr>
          <w:p>
            <w:pPr>
              <w:jc w:val="center"/>
              <w:rPr>
                <w:noProof/>
                <w:sz w:val="18"/>
              </w:rPr>
            </w:pPr>
            <w:r>
              <w:rPr>
                <w:noProof/>
              </w:rPr>
              <w:t>Rok</w:t>
            </w:r>
            <w:r>
              <w:rPr>
                <w:noProof/>
              </w:rPr>
              <w:br/>
            </w:r>
            <w:r>
              <w:rPr>
                <w:b/>
                <w:noProof/>
                <w:sz w:val="18"/>
              </w:rPr>
              <w:t>N + 1</w:t>
            </w:r>
          </w:p>
        </w:tc>
        <w:tc>
          <w:tcPr>
            <w:tcW w:w="900" w:type="dxa"/>
            <w:vAlign w:val="center"/>
          </w:tcPr>
          <w:p>
            <w:pPr>
              <w:jc w:val="center"/>
              <w:rPr>
                <w:noProof/>
                <w:sz w:val="18"/>
              </w:rPr>
            </w:pPr>
            <w:r>
              <w:rPr>
                <w:noProof/>
              </w:rPr>
              <w:t>Rok</w:t>
            </w:r>
            <w:r>
              <w:rPr>
                <w:noProof/>
              </w:rPr>
              <w:br/>
            </w:r>
            <w:r>
              <w:rPr>
                <w:b/>
                <w:noProof/>
                <w:sz w:val="18"/>
              </w:rPr>
              <w:t>N + 2</w:t>
            </w:r>
          </w:p>
        </w:tc>
        <w:tc>
          <w:tcPr>
            <w:tcW w:w="1080" w:type="dxa"/>
            <w:vAlign w:val="center"/>
          </w:tcPr>
          <w:p>
            <w:pPr>
              <w:jc w:val="center"/>
              <w:rPr>
                <w:noProof/>
                <w:sz w:val="18"/>
              </w:rPr>
            </w:pPr>
            <w:r>
              <w:rPr>
                <w:noProof/>
              </w:rPr>
              <w:t>Rok</w:t>
            </w:r>
            <w:r>
              <w:rPr>
                <w:noProof/>
              </w:rPr>
              <w:br/>
            </w:r>
            <w:r>
              <w:rPr>
                <w:b/>
                <w:noProof/>
                <w:sz w:val="18"/>
              </w:rPr>
              <w:t>N + 3</w:t>
            </w:r>
          </w:p>
        </w:tc>
        <w:tc>
          <w:tcPr>
            <w:tcW w:w="3240" w:type="dxa"/>
            <w:gridSpan w:val="3"/>
            <w:vAlign w:val="center"/>
          </w:tcPr>
          <w:p>
            <w:pPr>
              <w:jc w:val="center"/>
              <w:rPr>
                <w:b/>
                <w:noProof/>
                <w:sz w:val="18"/>
              </w:rPr>
            </w:pPr>
            <w:r>
              <w:rPr>
                <w:noProof/>
                <w:sz w:val="18"/>
              </w:rPr>
              <w:t>Uveďte všetky roky, počas ktorých vplyv trvá (pozri bod 1.6)</w:t>
            </w:r>
          </w:p>
        </w:tc>
      </w:tr>
      <w:tr>
        <w:trPr>
          <w:trHeight w:val="388"/>
        </w:trPr>
        <w:tc>
          <w:tcPr>
            <w:tcW w:w="2144" w:type="dxa"/>
            <w:vAlign w:val="center"/>
          </w:tcPr>
          <w:p>
            <w:pPr>
              <w:spacing w:before="40" w:after="40"/>
              <w:rPr>
                <w:noProof/>
                <w:sz w:val="18"/>
              </w:rPr>
            </w:pPr>
            <w:r>
              <w:rPr>
                <w:noProof/>
                <w:sz w:val="18"/>
              </w:rPr>
              <w:t>Článok ………….</w:t>
            </w:r>
          </w:p>
        </w:tc>
        <w:tc>
          <w:tcPr>
            <w:tcW w:w="1276" w:type="dxa"/>
          </w:tcPr>
          <w:p>
            <w:pPr>
              <w:spacing w:beforeLines="40" w:before="96" w:afterLines="40" w:after="96"/>
              <w:jc w:val="center"/>
              <w:rPr>
                <w:i/>
                <w:noProof/>
                <w:sz w:val="18"/>
              </w:rPr>
            </w:pPr>
          </w:p>
        </w:tc>
        <w:tc>
          <w:tcPr>
            <w:tcW w:w="1080"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r>
    </w:tbl>
    <w:p>
      <w:pPr>
        <w:pStyle w:val="Text1"/>
        <w:rPr>
          <w:noProof/>
          <w:sz w:val="20"/>
        </w:rPr>
      </w:pPr>
      <w:r>
        <w:rPr>
          <w:noProof/>
          <w:sz w:val="20"/>
        </w:rPr>
        <w:t>V prípade rôznych pripísaných príjmov uveďte príslušné rozpočtové riadky výdavkov.</w:t>
      </w:r>
    </w:p>
    <w:p>
      <w:pPr>
        <w:pStyle w:val="Text1"/>
        <w:pBdr>
          <w:top w:val="single" w:sz="4" w:space="1" w:color="auto"/>
          <w:left w:val="single" w:sz="4" w:space="4" w:color="auto"/>
          <w:bottom w:val="single" w:sz="4" w:space="1" w:color="auto"/>
          <w:right w:val="single" w:sz="4" w:space="4" w:color="auto"/>
        </w:pBdr>
        <w:rPr>
          <w:noProof/>
        </w:rPr>
      </w:pPr>
    </w:p>
    <w:p>
      <w:pPr>
        <w:pStyle w:val="Text1"/>
        <w:rPr>
          <w:noProof/>
          <w:sz w:val="20"/>
        </w:rPr>
      </w:pPr>
      <w:r>
        <w:rPr>
          <w:noProof/>
          <w:sz w:val="20"/>
        </w:rPr>
        <w:t>Uveďte spôsob výpočtu vplyvu na príjmy.</w:t>
      </w:r>
    </w:p>
    <w:p>
      <w:pPr>
        <w:pStyle w:val="Text1"/>
        <w:pBdr>
          <w:top w:val="single" w:sz="4" w:space="1" w:color="auto"/>
          <w:left w:val="single" w:sz="4" w:space="4" w:color="auto"/>
          <w:bottom w:val="single" w:sz="4" w:space="1" w:color="auto"/>
          <w:right w:val="single" w:sz="4" w:space="4" w:color="auto"/>
        </w:pBdr>
        <w:rPr>
          <w:noProof/>
        </w:rPr>
      </w:pPr>
    </w:p>
    <w:sectPr>
      <w:pgSz w:w="11907" w:h="16840"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EUAlbertina">
    <w:altName w:val="EU Alberti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SK</w:t>
    </w:r>
    <w:r>
      <w:rPr>
        <w:rFonts w:ascii="Arial" w:hAnsi="Arial" w:cs="Arial"/>
        <w:b/>
        <w:sz w:val="48"/>
      </w:rPr>
      <w:tab/>
    </w:r>
    <w:r>
      <w:rPr>
        <w:rFonts w:ascii="Arial" w:hAnsi="Arial" w:cs="Arial"/>
        <w:b/>
        <w:sz w:val="48"/>
      </w:rPr>
      <w:tab/>
    </w:r>
    <w:r>
      <w:tab/>
    </w:r>
    <w:r>
      <w:rPr>
        <w:rFonts w:ascii="Arial" w:hAnsi="Arial" w:cs="Arial"/>
        <w:b/>
        <w:sz w:val="48"/>
      </w:rPr>
      <w:t>SK</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SK</w:t>
    </w:r>
    <w:r>
      <w:rPr>
        <w:rFonts w:ascii="Arial" w:hAnsi="Arial" w:cs="Arial"/>
        <w:b/>
        <w:sz w:val="48"/>
      </w:rPr>
      <w:tab/>
    </w:r>
    <w:r>
      <w:fldChar w:fldCharType="begin"/>
    </w:r>
    <w:r>
      <w:instrText xml:space="preserve"> PAGE  \* MERGEFORMAT </w:instrText>
    </w:r>
    <w:r>
      <w:fldChar w:fldCharType="separate"/>
    </w:r>
    <w:r>
      <w:rPr>
        <w:noProof/>
      </w:rPr>
      <w:t>5</w:t>
    </w:r>
    <w:r>
      <w:fldChar w:fldCharType="end"/>
    </w:r>
    <w:r>
      <w:tab/>
    </w:r>
    <w:r>
      <w:tab/>
    </w:r>
    <w:r>
      <w:rPr>
        <w:rFonts w:ascii="Arial" w:hAnsi="Arial" w:cs="Arial"/>
        <w:b/>
        <w:sz w:val="48"/>
      </w:rPr>
      <w:t>SK</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SK</w:t>
    </w:r>
    <w:r>
      <w:rPr>
        <w:rFonts w:ascii="Arial" w:hAnsi="Arial" w:cs="Arial"/>
        <w:b/>
        <w:sz w:val="48"/>
      </w:rPr>
      <w:tab/>
    </w:r>
    <w:r>
      <w:fldChar w:fldCharType="begin"/>
    </w:r>
    <w:r>
      <w:instrText xml:space="preserve"> PAGE  \* MERGEFORMAT </w:instrText>
    </w:r>
    <w:r>
      <w:fldChar w:fldCharType="separate"/>
    </w:r>
    <w:r>
      <w:rPr>
        <w:noProof/>
      </w:rPr>
      <w:t>11</w:t>
    </w:r>
    <w:r>
      <w:fldChar w:fldCharType="end"/>
    </w:r>
    <w:r>
      <w:tab/>
    </w:r>
    <w:r>
      <w:tab/>
    </w:r>
    <w:r>
      <w:rPr>
        <w:rFonts w:ascii="Arial" w:hAnsi="Arial" w:cs="Arial"/>
        <w:b/>
        <w:sz w:val="48"/>
      </w:rPr>
      <w:t>SK</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SK</w:t>
    </w:r>
    <w:r>
      <w:rPr>
        <w:rFonts w:ascii="Arial" w:hAnsi="Arial" w:cs="Arial"/>
        <w:b/>
        <w:sz w:val="48"/>
      </w:rPr>
      <w:tab/>
    </w:r>
    <w:r>
      <w:fldChar w:fldCharType="begin"/>
    </w:r>
    <w:r>
      <w:instrText xml:space="preserve"> PAGE  \* MERGEFORMAT </w:instrText>
    </w:r>
    <w:r>
      <w:fldChar w:fldCharType="separate"/>
    </w:r>
    <w:r>
      <w:rPr>
        <w:noProof/>
      </w:rPr>
      <w:t>11</w:t>
    </w:r>
    <w:r>
      <w:fldChar w:fldCharType="end"/>
    </w:r>
    <w:r>
      <w:tab/>
    </w:r>
    <w:r>
      <w:tab/>
    </w:r>
    <w:r>
      <w:rPr>
        <w:rFonts w:ascii="Arial" w:hAnsi="Arial" w:cs="Arial"/>
        <w:b/>
        <w:sz w:val="48"/>
      </w:rPr>
      <w:t>SK</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Ú. v. ES L 299, 28.11.2000, s. 15.</w:t>
      </w:r>
    </w:p>
  </w:footnote>
  <w:footnote w:id="2">
    <w:p>
      <w:pPr>
        <w:pStyle w:val="FootnoteText"/>
      </w:pPr>
      <w:r>
        <w:rPr>
          <w:rStyle w:val="FootnoteReference"/>
        </w:rPr>
        <w:footnoteRef/>
      </w:r>
      <w:r>
        <w:tab/>
        <w:t>Rozhodnutie Rady 2003/798/ES (Ú. v. EÚ L 229, 18.11.2003, s. 20).</w:t>
      </w:r>
    </w:p>
  </w:footnote>
  <w:footnote w:id="3">
    <w:p>
      <w:pPr>
        <w:pStyle w:val="FootnoteText"/>
      </w:pPr>
      <w:r>
        <w:rPr>
          <w:rStyle w:val="FootnoteReference"/>
        </w:rPr>
        <w:footnoteRef/>
      </w:r>
      <w:r>
        <w:tab/>
        <w:t>Rozhodnutie Rady 2009/313/ES (Ú. v. EÚ L 92, 4.4.2009, s. 3).</w:t>
      </w:r>
    </w:p>
  </w:footnote>
  <w:footnote w:id="4">
    <w:p>
      <w:pPr>
        <w:pStyle w:val="FootnoteText"/>
      </w:pPr>
      <w:r>
        <w:rPr>
          <w:rStyle w:val="FootnoteReference"/>
        </w:rPr>
        <w:footnoteRef/>
      </w:r>
      <w:r>
        <w:tab/>
        <w:t>Rozhodnutie Rady 2014/50/EÚ (Ú. v. EÚ L 32, 1.2.2014, s. 1).</w:t>
      </w:r>
    </w:p>
  </w:footnote>
  <w:footnote w:id="5">
    <w:p>
      <w:pPr>
        <w:pStyle w:val="FootnoteText"/>
      </w:pPr>
      <w:r>
        <w:rPr>
          <w:rStyle w:val="FootnoteReference"/>
        </w:rPr>
        <w:footnoteRef/>
      </w:r>
      <w:r>
        <w:tab/>
      </w:r>
      <w:r>
        <w:rPr>
          <w:i/>
        </w:rPr>
        <w:t>Posilnenie a zameranie medzinárodnej spolupráce EÚ v oblasti výskumu a inovácií: strategický prístup</w:t>
      </w:r>
      <w:r>
        <w:t xml:space="preserve">, COM(2012) 497. </w:t>
      </w:r>
    </w:p>
  </w:footnote>
  <w:footnote w:id="6">
    <w:p>
      <w:pPr>
        <w:pStyle w:val="FootnoteText"/>
      </w:pPr>
      <w:r>
        <w:rPr>
          <w:rStyle w:val="FootnoteReference"/>
        </w:rPr>
        <w:footnoteRef/>
      </w:r>
      <w:r>
        <w:tab/>
        <w:t>Rozhodnutie Rady 2000/742/ES zo 16. novembra 2000 o uzatvorení Dohody v oblasti vedy a techniky medzi Európskym spoločenstvom a vládou Ruskej federácie (Ú. v. ES L 299, 28.11.2000, s. 14).</w:t>
      </w:r>
    </w:p>
  </w:footnote>
  <w:footnote w:id="7">
    <w:p>
      <w:pPr>
        <w:pStyle w:val="FootnoteText"/>
      </w:pPr>
      <w:r>
        <w:rPr>
          <w:rStyle w:val="FootnoteReference"/>
        </w:rPr>
        <w:footnoteRef/>
      </w:r>
      <w:r>
        <w:tab/>
        <w:t>Rozhodnutie Rady 2003/798/ES z 5. júna 2003 o uzavretí Dohody v oblasti vedeckej a technickej spolupráce medzi Európskym spoločenstvom a vládou Ruskej federácie (Ú. v. EÚ L 229, 18.11.2003, s. 20).</w:t>
      </w:r>
    </w:p>
  </w:footnote>
  <w:footnote w:id="8">
    <w:p>
      <w:pPr>
        <w:pStyle w:val="FootnoteText"/>
      </w:pPr>
      <w:r>
        <w:rPr>
          <w:rStyle w:val="FootnoteReference"/>
        </w:rPr>
        <w:footnoteRef/>
      </w:r>
      <w:r>
        <w:tab/>
        <w:t>Rozhodnutie Rady 2009/313/ES z 30. marca 2009 o obnovení Dohody o spolupráci v oblasti vedy a techniky medzi Európskym spoločenstvom a vládou Ruskej federácie (Ú. v. EÚ L 92, 4.4.2009, s. 3).</w:t>
      </w:r>
    </w:p>
  </w:footnote>
  <w:footnote w:id="9">
    <w:p>
      <w:pPr>
        <w:pStyle w:val="FootnoteText"/>
      </w:pPr>
      <w:r>
        <w:rPr>
          <w:rStyle w:val="FootnoteReference"/>
        </w:rPr>
        <w:footnoteRef/>
      </w:r>
      <w:r>
        <w:tab/>
        <w:t>Rozhodnutie Rady 2014/50/EÚ z 20. januára 2014 o obnovení Dohody o vedeckej a technickej spolupráci medzi Európskym spoločenstvom a vládou Ruskej federácie (Ú. v. EÚ L 32, 1.2.2014, s. 1).</w:t>
      </w:r>
    </w:p>
  </w:footnote>
  <w:footnote w:id="10">
    <w:p>
      <w:pPr>
        <w:pStyle w:val="FootnoteText"/>
      </w:pPr>
      <w:r>
        <w:rPr>
          <w:rStyle w:val="FootnoteReference"/>
        </w:rPr>
        <w:footnoteRef/>
      </w:r>
      <w:r>
        <w:tab/>
        <w:t>www.sanctionsmap.eu. Treba poznamenať, že mapa sankcií je nástroj IT, v ktorom sú uvedené režimy reštriktívnych opatrení. Reštriktívne opatrenia sú stanovené v právnych aktoch uverejnených v úradnom vestníku (Ú. v. EÚ). V prípade rozdielov je rozhodujúci úradný vestník.</w:t>
      </w:r>
    </w:p>
  </w:footnote>
  <w:footnote w:id="11">
    <w:p>
      <w:pPr>
        <w:pStyle w:val="FootnoteText"/>
        <w:rPr>
          <w:szCs w:val="24"/>
        </w:rPr>
      </w:pPr>
      <w:r>
        <w:rPr>
          <w:rStyle w:val="FootnoteReference"/>
        </w:rPr>
        <w:footnoteRef/>
      </w:r>
      <w:r>
        <w:tab/>
        <w:t>ABM: riadenie podľa činností; ABB: zostavovanie rozpočtu podľa činností.</w:t>
      </w:r>
    </w:p>
  </w:footnote>
  <w:footnote w:id="12">
    <w:p>
      <w:pPr>
        <w:pStyle w:val="FootnoteText"/>
      </w:pPr>
      <w:r>
        <w:rPr>
          <w:rStyle w:val="FootnoteReference"/>
        </w:rPr>
        <w:footnoteRef/>
      </w:r>
      <w:r>
        <w:tab/>
        <w:t>V porovnaní s programom Horizont 2020 boli na základe návrhu Komisie na nasledujúci viacročný finančný rámec (Európsky horizont) pridané generálne riaditeľstvá CLIMA a MARE, zatiaľ neprijaté.</w:t>
      </w:r>
    </w:p>
  </w:footnote>
  <w:footnote w:id="13">
    <w:p>
      <w:pPr>
        <w:pStyle w:val="FootnoteText"/>
        <w:rPr>
          <w:szCs w:val="24"/>
        </w:rPr>
      </w:pPr>
      <w:r>
        <w:rPr>
          <w:rStyle w:val="FootnoteReference"/>
        </w:rPr>
        <w:footnoteRef/>
      </w:r>
      <w:r>
        <w:tab/>
        <w:t xml:space="preserve">Vysvetlenie spôsobov riadenia a odkazy na nariadenie o rozpočtových pravidlách sú k dispozícii na webovej stránke BudgWeb: </w:t>
      </w:r>
      <w:hyperlink r:id="rId1">
        <w:r>
          <w:rPr>
            <w:rStyle w:val="Hyperlink"/>
            <w:sz w:val="18"/>
          </w:rPr>
          <w:t>http://www.cc.cec/budg/man/budgmanag/budgmanag_en.html.</w:t>
        </w:r>
      </w:hyperlink>
    </w:p>
  </w:footnote>
  <w:footnote w:id="14">
    <w:p>
      <w:pPr>
        <w:pStyle w:val="FootnoteText"/>
        <w:ind w:left="709" w:hanging="709"/>
      </w:pPr>
      <w:r>
        <w:rPr>
          <w:rStyle w:val="FootnoteReference"/>
        </w:rPr>
        <w:footnoteRef/>
      </w:r>
      <w:r>
        <w:tab/>
        <w:t>Rozpočtové prostriedky na obdobie rokov 2021 – 2024 (viacročný finančný rámec na roky 2021 – 2027) a súvisiaci právny základ ešte musia schváliť Európsky parlament a Rada a NR 2019 ešte musí schváliť rozpočtový orgán.</w:t>
      </w:r>
    </w:p>
  </w:footnote>
  <w:footnote w:id="15">
    <w:p>
      <w:pPr>
        <w:pStyle w:val="FootnoteText"/>
        <w:rPr>
          <w:szCs w:val="24"/>
        </w:rPr>
      </w:pPr>
      <w:r>
        <w:rPr>
          <w:rStyle w:val="FootnoteReference"/>
        </w:rPr>
        <w:footnoteRef/>
      </w:r>
      <w:r>
        <w:tab/>
        <w:t>DRP = diferencované rozpočtové prostriedky/NRP = nediferencované rozpočtové prostriedky.</w:t>
      </w:r>
    </w:p>
  </w:footnote>
  <w:footnote w:id="16">
    <w:p>
      <w:pPr>
        <w:pStyle w:val="FootnoteText"/>
        <w:rPr>
          <w:szCs w:val="24"/>
        </w:rPr>
      </w:pPr>
      <w:r>
        <w:rPr>
          <w:rStyle w:val="FootnoteReference"/>
        </w:rPr>
        <w:footnoteRef/>
      </w:r>
      <w:r>
        <w:tab/>
        <w:t xml:space="preserve">EZVO: Európske združenie voľného obchodu. </w:t>
      </w:r>
    </w:p>
  </w:footnote>
  <w:footnote w:id="17">
    <w:p>
      <w:pPr>
        <w:pStyle w:val="FootnoteText"/>
        <w:rPr>
          <w:szCs w:val="24"/>
        </w:rPr>
      </w:pPr>
      <w:r>
        <w:rPr>
          <w:rStyle w:val="FootnoteReference"/>
        </w:rPr>
        <w:footnoteRef/>
      </w:r>
      <w:r>
        <w:tab/>
        <w:t>Kandidátske krajiny a prípadne potenciálne kandidátske krajiny západného Balkánu.</w:t>
      </w:r>
    </w:p>
  </w:footnote>
  <w:footnote w:id="18">
    <w:p>
      <w:pPr>
        <w:pStyle w:val="FootnoteText"/>
        <w:rPr>
          <w:szCs w:val="24"/>
        </w:rPr>
      </w:pPr>
      <w:r>
        <w:rPr>
          <w:rStyle w:val="FootnoteReference"/>
        </w:rPr>
        <w:footnoteRef/>
      </w:r>
      <w:r>
        <w:tab/>
        <w:t>Rok 2019 je rokom, v ktorom sa návrh/iniciatíva začína vykonávať. Sumy na roky 2019 a 2024 zodpovedajú desiatim mesiacom a dvom mesiacom v uvedenom poradí.</w:t>
      </w:r>
    </w:p>
  </w:footnote>
  <w:footnote w:id="19">
    <w:p>
      <w:pPr>
        <w:pStyle w:val="FootnoteText"/>
        <w:rPr>
          <w:szCs w:val="24"/>
        </w:rPr>
      </w:pPr>
      <w:r>
        <w:rPr>
          <w:rStyle w:val="FootnoteReference"/>
        </w:rPr>
        <w:footnoteRef/>
      </w:r>
      <w:r>
        <w:tab/>
        <w:t>Technická a/alebo administratívna pomoc a výdavky určené na financovanie vykonávania programov a/alebo akcií Európskej únie (pôvodné rozpočtové riadky „BA“), nepriamy výskum, priamy výskum.</w:t>
      </w:r>
    </w:p>
  </w:footnote>
  <w:footnote w:id="20">
    <w:p>
      <w:pPr>
        <w:pStyle w:val="FootnoteText"/>
        <w:rPr>
          <w:szCs w:val="24"/>
        </w:rPr>
      </w:pPr>
      <w:r>
        <w:rPr>
          <w:rStyle w:val="FootnoteReference"/>
        </w:rPr>
        <w:footnoteRef/>
      </w:r>
      <w:r>
        <w:tab/>
        <w:t>Rok 2019 je rokom, v ktorom sa návrh/iniciatíva začína vykonávať. Sumy na roky 2019 a 2024 zodpovedajú desiatim mesiacom a dvom mesiacom v uvedenom poradí.</w:t>
      </w:r>
    </w:p>
  </w:footnote>
  <w:footnote w:id="21">
    <w:p>
      <w:pPr>
        <w:pStyle w:val="FootnoteText"/>
        <w:rPr>
          <w:szCs w:val="24"/>
        </w:rPr>
      </w:pPr>
      <w:r>
        <w:rPr>
          <w:rStyle w:val="FootnoteReference"/>
        </w:rPr>
        <w:footnoteRef/>
      </w:r>
      <w:r>
        <w:tab/>
        <w:t>Výstupy sú produkty, ktoré sa majú dodať, a služby, ktoré sa majú poskytnúť (napr.: počet financovaných výmen študentov, vybudované cesty v km atď.).</w:t>
      </w:r>
    </w:p>
  </w:footnote>
  <w:footnote w:id="22">
    <w:p>
      <w:pPr>
        <w:pStyle w:val="FootnoteText"/>
        <w:rPr>
          <w:szCs w:val="24"/>
        </w:rPr>
      </w:pPr>
      <w:r>
        <w:rPr>
          <w:rStyle w:val="FootnoteReference"/>
        </w:rPr>
        <w:footnoteRef/>
      </w:r>
      <w:r>
        <w:tab/>
        <w:t xml:space="preserve">Ako je uvedené v bode 1.4.2. „Špecifické ciele...“. </w:t>
      </w:r>
    </w:p>
  </w:footnote>
  <w:footnote w:id="23">
    <w:p>
      <w:pPr>
        <w:pStyle w:val="FootnoteText"/>
        <w:rPr>
          <w:szCs w:val="24"/>
        </w:rPr>
      </w:pPr>
      <w:r>
        <w:rPr>
          <w:rStyle w:val="FootnoteReference"/>
        </w:rPr>
        <w:footnoteRef/>
      </w:r>
      <w:r>
        <w:tab/>
        <w:t>Rok 2019 je rokom, v ktorom sa návrh/iniciatíva začína vykonávať. Sumy na roky 2019 a 2024 zodpovedajú desiatim mesiacom a dvom mesiacom v uvedenom poradí.</w:t>
      </w:r>
    </w:p>
  </w:footnote>
  <w:footnote w:id="24">
    <w:p>
      <w:pPr>
        <w:pStyle w:val="FootnoteText"/>
        <w:rPr>
          <w:szCs w:val="24"/>
        </w:rPr>
      </w:pPr>
      <w:r>
        <w:rPr>
          <w:rStyle w:val="FootnoteReference"/>
        </w:rPr>
        <w:footnoteRef/>
      </w:r>
      <w:r>
        <w:tab/>
        <w:t>Technická a/alebo administratívna pomoc a výdavky určené na financovanie vykonávania programov a/alebo akcií Európskej únie (pôvodné rozpočtové riadky „BA“), nepriamy výskum, priamy výskum.</w:t>
      </w:r>
    </w:p>
  </w:footnote>
  <w:footnote w:id="25">
    <w:p>
      <w:pPr>
        <w:pStyle w:val="FootnoteText"/>
        <w:rPr>
          <w:szCs w:val="24"/>
        </w:rPr>
      </w:pPr>
      <w:r>
        <w:rPr>
          <w:rStyle w:val="FootnoteReference"/>
        </w:rPr>
        <w:footnoteRef/>
      </w:r>
      <w:r>
        <w:tab/>
        <w:t xml:space="preserve">ZZ = zmluvný zamestnanec; MZ = miestny zamestnanec; VNE = vyslaný národný expert; DAZ = dočasný agentúrny zamestnanec; PED = pomocný expert v delegácii. </w:t>
      </w:r>
    </w:p>
  </w:footnote>
  <w:footnote w:id="26">
    <w:p>
      <w:pPr>
        <w:pStyle w:val="FootnoteText"/>
        <w:rPr>
          <w:szCs w:val="24"/>
        </w:rPr>
      </w:pPr>
      <w:r>
        <w:rPr>
          <w:rStyle w:val="FootnoteReference"/>
        </w:rPr>
        <w:footnoteRef/>
      </w:r>
      <w:r>
        <w:tab/>
        <w:t>Čiastkový strop pre externých zamestnancov financovaných z operačných rozpočtových prostriedkov (pôvodné rozpočtové riadky „BA“).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0AB40AA8"/>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6B56234C"/>
    <w:lvl w:ilvl="0">
      <w:start w:val="1"/>
      <w:numFmt w:val="decimal"/>
      <w:pStyle w:val="ListNumber3"/>
      <w:lvlText w:val="%1."/>
      <w:lvlJc w:val="left"/>
      <w:pPr>
        <w:tabs>
          <w:tab w:val="num" w:pos="926"/>
        </w:tabs>
        <w:ind w:left="926" w:hanging="360"/>
      </w:pPr>
    </w:lvl>
  </w:abstractNum>
  <w:abstractNum w:abstractNumId="2">
    <w:nsid w:val="FFFFFF7F"/>
    <w:multiLevelType w:val="singleLevel"/>
    <w:tmpl w:val="DD4C298C"/>
    <w:lvl w:ilvl="0">
      <w:start w:val="1"/>
      <w:numFmt w:val="decimal"/>
      <w:pStyle w:val="ListNumber2"/>
      <w:lvlText w:val="%1."/>
      <w:lvlJc w:val="left"/>
      <w:pPr>
        <w:tabs>
          <w:tab w:val="num" w:pos="643"/>
        </w:tabs>
        <w:ind w:left="643" w:hanging="360"/>
      </w:pPr>
    </w:lvl>
  </w:abstractNum>
  <w:abstractNum w:abstractNumId="3">
    <w:nsid w:val="FFFFFF81"/>
    <w:multiLevelType w:val="singleLevel"/>
    <w:tmpl w:val="5DBC706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5454A2E6"/>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8012C2EC"/>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7">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8">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1">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2">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3">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4">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5">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16">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7">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8">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0">
    <w:nsid w:val="5DF84969"/>
    <w:multiLevelType w:val="singleLevel"/>
    <w:tmpl w:val="1E12021A"/>
    <w:lvl w:ilvl="0">
      <w:start w:val="1"/>
      <w:numFmt w:val="bullet"/>
      <w:pStyle w:val="ListBullet"/>
      <w:lvlText w:val=""/>
      <w:lvlJc w:val="left"/>
      <w:pPr>
        <w:tabs>
          <w:tab w:val="num" w:pos="283"/>
        </w:tabs>
        <w:ind w:left="283" w:hanging="283"/>
      </w:pPr>
      <w:rPr>
        <w:rFonts w:ascii="Symbol" w:hAnsi="Symbol" w:hint="default"/>
      </w:rPr>
    </w:lvl>
  </w:abstractNum>
  <w:abstractNum w:abstractNumId="21">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3">
    <w:nsid w:val="71F06166"/>
    <w:multiLevelType w:val="multilevel"/>
    <w:tmpl w:val="C08066D2"/>
    <w:name w:val="0.6719891"/>
    <w:lvl w:ilvl="0">
      <w:start w:val="1"/>
      <w:numFmt w:val="decimal"/>
      <w:lvlRestart w:val="0"/>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6"/>
  </w:num>
  <w:num w:numId="2">
    <w:abstractNumId w:val="15"/>
  </w:num>
  <w:num w:numId="3">
    <w:abstractNumId w:val="14"/>
  </w:num>
  <w:num w:numId="4">
    <w:abstractNumId w:val="23"/>
  </w:num>
  <w:num w:numId="5">
    <w:abstractNumId w:val="20"/>
  </w:num>
  <w:num w:numId="6">
    <w:abstractNumId w:val="5"/>
  </w:num>
  <w:num w:numId="7">
    <w:abstractNumId w:val="4"/>
  </w:num>
  <w:num w:numId="8">
    <w:abstractNumId w:val="3"/>
  </w:num>
  <w:num w:numId="9">
    <w:abstractNumId w:val="2"/>
  </w:num>
  <w:num w:numId="10">
    <w:abstractNumId w:val="1"/>
  </w:num>
  <w:num w:numId="11">
    <w:abstractNumId w:val="0"/>
  </w:num>
  <w:num w:numId="12">
    <w:abstractNumId w:val="19"/>
  </w:num>
  <w:num w:numId="13">
    <w:abstractNumId w:val="11"/>
  </w:num>
  <w:num w:numId="14">
    <w:abstractNumId w:val="22"/>
  </w:num>
  <w:num w:numId="15">
    <w:abstractNumId w:val="10"/>
  </w:num>
  <w:num w:numId="16">
    <w:abstractNumId w:val="12"/>
  </w:num>
  <w:num w:numId="17">
    <w:abstractNumId w:val="8"/>
  </w:num>
  <w:num w:numId="18">
    <w:abstractNumId w:val="21"/>
  </w:num>
  <w:num w:numId="19">
    <w:abstractNumId w:val="7"/>
  </w:num>
  <w:num w:numId="20">
    <w:abstractNumId w:val="13"/>
  </w:num>
  <w:num w:numId="21">
    <w:abstractNumId w:val="17"/>
  </w:num>
  <w:num w:numId="22">
    <w:abstractNumId w:val="18"/>
  </w:num>
  <w:num w:numId="23">
    <w:abstractNumId w:val="9"/>
  </w:num>
  <w:num w:numId="24">
    <w:abstractNumId w:val="16"/>
  </w:num>
  <w:num w:numId="25">
    <w:abstractNumId w:val="2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hyphenationZone w:val="425"/>
  <w:characterSpacingControl w:val="doNotCompress"/>
  <w:hdrShapeDefaults>
    <o:shapedefaults v:ext="edit" spidmax="1003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1-11 10:25:31"/>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12"/>
    <w:docVar w:name="DQCResult_ModifiedMarkers" w:val="0;0"/>
    <w:docVar w:name="DQCResult_ModifiedNumbering" w:val="0;0"/>
    <w:docVar w:name="DQCResult_Objects" w:val="0;0"/>
    <w:docVar w:name="DQCResult_Sections" w:val="0;0"/>
    <w:docVar w:name="DQCResult_StructureCheck" w:val="0;0"/>
    <w:docVar w:name="DQCResult_SuperfluousWhitespace" w:val="0;18"/>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7FEF5791-5FF4-46BD-9F16-3F74DC893FB1"/>
    <w:docVar w:name="LW_COVERPAGE_TYPE" w:val="1"/>
    <w:docVar w:name="LW_CROSSREFERENCE" w:val="&lt;UNUSED&gt;"/>
    <w:docVar w:name="LW_DocType" w:val="COM"/>
    <w:docVar w:name="LW_EMISSION" w:val="18. 1. 2019"/>
    <w:docVar w:name="LW_EMISSION_ISODATE" w:val="2019-01-18"/>
    <w:docVar w:name="LW_EMISSION_LOCATION" w:val="BRX"/>
    <w:docVar w:name="LW_EMISSION_PREFIX" w:val="V Bruseli"/>
    <w:docVar w:name="LW_EMISSION_SUFFIX" w:val="&lt;EMPTY&gt;"/>
    <w:docVar w:name="LW_ID_DOCMODEL" w:val="SJ-019"/>
    <w:docVar w:name="LW_ID_DOCSIGNATURE" w:val="SJ-019"/>
    <w:docVar w:name="LW_ID_DOCSTRUCTURE" w:val="COM/PL/ORG"/>
    <w:docVar w:name="LW_ID_DOCTYPE" w:val="SJ-019"/>
    <w:docVar w:name="LW_ID_EXP.MOTIFS.NEW" w:val="EM_PL_"/>
    <w:docVar w:name="LW_ID_STATUT" w:val="SJ-019"/>
    <w:docVar w:name="LW_INTERETEEE.CP" w:val="&lt;UNUSED&gt;"/>
    <w:docVar w:name="LW_LANGUE" w:val="SK"/>
    <w:docVar w:name="LW_LEVEL_OF_SENSITIVITY" w:val="Standard treatment"/>
    <w:docVar w:name="LW_NOM.INST" w:val="EURÓPSKA KOMISIA"/>
    <w:docVar w:name="LW_NOM.INST_JOINTDOC" w:val="&lt;EMPTY&gt;"/>
    <w:docVar w:name="LW_PART_NBR" w:val="1"/>
    <w:docVar w:name="LW_PART_NBR_TOTAL" w:val="1"/>
    <w:docVar w:name="LW_REF.II.NEW.CP" w:val="NLE"/>
    <w:docVar w:name="LW_REF.II.NEW.CP_NUMBER" w:val="0005"/>
    <w:docVar w:name="LW_REF.II.NEW.CP_YEAR" w:val="2019"/>
    <w:docVar w:name="LW_REF.INST.NEW" w:val="COM"/>
    <w:docVar w:name="LW_REF.INST.NEW_ADOPTED" w:val="final"/>
    <w:docVar w:name="LW_REF.INST.NEW_TEXT" w:val="(2019) 7"/>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Návrh"/>
    <w:docVar w:name="LW_SUPERTITRE" w:val="&lt;UNUSED&gt;"/>
    <w:docVar w:name="LW_TITRE.OBJ.CP" w:val="o obnovení Dohody o vedeckej a technickej spolupráci medzi Európskym spolo\u269?enstvom a vládou Ruskej federácie "/>
    <w:docVar w:name="LW_TYPE.DOC.CP" w:val="ROZHODNUTIE RADY"/>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03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sk-SK"/>
    </w:rPr>
  </w:style>
  <w:style w:type="paragraph" w:styleId="Heading1">
    <w:name w:val="heading 1"/>
    <w:basedOn w:val="Normal"/>
    <w:next w:val="Text1"/>
    <w:link w:val="Heading1Char"/>
    <w:uiPriority w:val="9"/>
    <w:qFormat/>
    <w:pPr>
      <w:keepNext/>
      <w:numPr>
        <w:numId w:val="1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8"/>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4"/>
      </w:numPr>
    </w:pPr>
    <w:rPr>
      <w:rFonts w:eastAsia="Times New Roman"/>
    </w:rPr>
  </w:style>
  <w:style w:type="paragraph" w:customStyle="1" w:styleId="ListBullet1">
    <w:name w:val="List Bullet 1"/>
    <w:basedOn w:val="Normal"/>
    <w:pPr>
      <w:numPr>
        <w:numId w:val="1"/>
      </w:numPr>
    </w:pPr>
    <w:rPr>
      <w:rFonts w:eastAsia="Times New Roman"/>
    </w:rPr>
  </w:style>
  <w:style w:type="paragraph" w:customStyle="1" w:styleId="ListDash1">
    <w:name w:val="List Dash 1"/>
    <w:basedOn w:val="Normal"/>
    <w:pPr>
      <w:numPr>
        <w:numId w:val="2"/>
      </w:numPr>
    </w:pPr>
    <w:rPr>
      <w:rFonts w:eastAsia="Times New Roman"/>
    </w:rPr>
  </w:style>
  <w:style w:type="paragraph" w:customStyle="1" w:styleId="ListDash2">
    <w:name w:val="List Dash 2"/>
    <w:basedOn w:val="Normal"/>
    <w:pPr>
      <w:numPr>
        <w:numId w:val="3"/>
      </w:numPr>
    </w:pPr>
    <w:rPr>
      <w:rFonts w:eastAsia="Times New Roman"/>
    </w:rPr>
  </w:style>
  <w:style w:type="paragraph" w:customStyle="1" w:styleId="ListNumberLevel2">
    <w:name w:val="List Number (Level 2)"/>
    <w:basedOn w:val="Normal"/>
    <w:pPr>
      <w:numPr>
        <w:ilvl w:val="1"/>
        <w:numId w:val="4"/>
      </w:numPr>
    </w:pPr>
    <w:rPr>
      <w:rFonts w:eastAsia="Times New Roman"/>
    </w:rPr>
  </w:style>
  <w:style w:type="paragraph" w:customStyle="1" w:styleId="ListNumberLevel3">
    <w:name w:val="List Number (Level 3)"/>
    <w:basedOn w:val="Normal"/>
    <w:pPr>
      <w:numPr>
        <w:ilvl w:val="2"/>
        <w:numId w:val="4"/>
      </w:numPr>
    </w:pPr>
    <w:rPr>
      <w:rFonts w:eastAsia="Times New Roman"/>
    </w:rPr>
  </w:style>
  <w:style w:type="paragraph" w:customStyle="1" w:styleId="ListNumberLevel4">
    <w:name w:val="List Number (Level 4)"/>
    <w:basedOn w:val="Normal"/>
    <w:pPr>
      <w:numPr>
        <w:ilvl w:val="3"/>
        <w:numId w:val="4"/>
      </w:numPr>
    </w:pPr>
    <w:rPr>
      <w:rFonts w:eastAsia="Times New Roman"/>
    </w:rPr>
  </w:style>
  <w:style w:type="character" w:styleId="Hyperlink">
    <w:name w:val="Hyperlink"/>
    <w:rPr>
      <w:color w:val="0000FF"/>
      <w:u w:val="single"/>
    </w:rPr>
  </w:style>
  <w:style w:type="paragraph" w:styleId="ListBullet">
    <w:name w:val="List Bullet"/>
    <w:basedOn w:val="Normal"/>
    <w:pPr>
      <w:numPr>
        <w:numId w:val="5"/>
      </w:numPr>
    </w:pPr>
    <w:rPr>
      <w:rFonts w:eastAsia="Times New Roman"/>
    </w:rPr>
  </w:style>
  <w:style w:type="paragraph" w:styleId="ListBullet2">
    <w:name w:val="List Bullet 2"/>
    <w:basedOn w:val="Normal"/>
    <w:uiPriority w:val="99"/>
    <w:semiHidden/>
    <w:unhideWhenUsed/>
    <w:pPr>
      <w:numPr>
        <w:numId w:val="6"/>
      </w:numPr>
      <w:contextualSpacing/>
    </w:pPr>
  </w:style>
  <w:style w:type="paragraph" w:styleId="ListBullet3">
    <w:name w:val="List Bullet 3"/>
    <w:basedOn w:val="Normal"/>
    <w:uiPriority w:val="99"/>
    <w:semiHidden/>
    <w:unhideWhenUsed/>
    <w:pPr>
      <w:numPr>
        <w:numId w:val="7"/>
      </w:numPr>
      <w:contextualSpacing/>
    </w:pPr>
  </w:style>
  <w:style w:type="paragraph" w:styleId="ListBullet4">
    <w:name w:val="List Bullet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sk-SK"/>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k-SK"/>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sk-SK"/>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2">
    <w:name w:val="List Number 2"/>
    <w:basedOn w:val="Normal"/>
    <w:uiPriority w:val="99"/>
    <w:semiHidden/>
    <w:unhideWhenUsed/>
    <w:pPr>
      <w:numPr>
        <w:numId w:val="9"/>
      </w:numPr>
      <w:contextualSpacing/>
    </w:pPr>
  </w:style>
  <w:style w:type="paragraph" w:styleId="ListNumber3">
    <w:name w:val="List Number 3"/>
    <w:basedOn w:val="Normal"/>
    <w:uiPriority w:val="99"/>
    <w:semiHidden/>
    <w:unhideWhenUsed/>
    <w:pPr>
      <w:numPr>
        <w:numId w:val="10"/>
      </w:numPr>
      <w:contextualSpacing/>
    </w:pPr>
  </w:style>
  <w:style w:type="paragraph" w:styleId="ListNumber4">
    <w:name w:val="List Number 4"/>
    <w:basedOn w:val="Normal"/>
    <w:uiPriority w:val="99"/>
    <w:semiHidden/>
    <w:unhideWhenUsed/>
    <w:pPr>
      <w:numPr>
        <w:numId w:val="11"/>
      </w:numPr>
      <w:contextualSpacing/>
    </w:pPr>
  </w:style>
  <w:style w:type="paragraph" w:styleId="EndnoteText">
    <w:name w:val="endnote text"/>
    <w:basedOn w:val="Normal"/>
    <w:link w:val="EndnoteTextChar"/>
    <w:uiPriority w:val="99"/>
    <w:semiHidden/>
    <w:unhideWhenUsed/>
    <w:pPr>
      <w:spacing w:before="0" w:after="0"/>
    </w:pPr>
    <w:rPr>
      <w:sz w:val="20"/>
      <w:szCs w:val="20"/>
    </w:rPr>
  </w:style>
  <w:style w:type="character" w:customStyle="1" w:styleId="EndnoteTextChar">
    <w:name w:val="Endnote Text Char"/>
    <w:basedOn w:val="DefaultParagraphFont"/>
    <w:link w:val="EndnoteText"/>
    <w:uiPriority w:val="99"/>
    <w:semiHidden/>
    <w:rPr>
      <w:rFonts w:ascii="Times New Roman" w:hAnsi="Times New Roman" w:cs="Times New Roman"/>
      <w:sz w:val="20"/>
      <w:szCs w:val="20"/>
      <w:lang w:val="sk-SK"/>
    </w:rPr>
  </w:style>
  <w:style w:type="character" w:styleId="EndnoteReference">
    <w:name w:val="endnote reference"/>
    <w:basedOn w:val="DefaultParagraphFont"/>
    <w:uiPriority w:val="99"/>
    <w:semiHidden/>
    <w:unhideWhenUsed/>
    <w:rPr>
      <w:vertAlign w:val="superscript"/>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sk-SK"/>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sk-SK"/>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2"/>
      </w:numPr>
    </w:pPr>
  </w:style>
  <w:style w:type="paragraph" w:customStyle="1" w:styleId="Tiret1">
    <w:name w:val="Tiret 1"/>
    <w:basedOn w:val="Point1"/>
    <w:pPr>
      <w:numPr>
        <w:numId w:val="13"/>
      </w:numPr>
    </w:pPr>
  </w:style>
  <w:style w:type="paragraph" w:customStyle="1" w:styleId="Tiret2">
    <w:name w:val="Tiret 2"/>
    <w:basedOn w:val="Point2"/>
    <w:pPr>
      <w:numPr>
        <w:numId w:val="14"/>
      </w:numPr>
    </w:pPr>
  </w:style>
  <w:style w:type="paragraph" w:customStyle="1" w:styleId="Tiret3">
    <w:name w:val="Tiret 3"/>
    <w:basedOn w:val="Point3"/>
    <w:pPr>
      <w:numPr>
        <w:numId w:val="15"/>
      </w:numPr>
    </w:pPr>
  </w:style>
  <w:style w:type="paragraph" w:customStyle="1" w:styleId="Tiret4">
    <w:name w:val="Tiret 4"/>
    <w:basedOn w:val="Point4"/>
    <w:pPr>
      <w:numPr>
        <w:numId w:val="1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7"/>
      </w:numPr>
    </w:pPr>
  </w:style>
  <w:style w:type="paragraph" w:customStyle="1" w:styleId="NumPar2">
    <w:name w:val="NumPar 2"/>
    <w:basedOn w:val="Normal"/>
    <w:next w:val="Text1"/>
    <w:pPr>
      <w:numPr>
        <w:ilvl w:val="1"/>
        <w:numId w:val="17"/>
      </w:numPr>
    </w:pPr>
  </w:style>
  <w:style w:type="paragraph" w:customStyle="1" w:styleId="NumPar3">
    <w:name w:val="NumPar 3"/>
    <w:basedOn w:val="Normal"/>
    <w:next w:val="Text1"/>
    <w:pPr>
      <w:numPr>
        <w:ilvl w:val="2"/>
        <w:numId w:val="17"/>
      </w:numPr>
    </w:pPr>
  </w:style>
  <w:style w:type="paragraph" w:customStyle="1" w:styleId="NumPar4">
    <w:name w:val="NumPar 4"/>
    <w:basedOn w:val="Normal"/>
    <w:next w:val="Text1"/>
    <w:pPr>
      <w:numPr>
        <w:ilvl w:val="3"/>
        <w:numId w:val="1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9"/>
      </w:numPr>
    </w:pPr>
  </w:style>
  <w:style w:type="paragraph" w:customStyle="1" w:styleId="Point1number">
    <w:name w:val="Point 1 (number)"/>
    <w:basedOn w:val="Normal"/>
    <w:pPr>
      <w:numPr>
        <w:ilvl w:val="2"/>
        <w:numId w:val="19"/>
      </w:numPr>
    </w:pPr>
  </w:style>
  <w:style w:type="paragraph" w:customStyle="1" w:styleId="Point2number">
    <w:name w:val="Point 2 (number)"/>
    <w:basedOn w:val="Normal"/>
    <w:pPr>
      <w:numPr>
        <w:ilvl w:val="4"/>
        <w:numId w:val="19"/>
      </w:numPr>
    </w:pPr>
  </w:style>
  <w:style w:type="paragraph" w:customStyle="1" w:styleId="Point3number">
    <w:name w:val="Point 3 (number)"/>
    <w:basedOn w:val="Normal"/>
    <w:pPr>
      <w:numPr>
        <w:ilvl w:val="6"/>
        <w:numId w:val="19"/>
      </w:numPr>
    </w:pPr>
  </w:style>
  <w:style w:type="paragraph" w:customStyle="1" w:styleId="Point0letter">
    <w:name w:val="Point 0 (letter)"/>
    <w:basedOn w:val="Normal"/>
    <w:pPr>
      <w:numPr>
        <w:ilvl w:val="1"/>
        <w:numId w:val="19"/>
      </w:numPr>
    </w:pPr>
  </w:style>
  <w:style w:type="paragraph" w:customStyle="1" w:styleId="Point1letter">
    <w:name w:val="Point 1 (letter)"/>
    <w:basedOn w:val="Normal"/>
    <w:pPr>
      <w:numPr>
        <w:ilvl w:val="3"/>
        <w:numId w:val="19"/>
      </w:numPr>
    </w:pPr>
  </w:style>
  <w:style w:type="paragraph" w:customStyle="1" w:styleId="Point2letter">
    <w:name w:val="Point 2 (letter)"/>
    <w:basedOn w:val="Normal"/>
    <w:pPr>
      <w:numPr>
        <w:ilvl w:val="5"/>
        <w:numId w:val="19"/>
      </w:numPr>
    </w:pPr>
  </w:style>
  <w:style w:type="paragraph" w:customStyle="1" w:styleId="Point3letter">
    <w:name w:val="Point 3 (letter)"/>
    <w:basedOn w:val="Normal"/>
    <w:pPr>
      <w:numPr>
        <w:ilvl w:val="7"/>
        <w:numId w:val="19"/>
      </w:numPr>
    </w:pPr>
  </w:style>
  <w:style w:type="paragraph" w:customStyle="1" w:styleId="Point4letter">
    <w:name w:val="Point 4 (letter)"/>
    <w:basedOn w:val="Normal"/>
    <w:pPr>
      <w:numPr>
        <w:ilvl w:val="8"/>
        <w:numId w:val="19"/>
      </w:numPr>
    </w:pPr>
  </w:style>
  <w:style w:type="paragraph" w:customStyle="1" w:styleId="Bullet0">
    <w:name w:val="Bullet 0"/>
    <w:basedOn w:val="Normal"/>
    <w:pPr>
      <w:numPr>
        <w:numId w:val="20"/>
      </w:numPr>
    </w:pPr>
  </w:style>
  <w:style w:type="paragraph" w:customStyle="1" w:styleId="Bullet1">
    <w:name w:val="Bullet 1"/>
    <w:basedOn w:val="Normal"/>
    <w:pPr>
      <w:numPr>
        <w:numId w:val="21"/>
      </w:numPr>
    </w:pPr>
  </w:style>
  <w:style w:type="paragraph" w:customStyle="1" w:styleId="Bullet2">
    <w:name w:val="Bullet 2"/>
    <w:basedOn w:val="Normal"/>
    <w:pPr>
      <w:numPr>
        <w:numId w:val="22"/>
      </w:numPr>
    </w:pPr>
  </w:style>
  <w:style w:type="paragraph" w:customStyle="1" w:styleId="Bullet3">
    <w:name w:val="Bullet 3"/>
    <w:basedOn w:val="Normal"/>
    <w:pPr>
      <w:numPr>
        <w:numId w:val="23"/>
      </w:numPr>
    </w:pPr>
  </w:style>
  <w:style w:type="paragraph" w:customStyle="1" w:styleId="Bullet4">
    <w:name w:val="Bullet 4"/>
    <w:basedOn w:val="Normal"/>
    <w:pPr>
      <w:numPr>
        <w:numId w:val="24"/>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sk-SK"/>
    </w:rPr>
  </w:style>
  <w:style w:type="paragraph" w:styleId="Heading1">
    <w:name w:val="heading 1"/>
    <w:basedOn w:val="Normal"/>
    <w:next w:val="Text1"/>
    <w:link w:val="Heading1Char"/>
    <w:uiPriority w:val="9"/>
    <w:qFormat/>
    <w:pPr>
      <w:keepNext/>
      <w:numPr>
        <w:numId w:val="1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8"/>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4"/>
      </w:numPr>
    </w:pPr>
    <w:rPr>
      <w:rFonts w:eastAsia="Times New Roman"/>
    </w:rPr>
  </w:style>
  <w:style w:type="paragraph" w:customStyle="1" w:styleId="ListBullet1">
    <w:name w:val="List Bullet 1"/>
    <w:basedOn w:val="Normal"/>
    <w:pPr>
      <w:numPr>
        <w:numId w:val="1"/>
      </w:numPr>
    </w:pPr>
    <w:rPr>
      <w:rFonts w:eastAsia="Times New Roman"/>
    </w:rPr>
  </w:style>
  <w:style w:type="paragraph" w:customStyle="1" w:styleId="ListDash1">
    <w:name w:val="List Dash 1"/>
    <w:basedOn w:val="Normal"/>
    <w:pPr>
      <w:numPr>
        <w:numId w:val="2"/>
      </w:numPr>
    </w:pPr>
    <w:rPr>
      <w:rFonts w:eastAsia="Times New Roman"/>
    </w:rPr>
  </w:style>
  <w:style w:type="paragraph" w:customStyle="1" w:styleId="ListDash2">
    <w:name w:val="List Dash 2"/>
    <w:basedOn w:val="Normal"/>
    <w:pPr>
      <w:numPr>
        <w:numId w:val="3"/>
      </w:numPr>
    </w:pPr>
    <w:rPr>
      <w:rFonts w:eastAsia="Times New Roman"/>
    </w:rPr>
  </w:style>
  <w:style w:type="paragraph" w:customStyle="1" w:styleId="ListNumberLevel2">
    <w:name w:val="List Number (Level 2)"/>
    <w:basedOn w:val="Normal"/>
    <w:pPr>
      <w:numPr>
        <w:ilvl w:val="1"/>
        <w:numId w:val="4"/>
      </w:numPr>
    </w:pPr>
    <w:rPr>
      <w:rFonts w:eastAsia="Times New Roman"/>
    </w:rPr>
  </w:style>
  <w:style w:type="paragraph" w:customStyle="1" w:styleId="ListNumberLevel3">
    <w:name w:val="List Number (Level 3)"/>
    <w:basedOn w:val="Normal"/>
    <w:pPr>
      <w:numPr>
        <w:ilvl w:val="2"/>
        <w:numId w:val="4"/>
      </w:numPr>
    </w:pPr>
    <w:rPr>
      <w:rFonts w:eastAsia="Times New Roman"/>
    </w:rPr>
  </w:style>
  <w:style w:type="paragraph" w:customStyle="1" w:styleId="ListNumberLevel4">
    <w:name w:val="List Number (Level 4)"/>
    <w:basedOn w:val="Normal"/>
    <w:pPr>
      <w:numPr>
        <w:ilvl w:val="3"/>
        <w:numId w:val="4"/>
      </w:numPr>
    </w:pPr>
    <w:rPr>
      <w:rFonts w:eastAsia="Times New Roman"/>
    </w:rPr>
  </w:style>
  <w:style w:type="character" w:styleId="Hyperlink">
    <w:name w:val="Hyperlink"/>
    <w:rPr>
      <w:color w:val="0000FF"/>
      <w:u w:val="single"/>
    </w:rPr>
  </w:style>
  <w:style w:type="paragraph" w:styleId="ListBullet">
    <w:name w:val="List Bullet"/>
    <w:basedOn w:val="Normal"/>
    <w:pPr>
      <w:numPr>
        <w:numId w:val="5"/>
      </w:numPr>
    </w:pPr>
    <w:rPr>
      <w:rFonts w:eastAsia="Times New Roman"/>
    </w:rPr>
  </w:style>
  <w:style w:type="paragraph" w:styleId="ListBullet2">
    <w:name w:val="List Bullet 2"/>
    <w:basedOn w:val="Normal"/>
    <w:uiPriority w:val="99"/>
    <w:semiHidden/>
    <w:unhideWhenUsed/>
    <w:pPr>
      <w:numPr>
        <w:numId w:val="6"/>
      </w:numPr>
      <w:contextualSpacing/>
    </w:pPr>
  </w:style>
  <w:style w:type="paragraph" w:styleId="ListBullet3">
    <w:name w:val="List Bullet 3"/>
    <w:basedOn w:val="Normal"/>
    <w:uiPriority w:val="99"/>
    <w:semiHidden/>
    <w:unhideWhenUsed/>
    <w:pPr>
      <w:numPr>
        <w:numId w:val="7"/>
      </w:numPr>
      <w:contextualSpacing/>
    </w:pPr>
  </w:style>
  <w:style w:type="paragraph" w:styleId="ListBullet4">
    <w:name w:val="List Bullet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sk-SK"/>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k-SK"/>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sk-SK"/>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2">
    <w:name w:val="List Number 2"/>
    <w:basedOn w:val="Normal"/>
    <w:uiPriority w:val="99"/>
    <w:semiHidden/>
    <w:unhideWhenUsed/>
    <w:pPr>
      <w:numPr>
        <w:numId w:val="9"/>
      </w:numPr>
      <w:contextualSpacing/>
    </w:pPr>
  </w:style>
  <w:style w:type="paragraph" w:styleId="ListNumber3">
    <w:name w:val="List Number 3"/>
    <w:basedOn w:val="Normal"/>
    <w:uiPriority w:val="99"/>
    <w:semiHidden/>
    <w:unhideWhenUsed/>
    <w:pPr>
      <w:numPr>
        <w:numId w:val="10"/>
      </w:numPr>
      <w:contextualSpacing/>
    </w:pPr>
  </w:style>
  <w:style w:type="paragraph" w:styleId="ListNumber4">
    <w:name w:val="List Number 4"/>
    <w:basedOn w:val="Normal"/>
    <w:uiPriority w:val="99"/>
    <w:semiHidden/>
    <w:unhideWhenUsed/>
    <w:pPr>
      <w:numPr>
        <w:numId w:val="11"/>
      </w:numPr>
      <w:contextualSpacing/>
    </w:pPr>
  </w:style>
  <w:style w:type="paragraph" w:styleId="EndnoteText">
    <w:name w:val="endnote text"/>
    <w:basedOn w:val="Normal"/>
    <w:link w:val="EndnoteTextChar"/>
    <w:uiPriority w:val="99"/>
    <w:semiHidden/>
    <w:unhideWhenUsed/>
    <w:pPr>
      <w:spacing w:before="0" w:after="0"/>
    </w:pPr>
    <w:rPr>
      <w:sz w:val="20"/>
      <w:szCs w:val="20"/>
    </w:rPr>
  </w:style>
  <w:style w:type="character" w:customStyle="1" w:styleId="EndnoteTextChar">
    <w:name w:val="Endnote Text Char"/>
    <w:basedOn w:val="DefaultParagraphFont"/>
    <w:link w:val="EndnoteText"/>
    <w:uiPriority w:val="99"/>
    <w:semiHidden/>
    <w:rPr>
      <w:rFonts w:ascii="Times New Roman" w:hAnsi="Times New Roman" w:cs="Times New Roman"/>
      <w:sz w:val="20"/>
      <w:szCs w:val="20"/>
      <w:lang w:val="sk-SK"/>
    </w:rPr>
  </w:style>
  <w:style w:type="character" w:styleId="EndnoteReference">
    <w:name w:val="endnote reference"/>
    <w:basedOn w:val="DefaultParagraphFont"/>
    <w:uiPriority w:val="99"/>
    <w:semiHidden/>
    <w:unhideWhenUsed/>
    <w:rPr>
      <w:vertAlign w:val="superscript"/>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sk-SK"/>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sk-SK"/>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2"/>
      </w:numPr>
    </w:pPr>
  </w:style>
  <w:style w:type="paragraph" w:customStyle="1" w:styleId="Tiret1">
    <w:name w:val="Tiret 1"/>
    <w:basedOn w:val="Point1"/>
    <w:pPr>
      <w:numPr>
        <w:numId w:val="13"/>
      </w:numPr>
    </w:pPr>
  </w:style>
  <w:style w:type="paragraph" w:customStyle="1" w:styleId="Tiret2">
    <w:name w:val="Tiret 2"/>
    <w:basedOn w:val="Point2"/>
    <w:pPr>
      <w:numPr>
        <w:numId w:val="14"/>
      </w:numPr>
    </w:pPr>
  </w:style>
  <w:style w:type="paragraph" w:customStyle="1" w:styleId="Tiret3">
    <w:name w:val="Tiret 3"/>
    <w:basedOn w:val="Point3"/>
    <w:pPr>
      <w:numPr>
        <w:numId w:val="15"/>
      </w:numPr>
    </w:pPr>
  </w:style>
  <w:style w:type="paragraph" w:customStyle="1" w:styleId="Tiret4">
    <w:name w:val="Tiret 4"/>
    <w:basedOn w:val="Point4"/>
    <w:pPr>
      <w:numPr>
        <w:numId w:val="1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7"/>
      </w:numPr>
    </w:pPr>
  </w:style>
  <w:style w:type="paragraph" w:customStyle="1" w:styleId="NumPar2">
    <w:name w:val="NumPar 2"/>
    <w:basedOn w:val="Normal"/>
    <w:next w:val="Text1"/>
    <w:pPr>
      <w:numPr>
        <w:ilvl w:val="1"/>
        <w:numId w:val="17"/>
      </w:numPr>
    </w:pPr>
  </w:style>
  <w:style w:type="paragraph" w:customStyle="1" w:styleId="NumPar3">
    <w:name w:val="NumPar 3"/>
    <w:basedOn w:val="Normal"/>
    <w:next w:val="Text1"/>
    <w:pPr>
      <w:numPr>
        <w:ilvl w:val="2"/>
        <w:numId w:val="17"/>
      </w:numPr>
    </w:pPr>
  </w:style>
  <w:style w:type="paragraph" w:customStyle="1" w:styleId="NumPar4">
    <w:name w:val="NumPar 4"/>
    <w:basedOn w:val="Normal"/>
    <w:next w:val="Text1"/>
    <w:pPr>
      <w:numPr>
        <w:ilvl w:val="3"/>
        <w:numId w:val="1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9"/>
      </w:numPr>
    </w:pPr>
  </w:style>
  <w:style w:type="paragraph" w:customStyle="1" w:styleId="Point1number">
    <w:name w:val="Point 1 (number)"/>
    <w:basedOn w:val="Normal"/>
    <w:pPr>
      <w:numPr>
        <w:ilvl w:val="2"/>
        <w:numId w:val="19"/>
      </w:numPr>
    </w:pPr>
  </w:style>
  <w:style w:type="paragraph" w:customStyle="1" w:styleId="Point2number">
    <w:name w:val="Point 2 (number)"/>
    <w:basedOn w:val="Normal"/>
    <w:pPr>
      <w:numPr>
        <w:ilvl w:val="4"/>
        <w:numId w:val="19"/>
      </w:numPr>
    </w:pPr>
  </w:style>
  <w:style w:type="paragraph" w:customStyle="1" w:styleId="Point3number">
    <w:name w:val="Point 3 (number)"/>
    <w:basedOn w:val="Normal"/>
    <w:pPr>
      <w:numPr>
        <w:ilvl w:val="6"/>
        <w:numId w:val="19"/>
      </w:numPr>
    </w:pPr>
  </w:style>
  <w:style w:type="paragraph" w:customStyle="1" w:styleId="Point0letter">
    <w:name w:val="Point 0 (letter)"/>
    <w:basedOn w:val="Normal"/>
    <w:pPr>
      <w:numPr>
        <w:ilvl w:val="1"/>
        <w:numId w:val="19"/>
      </w:numPr>
    </w:pPr>
  </w:style>
  <w:style w:type="paragraph" w:customStyle="1" w:styleId="Point1letter">
    <w:name w:val="Point 1 (letter)"/>
    <w:basedOn w:val="Normal"/>
    <w:pPr>
      <w:numPr>
        <w:ilvl w:val="3"/>
        <w:numId w:val="19"/>
      </w:numPr>
    </w:pPr>
  </w:style>
  <w:style w:type="paragraph" w:customStyle="1" w:styleId="Point2letter">
    <w:name w:val="Point 2 (letter)"/>
    <w:basedOn w:val="Normal"/>
    <w:pPr>
      <w:numPr>
        <w:ilvl w:val="5"/>
        <w:numId w:val="19"/>
      </w:numPr>
    </w:pPr>
  </w:style>
  <w:style w:type="paragraph" w:customStyle="1" w:styleId="Point3letter">
    <w:name w:val="Point 3 (letter)"/>
    <w:basedOn w:val="Normal"/>
    <w:pPr>
      <w:numPr>
        <w:ilvl w:val="7"/>
        <w:numId w:val="19"/>
      </w:numPr>
    </w:pPr>
  </w:style>
  <w:style w:type="paragraph" w:customStyle="1" w:styleId="Point4letter">
    <w:name w:val="Point 4 (letter)"/>
    <w:basedOn w:val="Normal"/>
    <w:pPr>
      <w:numPr>
        <w:ilvl w:val="8"/>
        <w:numId w:val="19"/>
      </w:numPr>
    </w:pPr>
  </w:style>
  <w:style w:type="paragraph" w:customStyle="1" w:styleId="Bullet0">
    <w:name w:val="Bullet 0"/>
    <w:basedOn w:val="Normal"/>
    <w:pPr>
      <w:numPr>
        <w:numId w:val="20"/>
      </w:numPr>
    </w:pPr>
  </w:style>
  <w:style w:type="paragraph" w:customStyle="1" w:styleId="Bullet1">
    <w:name w:val="Bullet 1"/>
    <w:basedOn w:val="Normal"/>
    <w:pPr>
      <w:numPr>
        <w:numId w:val="21"/>
      </w:numPr>
    </w:pPr>
  </w:style>
  <w:style w:type="paragraph" w:customStyle="1" w:styleId="Bullet2">
    <w:name w:val="Bullet 2"/>
    <w:basedOn w:val="Normal"/>
    <w:pPr>
      <w:numPr>
        <w:numId w:val="22"/>
      </w:numPr>
    </w:pPr>
  </w:style>
  <w:style w:type="paragraph" w:customStyle="1" w:styleId="Bullet3">
    <w:name w:val="Bullet 3"/>
    <w:basedOn w:val="Normal"/>
    <w:pPr>
      <w:numPr>
        <w:numId w:val="23"/>
      </w:numPr>
    </w:pPr>
  </w:style>
  <w:style w:type="paragraph" w:customStyle="1" w:styleId="Bullet4">
    <w:name w:val="Bullet 4"/>
    <w:basedOn w:val="Normal"/>
    <w:pPr>
      <w:numPr>
        <w:numId w:val="24"/>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4.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7.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8.xml"/><Relationship Id="rId10" Type="http://schemas.openxmlformats.org/officeDocument/2006/relationships/header" Target="header1.xml"/><Relationship Id="rId19"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header" Target="header6.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cc.cec/budg/man/budgmanag/budgmanag_en.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F2419F-9DC7-44D1-977E-AA44209FA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14</Pages>
  <Words>3760</Words>
  <Characters>22372</Characters>
  <Application>Microsoft Office Word</Application>
  <DocSecurity>0</DocSecurity>
  <Lines>1316</Lines>
  <Paragraphs>637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25495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WES PDFC Administrator</cp:lastModifiedBy>
  <cp:revision>18</cp:revision>
  <cp:lastPrinted>2018-11-29T15:19:00Z</cp:lastPrinted>
  <dcterms:created xsi:type="dcterms:W3CDTF">2018-12-20T07:49:00Z</dcterms:created>
  <dcterms:modified xsi:type="dcterms:W3CDTF">2019-01-11T09:25:00Z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vt:lpwstr>
  </property>
  <property fmtid="{D5CDD505-2E9C-101B-9397-08002B2CF9AE}" pid="4" name="Last edited using">
    <vt:lpwstr>LW 6.0.1, Build 20180503</vt:lpwstr>
  </property>
  <property fmtid="{D5CDD505-2E9C-101B-9397-08002B2CF9AE}" pid="5" name="Created using">
    <vt:lpwstr>LW 6.0, Build 20171009</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SJ-019</vt:lpwstr>
  </property>
  <property fmtid="{D5CDD505-2E9C-101B-9397-08002B2CF9AE}" pid="10" name="DQCStatus">
    <vt:lpwstr>Green (DQC version 03)</vt:lpwstr>
  </property>
</Properties>
</file>