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D338C4C-7563-43FB-9096-89895B038DD8" style="width:450.75pt;height:351.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Bdr>
          <w:top w:val="nil"/>
          <w:left w:val="nil"/>
          <w:bottom w:val="nil"/>
          <w:right w:val="nil"/>
          <w:between w:val="nil"/>
          <w:bar w:val="nil"/>
        </w:pBdr>
        <w:spacing w:before="0" w:after="240"/>
        <w:rPr>
          <w:rFonts w:eastAsia="Arial Unicode MS"/>
          <w:noProof/>
        </w:rPr>
      </w:pPr>
      <w:r>
        <w:rPr>
          <w:noProof/>
        </w:rPr>
        <w:t>U skladu s člankom 395. stavkom 1. Direktive Vijeća 2006/112/EZ od 28. studenoga 2006. o zajedničkom sustavu poreza na dodanu vrijednost (dalje u tekstu „Direktiva o PDV-u”), Vijeće, koje djeluje jednoglasno na prijedlog Komisije, može bilo kojoj državi članici odobriti primjenu posebnih mjera odstupanja od odredaba te direktive kako bi se pojednostavnio postupak naplate PDV-a ili spriječili određeni oblici utaje ili izbjegavanja poreza.</w:t>
      </w:r>
    </w:p>
    <w:p>
      <w:pPr>
        <w:pBdr>
          <w:top w:val="nil"/>
          <w:left w:val="nil"/>
          <w:bottom w:val="nil"/>
          <w:right w:val="nil"/>
          <w:between w:val="nil"/>
          <w:bar w:val="nil"/>
        </w:pBdr>
        <w:spacing w:before="0" w:after="240"/>
        <w:rPr>
          <w:noProof/>
          <w:color w:val="008000"/>
        </w:rPr>
      </w:pPr>
      <w:r>
        <w:rPr>
          <w:noProof/>
        </w:rPr>
        <w:t xml:space="preserve">Dopisom evidentiranim u Komisiji </w:t>
      </w:r>
      <w:r>
        <w:rPr>
          <w:noProof/>
          <w:color w:val="000000" w:themeColor="text1"/>
        </w:rPr>
        <w:t>16. listopada 2018.</w:t>
      </w:r>
      <w:r>
        <w:rPr>
          <w:noProof/>
        </w:rPr>
        <w:t xml:space="preserve"> Litva je zatražila odstupanje od članka 193. Direktive o PDV-u kako bi mogla primijeniti mehanizam prijenosa porezne obveze na tvrde diskove. U skladu s člankom 395. stavkom 2. Direktive o PDV-u Komisija je dopisom od 19. studenoga 2018. ostale države članice obavijestila o zahtjevu Litve. Komisija je dopisom od 20. studenoga 2018. obavijestila Litvu da ima sve informacije potrebne za razmatranje zahtjeva.</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Razlozi i ciljevi prijedloga</w:t>
      </w:r>
    </w:p>
    <w:p>
      <w:pPr>
        <w:pBdr>
          <w:top w:val="nil"/>
          <w:left w:val="nil"/>
          <w:bottom w:val="nil"/>
          <w:right w:val="nil"/>
          <w:between w:val="nil"/>
          <w:bar w:val="nil"/>
        </w:pBdr>
        <w:spacing w:before="0" w:after="240"/>
        <w:rPr>
          <w:rFonts w:eastAsia="Arial Unicode MS"/>
          <w:noProof/>
        </w:rPr>
      </w:pPr>
      <w:r>
        <w:rPr>
          <w:noProof/>
        </w:rPr>
        <w:t>Člankom 193. Direktive o PDV-u propisuje se opće pravilo da je porezni obveznik koji isporučuje robu ili usluge dužan u uobičajenim okolnostima plaćati porez na dodanu vrijednost (PDV).</w:t>
      </w:r>
    </w:p>
    <w:p>
      <w:pPr>
        <w:rPr>
          <w:noProof/>
        </w:rPr>
      </w:pPr>
      <w:r>
        <w:rPr>
          <w:noProof/>
        </w:rPr>
        <w:t xml:space="preserve">U skladu s člankom 395. Direktive o PDV-u Litva je zatražila odstupanje od članka 193. Direktive o PDV-u kako bi mogla primijeniti mehanizam prijenosa porezne obveze na isporuke tvrdih diskova koji nisu obuhvaćeni člankom 199.a Direktive o PDV-u. U skladu s tim postupkom porezni obveznik kojem se isporučuje roba postaje odgovoran za plaćanje PDV-a. Taj porezni obveznik, uz uvjet da ima puno pravo na odbitak, istodobno bi prijavio i odbio PDV koji odgovara isporuci, što znači da ne bi došlo do stvarne uplate PDV-a u državni proračun. </w:t>
      </w:r>
    </w:p>
    <w:p>
      <w:pPr>
        <w:pBdr>
          <w:top w:val="nil"/>
          <w:left w:val="nil"/>
          <w:bottom w:val="nil"/>
          <w:right w:val="nil"/>
          <w:between w:val="nil"/>
          <w:bar w:val="nil"/>
        </w:pBdr>
        <w:spacing w:before="0" w:after="240"/>
        <w:rPr>
          <w:rFonts w:eastAsia="Arial Unicode MS"/>
          <w:noProof/>
        </w:rPr>
      </w:pPr>
      <w:r>
        <w:rPr>
          <w:noProof/>
        </w:rPr>
        <w:t xml:space="preserve">Litva je otkrila prijevaru povezanu s PDV-om u sektoru elektroničke robe koja, među ostalim, uključuje prijenosna računala, mobilne telefone, tablete i tvrde diskove. Ta se roba nabavlja iz drugih država članica, a prije njezine isporuke trgovcima na malo ili izravno potrošačima izvršava se više transakcija među nepostojećim trgovcima koji ne uplaćuju PDV u državni proračun. Litva je u razdoblju 2016.–2017. izvršila provjere kojima je otkriveno da možda nije plaćeno oko 6 milijuna EUR poreza na elektroničku robu, što je znatan gubitak za državni proračun. </w:t>
      </w:r>
    </w:p>
    <w:p>
      <w:pPr>
        <w:rPr>
          <w:noProof/>
        </w:rPr>
      </w:pPr>
      <w:r>
        <w:rPr>
          <w:noProof/>
        </w:rPr>
        <w:t xml:space="preserve">Litva je poduzela niz mjera za rješavanje i sprečavanje prijevara povezanih s PDV-om. Od listopada 2016. svi obveznici PDV-a u Litvi dužni su svakog mjeseca unositi informacije o izdanim i primljenim računima s PDV-om u podsustav e-računa („i.SAF”) sustava pametne uprave („i-MAS”) koji pomaže nadležnim tijelima da utvrde razlike između podataka koje su prijavili obveznici PDV-a i iznosa poreza koji nisu pravovremeno prijavljeni. Usto, prije nego što se roba preveze na državno područje Litve u i.MAS-ov podsustav elektroničkih teretnih listova („i.VAZ”) moraju se unijeti informacije iz prijevoznih isprava, s opisom prevezene robe i uz navođenje pošiljatelja i primatelja. Te operativne informacije koje prikupi Državni porezni inspektorat koriste se za otkrivanje potencijalnih slučajeva prijevare ili za brzo pronalaženje informacija o robi uključenoj u lanac prijevare. </w:t>
      </w:r>
    </w:p>
    <w:p>
      <w:pPr>
        <w:rPr>
          <w:noProof/>
          <w:szCs w:val="24"/>
        </w:rPr>
      </w:pPr>
      <w:r>
        <w:rPr>
          <w:noProof/>
        </w:rPr>
        <w:t xml:space="preserve">Unatoč svim uvedenim mjerama za suzbijanje prijevara povezanih s PDV-om, informacije koje je dostavila Litva pokazuju da te mjere nisu dovoljne da se spriječe prijevare povezane s </w:t>
      </w:r>
      <w:r>
        <w:rPr>
          <w:noProof/>
        </w:rPr>
        <w:lastRenderedPageBreak/>
        <w:t xml:space="preserve">PDV-om u području isporuke elektroničke robe. Litva smatra da je u predmetnom sektoru potrebno uvesti prijenos porezne obveze. </w:t>
      </w:r>
    </w:p>
    <w:p>
      <w:pPr>
        <w:pBdr>
          <w:top w:val="nil"/>
          <w:left w:val="nil"/>
          <w:bottom w:val="nil"/>
          <w:right w:val="nil"/>
          <w:between w:val="nil"/>
          <w:bar w:val="nil"/>
        </w:pBdr>
        <w:spacing w:before="0" w:after="240"/>
        <w:rPr>
          <w:rFonts w:eastAsia="Arial Unicode MS"/>
          <w:noProof/>
        </w:rPr>
      </w:pPr>
      <w:r>
        <w:rPr>
          <w:noProof/>
        </w:rPr>
        <w:t xml:space="preserve">Litva namjerava uvesti prijenos porezne obveze na elektroničke proizvode na temelju članka 199.a Direktive o PDV-u. Međutim, tim člankom nisu obuhvaćeni tvrdi diskovi. Usto, Litva prenosi iskustva drugih država članica, koja pokazuju da je nakon uvođenja mehanizma prijenosa porezne obveze na elektroničku robu obuhvaćenu člankom 199.a Direktive o PDV-u predmet prijevara postala druga elektronička roba. </w:t>
      </w:r>
    </w:p>
    <w:p>
      <w:pPr>
        <w:pBdr>
          <w:top w:val="nil"/>
          <w:left w:val="nil"/>
          <w:bottom w:val="nil"/>
          <w:right w:val="nil"/>
          <w:between w:val="nil"/>
          <w:bar w:val="nil"/>
        </w:pBdr>
        <w:spacing w:before="0" w:after="240"/>
        <w:rPr>
          <w:rFonts w:eastAsia="Arial Unicode MS"/>
          <w:noProof/>
        </w:rPr>
      </w:pPr>
      <w:r>
        <w:rPr>
          <w:noProof/>
        </w:rPr>
        <w:t xml:space="preserve">Litva je stoga zatražila da joj se odobri uvođenje mehanizma prijenosa porezne obveze na tvrde diskove na temelju članka 395. Direktive o PDV-u. </w:t>
      </w:r>
    </w:p>
    <w:p>
      <w:pPr>
        <w:rPr>
          <w:noProof/>
        </w:rPr>
      </w:pPr>
      <w:r>
        <w:rPr>
          <w:noProof/>
        </w:rPr>
        <w:t xml:space="preserve">S obzirom na mogući pozitivan učinak mjere u borbi protiv prijevara koje je otkrila Litva predlaže se da se odstupanje odobri na ograničeno razdoblje, od 1. ožujka 2019. do 28. veljače 2022. Tijekom razdoblja primjene mjere odstupanja Litva bi trebala uvesti druge uobičajene mjere kako bi djelotvorno kontrolirala i sprečavala prijevare u isporukama tvrdih diskova. Stoga ne bi trebala postojati daljnja potreba za odstupanjem od članka 193. Direktive o PDV-u u pogledu isporuke tvrdih diskova. </w:t>
      </w:r>
    </w:p>
    <w:p>
      <w:pPr>
        <w:pStyle w:val="ManualHeading2"/>
        <w:rPr>
          <w:noProof/>
        </w:rPr>
      </w:pPr>
      <w:r>
        <w:rPr>
          <w:noProof/>
        </w:rPr>
        <w:tab/>
        <w:t>Dosljednost s postojećim odredbama politike u određenom području</w:t>
      </w:r>
    </w:p>
    <w:p>
      <w:pPr>
        <w:pBdr>
          <w:top w:val="nil"/>
          <w:left w:val="nil"/>
          <w:bottom w:val="nil"/>
          <w:right w:val="nil"/>
          <w:between w:val="nil"/>
          <w:bar w:val="nil"/>
        </w:pBdr>
        <w:spacing w:before="0" w:after="240"/>
        <w:rPr>
          <w:rFonts w:eastAsia="Arial Unicode MS"/>
          <w:noProof/>
        </w:rPr>
      </w:pPr>
      <w:r>
        <w:rPr>
          <w:noProof/>
        </w:rPr>
        <w:t>Slična odstupanja u odnosu na članak 193. Direktive o PDV-u odobrena su drugim državama članicama.</w:t>
      </w:r>
    </w:p>
    <w:p>
      <w:pPr>
        <w:pBdr>
          <w:top w:val="nil"/>
          <w:left w:val="nil"/>
          <w:bottom w:val="nil"/>
          <w:right w:val="nil"/>
          <w:between w:val="nil"/>
          <w:bar w:val="nil"/>
        </w:pBdr>
        <w:spacing w:before="0" w:after="240"/>
        <w:rPr>
          <w:rFonts w:eastAsia="Arial Unicode MS"/>
          <w:noProof/>
          <w:color w:val="000000" w:themeColor="text1"/>
        </w:rPr>
      </w:pPr>
      <w:r>
        <w:rPr>
          <w:noProof/>
        </w:rPr>
        <w:t xml:space="preserve">Predložena mjera stoga je u skladu s važećim odredbama Direktive o PDV-u. </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u w:color="000000"/>
          <w:bdr w:val="nil"/>
        </w:rPr>
        <w:tab/>
        <w:t>Pravna osnova</w:t>
      </w:r>
    </w:p>
    <w:p>
      <w:pPr>
        <w:rPr>
          <w:noProof/>
        </w:rPr>
      </w:pPr>
      <w:r>
        <w:rPr>
          <w:noProof/>
        </w:rPr>
        <w:t>Članak 395. Direktive o PDV-u.</w:t>
      </w:r>
    </w:p>
    <w:p>
      <w:pPr>
        <w:pStyle w:val="ManualHeading2"/>
        <w:rPr>
          <w:rFonts w:eastAsia="Arial Unicode MS"/>
          <w:noProof/>
          <w:u w:color="000000"/>
          <w:bdr w:val="nil"/>
        </w:rPr>
      </w:pPr>
      <w:r>
        <w:rPr>
          <w:noProof/>
          <w:u w:color="000000"/>
          <w:bdr w:val="nil"/>
        </w:rPr>
        <w:t>•</w:t>
      </w:r>
      <w:r>
        <w:rPr>
          <w:noProof/>
          <w:u w:color="000000"/>
          <w:bdr w:val="nil"/>
        </w:rPr>
        <w:tab/>
        <w:t xml:space="preserve">Supsidijarnost (za neisključivu nadležnost) </w:t>
      </w:r>
    </w:p>
    <w:p>
      <w:pPr>
        <w:rPr>
          <w:noProof/>
        </w:rPr>
      </w:pPr>
      <w:r>
        <w:rPr>
          <w:noProof/>
        </w:rPr>
        <w:t>S obzirom na odredbu Direktive o PDV-u na kojoj se prijedlog temelji, prijedlog je u isključivoj nadležnosti Unije. Načelo supsidijarnosti stoga se ne primjenjuje.</w:t>
      </w:r>
    </w:p>
    <w:p>
      <w:pPr>
        <w:pStyle w:val="ManualHeading2"/>
        <w:rPr>
          <w:rFonts w:eastAsia="Arial Unicode MS"/>
          <w:noProof/>
          <w:u w:color="000000"/>
          <w:bdr w:val="nil"/>
        </w:rPr>
      </w:pPr>
      <w:r>
        <w:rPr>
          <w:noProof/>
          <w:u w:color="000000"/>
          <w:bdr w:val="nil"/>
        </w:rPr>
        <w:t>•</w:t>
      </w:r>
      <w:r>
        <w:rPr>
          <w:noProof/>
          <w:u w:color="000000"/>
          <w:bdr w:val="nil"/>
        </w:rPr>
        <w:tab/>
        <w:t>Proporcionalnost</w:t>
      </w:r>
    </w:p>
    <w:p>
      <w:pPr>
        <w:rPr>
          <w:noProof/>
        </w:rPr>
      </w:pPr>
      <w:r>
        <w:rPr>
          <w:noProof/>
        </w:rPr>
        <w:t>Odluka se odnosi na odobrenje dano državi članici na njezin vlastiti zahtjev i ne predstavlja nikakvu obvezu.</w:t>
      </w:r>
    </w:p>
    <w:p>
      <w:pPr>
        <w:rPr>
          <w:noProof/>
        </w:rPr>
      </w:pPr>
      <w:r>
        <w:rPr>
          <w:noProof/>
        </w:rPr>
        <w:t xml:space="preserve">S obzirom na ograničeno područje primjene odstupanja posebna mjera proporcionalna je cilju koji se želi postići, a to je spriječiti određene oblike utaje ili izbjegavanja poreza u određenom sektoru. </w:t>
      </w:r>
    </w:p>
    <w:p>
      <w:pPr>
        <w:pStyle w:val="ManualHeading2"/>
        <w:rPr>
          <w:rFonts w:eastAsia="Arial Unicode MS"/>
          <w:noProof/>
          <w:u w:color="000000"/>
          <w:bdr w:val="nil"/>
        </w:rPr>
      </w:pPr>
      <w:r>
        <w:rPr>
          <w:noProof/>
          <w:u w:color="000000"/>
          <w:bdr w:val="nil"/>
        </w:rPr>
        <w:t>•</w:t>
      </w:r>
      <w:r>
        <w:rPr>
          <w:noProof/>
          <w:u w:color="000000"/>
          <w:bdr w:val="nil"/>
        </w:rPr>
        <w:tab/>
        <w:t>Odabir instrumenta</w:t>
      </w:r>
    </w:p>
    <w:p>
      <w:pPr>
        <w:rPr>
          <w:noProof/>
        </w:rPr>
      </w:pPr>
      <w:r>
        <w:rPr>
          <w:noProof/>
        </w:rPr>
        <w:t>U skladu s člankom 395. Direktive o PDV-u odstupanje od uobičajenih pravila o PDV-u moguće je samo uz odobrenje Vijeća koje djeluje jednoglasno na prijedlog Komisije. Usto, odluka Vijeća najprikladniji je instrument s obzirom na to da ona može biti upućena pojedinačnim državama članicama.</w:t>
      </w:r>
    </w:p>
    <w:p>
      <w:pPr>
        <w:pStyle w:val="ManualHeading1"/>
        <w:rPr>
          <w:noProof/>
        </w:rPr>
      </w:pPr>
      <w:r>
        <w:rPr>
          <w:noProof/>
        </w:rPr>
        <w:lastRenderedPageBreak/>
        <w:t>3.</w:t>
      </w:r>
      <w:r>
        <w:rPr>
          <w:noProof/>
        </w:rPr>
        <w:tab/>
        <w:t>REZULTATI EX POST EVALUACIJA, SAVJETOVANJA S DIONICIMA I PROCJENA UČINAKA</w:t>
      </w:r>
    </w:p>
    <w:p>
      <w:pPr>
        <w:pStyle w:val="ManualHeading2"/>
        <w:rPr>
          <w:rFonts w:eastAsia="Arial Unicode MS"/>
          <w:noProof/>
          <w:u w:color="000000"/>
          <w:bdr w:val="nil"/>
        </w:rPr>
      </w:pPr>
      <w:r>
        <w:rPr>
          <w:noProof/>
          <w:u w:color="000000"/>
          <w:bdr w:val="nil"/>
        </w:rPr>
        <w:t>•</w:t>
      </w:r>
      <w:r>
        <w:rPr>
          <w:noProof/>
          <w:u w:color="000000"/>
          <w:bdr w:val="nil"/>
        </w:rPr>
        <w:tab/>
        <w:t>Savjetovanja s dionicima</w:t>
      </w:r>
    </w:p>
    <w:p>
      <w:pPr>
        <w:rPr>
          <w:noProof/>
        </w:rPr>
      </w:pPr>
      <w:r>
        <w:rPr>
          <w:noProof/>
        </w:rPr>
        <w:t>Ovaj prijedlog temelji se na zahtjevu koji je podnijela Litva i odnosi se samo na tu državu članicu.</w:t>
      </w:r>
    </w:p>
    <w:p>
      <w:pPr>
        <w:pStyle w:val="ManualHeading2"/>
        <w:rPr>
          <w:rFonts w:eastAsia="Arial Unicode MS"/>
          <w:noProof/>
          <w:u w:color="000000"/>
          <w:bdr w:val="nil"/>
        </w:rPr>
      </w:pPr>
      <w:r>
        <w:rPr>
          <w:noProof/>
          <w:u w:color="000000"/>
          <w:bdr w:val="nil"/>
        </w:rPr>
        <w:t>•</w:t>
      </w:r>
      <w:r>
        <w:rPr>
          <w:noProof/>
          <w:u w:color="000000"/>
          <w:bdr w:val="nil"/>
        </w:rPr>
        <w:tab/>
        <w:t>Prikupljanje i primjena stručnih znanja</w:t>
      </w:r>
    </w:p>
    <w:p>
      <w:pPr>
        <w:rPr>
          <w:noProof/>
        </w:rPr>
      </w:pPr>
      <w:r>
        <w:rPr>
          <w:noProof/>
        </w:rPr>
        <w:t>Nije bilo potrebno obratiti se vanjskim stručnjacima.</w:t>
      </w:r>
    </w:p>
    <w:p>
      <w:pPr>
        <w:pStyle w:val="ManualHeading2"/>
        <w:rPr>
          <w:rFonts w:eastAsia="Arial Unicode MS"/>
          <w:noProof/>
          <w:u w:color="000000"/>
          <w:bdr w:val="nil"/>
        </w:rPr>
      </w:pPr>
      <w:r>
        <w:rPr>
          <w:noProof/>
          <w:u w:color="000000"/>
          <w:bdr w:val="nil"/>
        </w:rPr>
        <w:t>•</w:t>
      </w:r>
      <w:r>
        <w:rPr>
          <w:noProof/>
          <w:u w:color="000000"/>
          <w:bdr w:val="nil"/>
        </w:rPr>
        <w:tab/>
        <w:t>Procjena učinka</w:t>
      </w:r>
    </w:p>
    <w:p>
      <w:pPr>
        <w:rPr>
          <w:noProof/>
        </w:rPr>
      </w:pPr>
      <w:r>
        <w:rPr>
          <w:noProof/>
        </w:rPr>
        <w:t xml:space="preserve">Prijedlogom provedbene odluke nastoje se spriječiti određeni oblici utaje ili izbjegavanja poreza u sektoru tvrdih diskova. Mehanizam prijenosa porezne obveze trebao bi pomoći Litvi da spriječi prijevare povezane s PDV-om u sektoru tvrdih diskova. U tom će smislu mjera odstupanja imati potencijalno pozitivan učinak. </w:t>
      </w:r>
    </w:p>
    <w:p>
      <w:pPr>
        <w:rPr>
          <w:noProof/>
        </w:rPr>
      </w:pPr>
      <w:r>
        <w:rPr>
          <w:noProof/>
        </w:rPr>
        <w:t>Zbog uskog područja i vremenske ograničenosti primjene odstupanja njezin će negativni učinak, koji se sastoji od većeg administrativnog opterećenja za poduzeća koja se bave elektroničkim proizvodima, u svakom slučaju biti ograničen.</w:t>
      </w:r>
    </w:p>
    <w:p>
      <w:pPr>
        <w:pStyle w:val="ManualHeading1"/>
        <w:rPr>
          <w:noProof/>
        </w:rPr>
      </w:pPr>
      <w:r>
        <w:rPr>
          <w:noProof/>
        </w:rPr>
        <w:t>4.</w:t>
      </w:r>
      <w:r>
        <w:rPr>
          <w:noProof/>
        </w:rPr>
        <w:tab/>
        <w:t>UTJECAJ NA PRORAČUN</w:t>
      </w:r>
    </w:p>
    <w:p>
      <w:pPr>
        <w:rPr>
          <w:noProof/>
        </w:rPr>
      </w:pPr>
      <w:r>
        <w:rPr>
          <w:noProof/>
        </w:rPr>
        <w:t>Prijedlog neće imati negativan učinak na vlastita sredstva Unije koja proizlaze iz PDV-a.</w:t>
      </w:r>
    </w:p>
    <w:p>
      <w:pPr>
        <w:pStyle w:val="ManualHeading1"/>
        <w:rPr>
          <w:noProof/>
        </w:rPr>
      </w:pPr>
      <w:r>
        <w:rPr>
          <w:noProof/>
        </w:rPr>
        <w:t>5.</w:t>
      </w:r>
      <w:r>
        <w:rPr>
          <w:noProof/>
        </w:rPr>
        <w:tab/>
        <w:t>OSTALI ELEMENTI</w:t>
      </w:r>
    </w:p>
    <w:p>
      <w:pPr>
        <w:rPr>
          <w:noProof/>
        </w:rPr>
      </w:pPr>
      <w:r>
        <w:rPr>
          <w:noProof/>
        </w:rPr>
        <w:t>Prijedlog sadržava vremensko ograničenje o prestanku važenja 28. veljače 2022.</w:t>
      </w:r>
    </w:p>
    <w:p>
      <w:pPr>
        <w:rPr>
          <w:noProof/>
        </w:rPr>
        <w:sectPr>
          <w:footerReference w:type="default" r:id="rId15"/>
          <w:footerReference w:type="first" r:id="rId16"/>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2019/0006 (NLE)</w:t>
      </w:r>
    </w:p>
    <w:p>
      <w:pPr>
        <w:pStyle w:val="Statut"/>
        <w:rPr>
          <w:noProof/>
        </w:rPr>
      </w:pPr>
      <w:r>
        <w:rPr>
          <w:noProof/>
        </w:rPr>
        <w:t>Prijedlog</w:t>
      </w:r>
    </w:p>
    <w:p>
      <w:pPr>
        <w:pStyle w:val="Typedudocument"/>
        <w:rPr>
          <w:noProof/>
        </w:rPr>
      </w:pPr>
      <w:r>
        <w:rPr>
          <w:noProof/>
        </w:rPr>
        <w:t>PROVEDBENE ODLUKE VIJEĆA</w:t>
      </w:r>
    </w:p>
    <w:p>
      <w:pPr>
        <w:pStyle w:val="Titreobjet"/>
        <w:rPr>
          <w:noProof/>
        </w:rPr>
      </w:pPr>
      <w:r>
        <w:rPr>
          <w:noProof/>
        </w:rPr>
        <w:t>kojom se Litvi odobrava uvođenje posebne mjere odstupanja od članka 193. Direktive 2006/112/EZ o zajedničkom sustavu poreza na dodanu vrijednost</w:t>
      </w:r>
    </w:p>
    <w:p>
      <w:pPr>
        <w:pStyle w:val="Institutionquiagit"/>
        <w:rPr>
          <w:noProof/>
        </w:rPr>
      </w:pPr>
      <w:r>
        <w:rPr>
          <w:noProof/>
        </w:rPr>
        <w:t>VIJEĆE EUROPSKE UNIJE,</w:t>
      </w:r>
    </w:p>
    <w:p>
      <w:pPr>
        <w:rPr>
          <w:noProof/>
        </w:rPr>
      </w:pPr>
      <w:r>
        <w:rPr>
          <w:noProof/>
        </w:rPr>
        <w:t xml:space="preserve">uzimajući u obzir Ugovor o funkcioniranju Europske unije, </w:t>
      </w:r>
    </w:p>
    <w:p>
      <w:pPr>
        <w:rPr>
          <w:noProof/>
        </w:rPr>
      </w:pPr>
      <w:r>
        <w:rPr>
          <w:noProof/>
        </w:rPr>
        <w:t>uzimajući u obzir Direktivu Vijeća 2006/112/EZ od 28. studenoga 2006. o zajedničkom sustavu poreza na dodanu vrijednost</w:t>
      </w:r>
      <w:r>
        <w:rPr>
          <w:rStyle w:val="FootnoteReference"/>
          <w:noProof/>
        </w:rPr>
        <w:footnoteReference w:id="1"/>
      </w:r>
      <w:r>
        <w:rPr>
          <w:noProof/>
        </w:rPr>
        <w:t>, a posebno njezin članak 395.,</w:t>
      </w:r>
    </w:p>
    <w:p>
      <w:pPr>
        <w:rPr>
          <w:noProof/>
        </w:rPr>
      </w:pPr>
      <w:r>
        <w:rPr>
          <w:noProof/>
        </w:rPr>
        <w:t>uzimajući u obzir prijedlog Europske komisije,</w:t>
      </w:r>
    </w:p>
    <w:p>
      <w:pPr>
        <w:rPr>
          <w:noProof/>
        </w:rPr>
      </w:pPr>
      <w:r>
        <w:rPr>
          <w:noProof/>
        </w:rPr>
        <w:t>budući da:</w:t>
      </w:r>
    </w:p>
    <w:p>
      <w:pPr>
        <w:pStyle w:val="ManualConsidrant"/>
        <w:rPr>
          <w:noProof/>
        </w:rPr>
      </w:pPr>
      <w:r>
        <w:t>(1)</w:t>
      </w:r>
      <w:r>
        <w:tab/>
      </w:r>
      <w:r>
        <w:rPr>
          <w:noProof/>
        </w:rPr>
        <w:t>Člankom 193. Direktive 2006/112/EZ utvrđuje se da je porezni obveznik koji isporučuje robu ili usluge u pravilu dužan plaćati porez na dodanu vrijednost (PDV) poreznim tijelima.</w:t>
      </w:r>
    </w:p>
    <w:p>
      <w:pPr>
        <w:pStyle w:val="ManualConsidrant"/>
        <w:rPr>
          <w:noProof/>
        </w:rPr>
      </w:pPr>
      <w:r>
        <w:t>(2)</w:t>
      </w:r>
      <w:r>
        <w:tab/>
      </w:r>
      <w:r>
        <w:rPr>
          <w:noProof/>
        </w:rPr>
        <w:t xml:space="preserve">Dopisom evidentiranim u Komisiji 16. listopada 2018. Litva je zatražila da joj se odobri uvođenje posebne mjere odstupanja od članka 193. Direktive o PDV-u kako bi mogla primijeniti mehanizam prijenosa porezne obveze na isporuke tvrdih diskova. </w:t>
      </w:r>
    </w:p>
    <w:p>
      <w:pPr>
        <w:pStyle w:val="ManualConsidrant"/>
        <w:rPr>
          <w:noProof/>
        </w:rPr>
      </w:pPr>
      <w:r>
        <w:t>(3)</w:t>
      </w:r>
      <w:r>
        <w:tab/>
      </w:r>
      <w:r>
        <w:rPr>
          <w:noProof/>
        </w:rPr>
        <w:t>U skladu s člankom 395. stavkom 2. drugim podstavkom Direktive 2006/112/EZ Komisija je dopisima od 19. studenoga 2018. obavijestila ostale države članice o zahtjevu Litve. Komisija je dopisom od 20. studenoga 2018. obavijestila Litvu da ima sve informacije potrebne za razmatranje zahtjeva.</w:t>
      </w:r>
    </w:p>
    <w:p>
      <w:pPr>
        <w:pStyle w:val="ManualConsidrant"/>
        <w:rPr>
          <w:noProof/>
        </w:rPr>
      </w:pPr>
      <w:r>
        <w:t>(4)</w:t>
      </w:r>
      <w:r>
        <w:tab/>
      </w:r>
      <w:r>
        <w:rPr>
          <w:noProof/>
        </w:rPr>
        <w:t xml:space="preserve">Litva je otkrila prijevaru s nepostojećim trgovcima i PDV-om u sektoru elektroničke robe koja, među ostalim, uključuje prijenosna računala, mobilne telefone, tablete i tvrde diskove. Razmjer i opseg te prakse ima izravan, vrlo negativan učinak na državni proračun. </w:t>
      </w:r>
    </w:p>
    <w:p>
      <w:pPr>
        <w:pStyle w:val="ManualConsidrant"/>
        <w:rPr>
          <w:noProof/>
        </w:rPr>
      </w:pPr>
      <w:r>
        <w:t>(5)</w:t>
      </w:r>
      <w:r>
        <w:tab/>
      </w:r>
      <w:r>
        <w:rPr>
          <w:noProof/>
        </w:rPr>
        <w:t>Litva je poduzela niz mjera za rješavanje i sprečavanje prijevara povezanih s PDV-om. Litva smatra da te mjere nisu dovoljne za sprečavanje prijevara povezanih s PDV-om u području isporuke elektroničke robe.</w:t>
      </w:r>
    </w:p>
    <w:p>
      <w:pPr>
        <w:pStyle w:val="ManualConsidrant"/>
        <w:rPr>
          <w:noProof/>
        </w:rPr>
      </w:pPr>
      <w:r>
        <w:t>(6)</w:t>
      </w:r>
      <w:r>
        <w:tab/>
      </w:r>
      <w:r>
        <w:rPr>
          <w:noProof/>
        </w:rPr>
        <w:t xml:space="preserve">Litva namjerava uvesti prijenos porezne obveze na elektroničke proizvode na temelju članka 199.a Direktive 2006/112/EZ. Međutim, tim člankom nisu obuhvaćeni tvrdi diskovi. </w:t>
      </w:r>
    </w:p>
    <w:p>
      <w:pPr>
        <w:pStyle w:val="ManualConsidrant"/>
        <w:rPr>
          <w:noProof/>
        </w:rPr>
      </w:pPr>
      <w:r>
        <w:t>(7)</w:t>
      </w:r>
      <w:r>
        <w:tab/>
      </w:r>
      <w:r>
        <w:rPr>
          <w:noProof/>
        </w:rPr>
        <w:t xml:space="preserve">Kako bi se osigurao sveobuhvatniji oblik mehanizma prijenosa porezne obveze koji bi se trebao primjenjivati ne samo na elektroničke proizvode kako je već dopušteno člankom 199.a Direktive 2006/112/EZ nego i na tvrde diskove, Litva traži odobrenje za uvođenje mehanizma prijenosa porezne obveze za isporuke tvrdih diskova na temelju članka 395. Direktive 2006/112/EZ. </w:t>
      </w:r>
    </w:p>
    <w:p>
      <w:pPr>
        <w:pStyle w:val="ManualConsidrant"/>
        <w:rPr>
          <w:noProof/>
        </w:rPr>
      </w:pPr>
      <w:r>
        <w:lastRenderedPageBreak/>
        <w:t>(8)</w:t>
      </w:r>
      <w:r>
        <w:tab/>
      </w:r>
      <w:r>
        <w:rPr>
          <w:noProof/>
        </w:rPr>
        <w:t xml:space="preserve">S obzirom na mogući pozitivan učinak te posebne mjere u borbi protiv prijevara koje je otkrila Litva, odstupanje bi trebalo odobriti na ograničeno razdoblje, od 1. ožujka 2019. do 28. veljače 2022. </w:t>
      </w:r>
    </w:p>
    <w:p>
      <w:pPr>
        <w:pStyle w:val="ManualConsidrant"/>
        <w:rPr>
          <w:noProof/>
        </w:rPr>
      </w:pPr>
      <w:r>
        <w:t>(9)</w:t>
      </w:r>
      <w:r>
        <w:tab/>
      </w:r>
      <w:r>
        <w:rPr>
          <w:noProof/>
        </w:rPr>
        <w:t xml:space="preserve">Odstupanja se obično odobravaju na ograničeno razdoblje kako bi se moglo ocijeniti je li mjera odstupanja prikladna i djelotvorna. Odstupanjima se državama članicama daje vrijeme da do isteka mjere odstupanja uvedu uobičajene mjere za rješavanje odgovarajućeg problema, nakon čega bi produljenje odstupanja postalo bespotrebno. Odstupanje koje omogućuje primjenu mehanizma prijenosa porezne obveze odobrava se samo iznimno za određena područja podložna prijevari i posljednje je rješenje. Litva bi stoga do isteka ovog odstupanja trebala uvesti druge uobičajene mjere za suzbijanje i sprečavanje prijevara povezanih s PDV-om u sektoru tvrdih diskova te joj nakon toga više ne bi trebalo biti potrebno odstupanje od članka 193. Direktive 2006/112/EZ u odnosu na isporuke tvrdih diskova. </w:t>
      </w:r>
    </w:p>
    <w:p>
      <w:pPr>
        <w:pStyle w:val="ManualConsidrant"/>
        <w:rPr>
          <w:noProof/>
        </w:rPr>
      </w:pPr>
      <w:r>
        <w:t>(10)</w:t>
      </w:r>
      <w:r>
        <w:tab/>
      </w:r>
      <w:r>
        <w:rPr>
          <w:noProof/>
        </w:rPr>
        <w:t>Posebna mjera neće negativno utjecati na vlastita sredstva Unije koja proizlaze iz PDV-a.</w:t>
      </w:r>
    </w:p>
    <w:p>
      <w:pPr>
        <w:pStyle w:val="Formuledadoption"/>
        <w:rPr>
          <w:noProof/>
        </w:rPr>
      </w:pPr>
      <w:r>
        <w:rPr>
          <w:noProof/>
        </w:rPr>
        <w:t xml:space="preserve">DONIJELO JE OVU ODLUKU: </w:t>
      </w:r>
    </w:p>
    <w:p>
      <w:pPr>
        <w:pStyle w:val="Titrearticle"/>
        <w:rPr>
          <w:noProof/>
        </w:rPr>
      </w:pPr>
      <w:r>
        <w:rPr>
          <w:noProof/>
        </w:rPr>
        <w:t>Članak 1.</w:t>
      </w:r>
    </w:p>
    <w:p>
      <w:pPr>
        <w:rPr>
          <w:noProof/>
        </w:rPr>
      </w:pPr>
      <w:r>
        <w:rPr>
          <w:noProof/>
        </w:rPr>
        <w:t xml:space="preserve">Odstupajući od članka 193. Direktive 2006/112/EZ Litvi se odobrava određivanje primatelja kao osobe koja je poreznim tijelima dužna platiti PDV za isporuke tvrdih diskova. </w:t>
      </w:r>
    </w:p>
    <w:p>
      <w:pPr>
        <w:pStyle w:val="Titrearticle"/>
        <w:rPr>
          <w:noProof/>
          <w:color w:val="000000" w:themeColor="text1"/>
        </w:rPr>
      </w:pPr>
      <w:r>
        <w:rPr>
          <w:noProof/>
        </w:rPr>
        <w:t>Članak 2.</w:t>
      </w:r>
    </w:p>
    <w:p>
      <w:pPr>
        <w:rPr>
          <w:noProof/>
        </w:rPr>
      </w:pPr>
      <w:r>
        <w:rPr>
          <w:noProof/>
        </w:rPr>
        <w:t xml:space="preserve">Ova se Odluka primjenjuje od 1. ožujka 2019. i prestaje važiti 28. veljače 2022. </w:t>
      </w:r>
    </w:p>
    <w:p>
      <w:pPr>
        <w:pStyle w:val="Titrearticle"/>
        <w:rPr>
          <w:noProof/>
        </w:rPr>
      </w:pPr>
      <w:r>
        <w:rPr>
          <w:noProof/>
        </w:rPr>
        <w:t>Članak 3.</w:t>
      </w:r>
    </w:p>
    <w:p>
      <w:pPr>
        <w:keepNext/>
        <w:keepLines/>
        <w:rPr>
          <w:noProof/>
        </w:rPr>
      </w:pPr>
      <w:r>
        <w:rPr>
          <w:noProof/>
          <w:color w:val="000000"/>
        </w:rPr>
        <w:t>Ova je Odluka upućena Republici Litvi</w:t>
      </w:r>
      <w:r>
        <w:t>.</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SL 347, 11.12.2006.,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F007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8CA6AB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785A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6B210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502E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F5A34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66E56DE"/>
    <w:lvl w:ilvl="0">
      <w:start w:val="1"/>
      <w:numFmt w:val="decimal"/>
      <w:pStyle w:val="ListNumber"/>
      <w:lvlText w:val="%1."/>
      <w:lvlJc w:val="left"/>
      <w:pPr>
        <w:tabs>
          <w:tab w:val="num" w:pos="360"/>
        </w:tabs>
        <w:ind w:left="360" w:hanging="360"/>
      </w:pPr>
    </w:lvl>
  </w:abstractNum>
  <w:abstractNum w:abstractNumId="7">
    <w:nsid w:val="FFFFFF89"/>
    <w:multiLevelType w:val="singleLevel"/>
    <w:tmpl w:val="627CA97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5 09:14:2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D338C4C-7563-43FB-9096-89895B038DD8"/>
    <w:docVar w:name="LW_COVERPAGE_TYPE" w:val="1"/>
    <w:docVar w:name="LW_CROSSREFERENCE" w:val="&lt;UNUSED&gt;"/>
    <w:docVar w:name="LW_DocType" w:val="COM"/>
    <w:docVar w:name="LW_EMISSION" w:val="21.1.2019."/>
    <w:docVar w:name="LW_EMISSION_ISODATE" w:val="2019-01-21"/>
    <w:docVar w:name="LW_EMISSION_LOCATION" w:val="BRX"/>
    <w:docVar w:name="LW_EMISSION_PREFIX" w:val="Bruxelles, "/>
    <w:docVar w:name="LW_EMISSION_SUFFIX" w:val=" "/>
    <w:docVar w:name="LW_ID_DOCMODEL" w:val="SJ-020"/>
    <w:docVar w:name="LW_ID_DOCSIGNATURE" w:val="SJ-020"/>
    <w:docVar w:name="LW_ID_DOCSTRUCTURE" w:val="COM/PL/ORG"/>
    <w:docVar w:name="LW_ID_DOCTYPE" w:val="SJ-020"/>
    <w:docVar w:name="LW_ID_STATUT" w:val="SJ-020"/>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06"/>
    <w:docVar w:name="LW_REF.II.NEW.CP_YEAR" w:val="2019"/>
    <w:docVar w:name="LW_REF.INST.NEW" w:val="COM"/>
    <w:docVar w:name="LW_REF.INST.NEW_ADOPTED" w:val="final"/>
    <w:docVar w:name="LW_REF.INST.NEW_TEXT" w:val="(2019) 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kojom se Litvi odobrava uvo\u273?enje posebne mjere odstupanja od \u269?lanka 193. Direktive 2006/112/EZ o zajedni\u269?kom sustavu poreza na dodanu vrijednost"/>
    <w:docVar w:name="LW_TYPE.DOC.CP" w:val="PROVEDBENE 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1529</Words>
  <Characters>8977</Characters>
  <Application>Microsoft Office Word</Application>
  <DocSecurity>0</DocSecurity>
  <Lines>166</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2018-12-07T11:26:00Z</cp:lastPrinted>
  <dcterms:created xsi:type="dcterms:W3CDTF">2019-01-11T08:33:00Z</dcterms:created>
  <dcterms:modified xsi:type="dcterms:W3CDTF">2019-01-15T08:14:00Z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SJ-020</vt:lpwstr>
  </property>
  <property fmtid="{D5CDD505-2E9C-101B-9397-08002B2CF9AE}" pid="9" name="Level of sensitivity">
    <vt:lpwstr>Standard treatment</vt:lpwstr>
  </property>
  <property fmtid="{D5CDD505-2E9C-101B-9397-08002B2CF9AE}" pid="10" name="DQCStatus">
    <vt:lpwstr>Green (DQC version 03)</vt:lpwstr>
  </property>
</Properties>
</file>