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B81C59B-4EF5-47F1-9814-5B027D505A9F"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Bdr>
          <w:top w:val="nil"/>
          <w:left w:val="nil"/>
          <w:bottom w:val="nil"/>
          <w:right w:val="nil"/>
          <w:between w:val="nil"/>
          <w:bar w:val="nil"/>
        </w:pBdr>
        <w:spacing w:before="0" w:after="240"/>
        <w:rPr>
          <w:rFonts w:eastAsia="Arial Unicode MS"/>
          <w:noProof/>
        </w:rPr>
      </w:pPr>
      <w:r>
        <w:rPr>
          <w:noProof/>
        </w:rPr>
        <w:t>În conformitate cu articolul 395 alineatul (1) din Directiva 2006/112/CE din 28 noiembrie 2006 privind sistemul comun al taxei pe valoarea adăugată (denumită în continuare „Directiva TVA”), Consiliul, hotărând în unanimitate la propunerea Comisiei, poate autoriza orice stat membru să aplice măsuri speciale de derogare de la dispozițiile directivei respective pentru a simplifica procedura de colectare a TVA-ului sau pentru a preveni anumite forme de evaziune fiscală sau de evitare a obligațiilor fiscale.</w:t>
      </w:r>
    </w:p>
    <w:p>
      <w:pPr>
        <w:pBdr>
          <w:top w:val="nil"/>
          <w:left w:val="nil"/>
          <w:bottom w:val="nil"/>
          <w:right w:val="nil"/>
          <w:between w:val="nil"/>
          <w:bar w:val="nil"/>
        </w:pBdr>
        <w:spacing w:before="0" w:after="240"/>
        <w:rPr>
          <w:noProof/>
          <w:color w:val="008000"/>
        </w:rPr>
      </w:pPr>
      <w:r>
        <w:rPr>
          <w:noProof/>
        </w:rPr>
        <w:t>Prin scrisoarea înregistrată de Comisie la data de 16 octombrie 2018, Lituania a solicitat o derogare de la articolul 193 din Directiva TVA, în vederea aplicării mecanismului de taxare inversă pentru livrările de unități de hard disk. În conformitate cu articolul 395 alineatul (2) din Directiva TVA, Comisia a informat celelalte state membre, prin scrisorile din 19 noiembrie 2018, cu privire la cererea înaintată de Lituania. Prin scrisoarea din data de 20 noiembrie 2018, Comisia a notificat Lituaniei că deține toate informațiile necesare pentru a analiza cererea.</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rFonts w:eastAsia="Arial Unicode MS"/>
          <w:noProof/>
        </w:rPr>
      </w:pPr>
      <w:r>
        <w:rPr>
          <w:noProof/>
        </w:rPr>
        <w:t>Ca regulă generală, articolul 193 din Directiva TVA stipulează că persoana impozabilă care efectuează o livrare de bunuri sau o prestare de servicii este în mod normal obligată la plata taxei pe valoarea adăugată (TVA).</w:t>
      </w:r>
    </w:p>
    <w:p>
      <w:pPr>
        <w:rPr>
          <w:noProof/>
        </w:rPr>
      </w:pPr>
      <w:r>
        <w:rPr>
          <w:noProof/>
        </w:rPr>
        <w:t xml:space="preserve">În temeiul articolului 395 din Directiva TVA, Lituania a solicitat o derogare de la articolul 193 din Directiva TVA prin care să fie autorizată să aplice mecanismul de taxare inversă pentru livrările de unități de hard disk care nu sunt acoperite de articolul 199a din Directiva TVA. În temeiul acestei proceduri, persoana impozabilă căreia i se livrează bunurile devine responsabilă de plata TVA. Această persoană impozabilă, cu condiția să se bucure pe deplin de dreptul de deducere, ar declara și în același timp ar deduce TVA-ul pentru livrarea respectivă, ceea ce are drept consecință neefectuarea plății TVA-ului la trezorerie. </w:t>
      </w:r>
    </w:p>
    <w:p>
      <w:pPr>
        <w:pBdr>
          <w:top w:val="nil"/>
          <w:left w:val="nil"/>
          <w:bottom w:val="nil"/>
          <w:right w:val="nil"/>
          <w:between w:val="nil"/>
          <w:bar w:val="nil"/>
        </w:pBdr>
        <w:spacing w:before="0" w:after="240"/>
        <w:rPr>
          <w:rFonts w:eastAsia="Arial Unicode MS"/>
          <w:noProof/>
        </w:rPr>
      </w:pPr>
      <w:r>
        <w:rPr>
          <w:noProof/>
        </w:rPr>
        <w:t xml:space="preserve">Lituania a descoperit fraude în materie de TVA în sectorul bunurilor electronice, cum ar fi laptopuri, telefoane mobile, tablete și unități de hard disk. Aceste mărfuri sunt achiziționate de la alte state membre și, înainte de a fi furnizate comercianților cu amănuntul sau direct consumatorilor, au loc mai multe tranzacții între „firmele fantomă” care nu plătesc TVA la trezorerie. În urma controalelor efectuate în Lituania, s-a constatat că, în perioada 2016-2017, se estimează că nu au fost plătite taxe în valoare de aproximativ 6 milioane EUR pentru bunuri electronice, ceea ce reprezintă pierderi semnificative pentru bugetul de stat. </w:t>
      </w:r>
    </w:p>
    <w:p>
      <w:pPr>
        <w:rPr>
          <w:noProof/>
        </w:rPr>
      </w:pPr>
      <w:r>
        <w:rPr>
          <w:noProof/>
        </w:rPr>
        <w:t xml:space="preserve">Lituania a întreprins o serie de măsuri pentru a aborda și a preveni frauda în materie de TVA. Începând din octombrie 2016, toți plătitorii de TVA din Lituania sunt obligați să introducă lunar informații privind facturile de TVA pe care le-au primit și le-au emis în subsistemul pentru facturi electronice („i.SAF”) al sistemului de administrare inteligentă („i.MAS”), ceea ce ajută autoritățile să identifice diferențele dintre datele declarate de contribuabilii plătitori de TVA și sumele aferente taxei care nu au fost declarate în timp util. De asemenea, informațiile privind documentele de transport de mărfuri trebuie să fie înregistrate în subsistemul electronic de informații privind transportul („i.VAZ”) al i.MAS, specificând mărfurile transportate, expeditorii și destinatarii, înainte ca mărfurile să fie transportate pe teritoriul Lituaniei. Aceste informații operaționale colectate de Inspectoratul Fiscal de Stat sunt, de asemenea, utilizate pentru a detecta eventuale cazuri de fraudă sau pentru a afla rapid informații despre bunurile implicate într-un lanț fraudulos. </w:t>
      </w:r>
    </w:p>
    <w:p>
      <w:pPr>
        <w:rPr>
          <w:noProof/>
          <w:szCs w:val="24"/>
        </w:rPr>
      </w:pPr>
      <w:r>
        <w:rPr>
          <w:noProof/>
        </w:rPr>
        <w:t xml:space="preserve">În ciuda tuturor măsurilor introduse pentru combaterea fraudei în materie de TVA, informațiile furnizate de Lituania arată că aceste măsuri nu sunt suficiente pentru a preveni frauda în materie de TVA în ceea ce privește furnizarea de produse electronice. Lituania consideră că este necesară introducerea taxării inverse în sectorul în cauză. </w:t>
      </w:r>
    </w:p>
    <w:p>
      <w:pPr>
        <w:pBdr>
          <w:top w:val="nil"/>
          <w:left w:val="nil"/>
          <w:bottom w:val="nil"/>
          <w:right w:val="nil"/>
          <w:between w:val="nil"/>
          <w:bar w:val="nil"/>
        </w:pBdr>
        <w:spacing w:before="0" w:after="240"/>
        <w:rPr>
          <w:rFonts w:eastAsia="Arial Unicode MS"/>
          <w:noProof/>
        </w:rPr>
      </w:pPr>
      <w:r>
        <w:rPr>
          <w:noProof/>
        </w:rPr>
        <w:t xml:space="preserve">Lituania intenționează să introducă taxarea inversă pentru produsele electronice în temeiul articolului 199a din Directiva TVA. Cu toate acestea, unitățile de hard disk nu sunt incluse în acest articol. Lituania susține, de asemenea, că experiența altor state membre arată că, în urma introducerii mecanismului de taxare inversă pentru acele produse electronice care intră sub incidența articolului 199a din Directiva TVA, frauda se transferă la alte produse electronice. </w:t>
      </w:r>
    </w:p>
    <w:p>
      <w:pPr>
        <w:pBdr>
          <w:top w:val="nil"/>
          <w:left w:val="nil"/>
          <w:bottom w:val="nil"/>
          <w:right w:val="nil"/>
          <w:between w:val="nil"/>
          <w:bar w:val="nil"/>
        </w:pBdr>
        <w:spacing w:before="0" w:after="240"/>
        <w:rPr>
          <w:rFonts w:eastAsia="Arial Unicode MS"/>
          <w:noProof/>
        </w:rPr>
      </w:pPr>
      <w:r>
        <w:rPr>
          <w:noProof/>
        </w:rPr>
        <w:t xml:space="preserve">Prin urmare, Lituania solicită să fie autorizată să introducă mecanismul de taxare inversă și pentru unitățile de hard disk, în temeiul articolului 395 din Directiva TVA. </w:t>
      </w:r>
    </w:p>
    <w:p>
      <w:pPr>
        <w:rPr>
          <w:noProof/>
        </w:rPr>
      </w:pPr>
      <w:r>
        <w:rPr>
          <w:noProof/>
        </w:rPr>
        <w:t xml:space="preserve">Având în vedere potențialul impact pozitiv al măsurii în combaterea fraudei descoperite de Lituania, se propune acordarea derogării pentru o perioadă limitată, de la 1 martie 2019 până la 28 februarie 2022. Pe parcursul perioadei de aplicare a măsurii de derogare, Lituania ar trebui să introducă alte măsuri convenționale pentru a controla și a preveni în mod eficace frauda în ceea ce privește livrările de unități de hard disk. Prin urmare, nu ar trebui să mai fie necesară derogarea de la articolul 193 din Directiva TVA în ceea ce privește furnizarea de unități de hard disk. </w:t>
      </w:r>
    </w:p>
    <w:p>
      <w:pPr>
        <w:pStyle w:val="ManualHeading2"/>
        <w:rPr>
          <w:noProof/>
        </w:rPr>
      </w:pP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Derogări similare au fost acordate și altor state membre în temeiul articolului 193 din Directiva TVA.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Măsura propusă este, prin urmare, în concordanță cu dispozițiile existente din Directiva TVA.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u w:color="000000"/>
          <w:bdr w:val="nil"/>
        </w:rPr>
        <w:tab/>
        <w:t>Temei juridic</w:t>
      </w:r>
    </w:p>
    <w:p>
      <w:pPr>
        <w:rPr>
          <w:noProof/>
        </w:rPr>
      </w:pPr>
      <w:r>
        <w:rPr>
          <w:noProof/>
        </w:rPr>
        <w:t>Articolul 395 din Directiva TVA.</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(pentru competența neexclusivă) </w:t>
      </w:r>
    </w:p>
    <w:p>
      <w:pPr>
        <w:rPr>
          <w:noProof/>
        </w:rPr>
      </w:pPr>
      <w:r>
        <w:rPr>
          <w:noProof/>
        </w:rPr>
        <w:t>Având în vedere prevederea din Directiva TVA pe care se întemeiază propunerea, aceasta din urmă intră în sfera competenței exclusive a Uniunii. În consecință, principiul subsidiarității nu se aplică.</w:t>
      </w:r>
    </w:p>
    <w:p>
      <w:pPr>
        <w:pStyle w:val="ManualHeading2"/>
        <w:rPr>
          <w:rFonts w:eastAsia="Arial Unicode MS"/>
          <w:noProof/>
          <w:u w:color="000000"/>
          <w:bdr w:val="nil"/>
        </w:rPr>
      </w:pPr>
      <w:r>
        <w:rPr>
          <w:noProof/>
          <w:u w:color="000000"/>
          <w:bdr w:val="nil"/>
        </w:rPr>
        <w:t>•</w:t>
      </w:r>
      <w:r>
        <w:rPr>
          <w:noProof/>
          <w:u w:color="000000"/>
          <w:bdr w:val="nil"/>
        </w:rPr>
        <w:tab/>
        <w:t>Proporționalitatea</w:t>
      </w:r>
    </w:p>
    <w:p>
      <w:pPr>
        <w:rPr>
          <w:noProof/>
        </w:rPr>
      </w:pPr>
      <w:r>
        <w:rPr>
          <w:noProof/>
        </w:rPr>
        <w:t>Decizia se referă la o autorizație acordată unui stat membru la solicitarea acestuia și nu constituie o obligație.</w:t>
      </w:r>
    </w:p>
    <w:p>
      <w:pPr>
        <w:rPr>
          <w:noProof/>
        </w:rPr>
      </w:pPr>
      <w:r>
        <w:rPr>
          <w:noProof/>
        </w:rPr>
        <w:t xml:space="preserve">Având în vedere domeniul de aplicare limitat al derogării, măsura specială este proporțională cu obiectivul urmărit, și anume prevenirea anumitor forme de evaziune fiscală sau de fraudă într-un sector specific. </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rPr>
          <w:noProof/>
        </w:rPr>
      </w:pPr>
      <w:r>
        <w:rPr>
          <w:noProof/>
        </w:rPr>
        <w:t>În conformitate cu articolul 395 din Directiva TVA, derogarea de la normele comune în materie de TVA este posibilă numai cu autorizarea Consiliului, hotărând în unanimitate la propunerea Comisiei. În plus, o decizie a Consiliului este cel mai adecvat instrument, deoarece poate fi adresată statelor membre în mod individual.</w:t>
      </w:r>
    </w:p>
    <w:p>
      <w:pPr>
        <w:pStyle w:val="ManualHeading1"/>
        <w:rPr>
          <w:noProof/>
        </w:rPr>
      </w:pPr>
      <w:r>
        <w:rPr>
          <w:noProof/>
        </w:rPr>
        <w:t>3.</w:t>
      </w:r>
      <w:r>
        <w:rPr>
          <w:noProof/>
        </w:rPr>
        <w:tab/>
        <w:t xml:space="preserve">REZULTATELE EVALUĂRILOR </w:t>
      </w:r>
      <w:r>
        <w:rPr>
          <w:i/>
          <w:iCs/>
          <w:noProof/>
        </w:rPr>
        <w:t>EX POST</w:t>
      </w:r>
      <w:r>
        <w:rPr>
          <w:noProof/>
        </w:rPr>
        <w: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Consultări cu părțile interesate</w:t>
      </w:r>
    </w:p>
    <w:p>
      <w:pPr>
        <w:rPr>
          <w:noProof/>
        </w:rPr>
      </w:pPr>
      <w:r>
        <w:rPr>
          <w:noProof/>
        </w:rPr>
        <w:t>Prezenta propunere se bazează pe o cerere înaintată de Lituania și vizează doar acest stat membru.</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rPr>
          <w:noProof/>
        </w:rPr>
      </w:pPr>
      <w:r>
        <w:rPr>
          <w:noProof/>
        </w:rPr>
        <w:t>Nu a fost necesar să se recurgă la expertiză externă.</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rPr>
          <w:noProof/>
        </w:rPr>
      </w:pPr>
      <w:r>
        <w:rPr>
          <w:noProof/>
        </w:rPr>
        <w:t xml:space="preserve">Propunerea de decizie de punere în aplicare are drept scop prevenirea anumitor forme de evaziune sau de fraudă fiscală în sectorul unităților de hard disk. Mecanismul de taxare inversă ar trebui să ajute Lituania să prevină frauda în materie de TVA în sectorul unităților de hard disk. În consecință, măsura de derogare va avea un impact pozitiv. </w:t>
      </w:r>
    </w:p>
    <w:p>
      <w:pPr>
        <w:rPr>
          <w:noProof/>
        </w:rPr>
      </w:pPr>
      <w:r>
        <w:rPr>
          <w:noProof/>
        </w:rPr>
        <w:t>Având în vedere domeniul de aplicare restrâns al derogării și aplicarea limitată în timp, impactul negativ, care constă într-o sarcină administrativă mai mare pentru întreprinderile care se ocupă de produsele electronice, va fi, în orice caz, limitat.</w:t>
      </w:r>
    </w:p>
    <w:p>
      <w:pPr>
        <w:pStyle w:val="ManualHeading1"/>
        <w:rPr>
          <w:noProof/>
        </w:rPr>
      </w:pPr>
      <w:r>
        <w:rPr>
          <w:noProof/>
        </w:rPr>
        <w:t>4.</w:t>
      </w:r>
      <w:r>
        <w:rPr>
          <w:noProof/>
        </w:rPr>
        <w:tab/>
        <w:t>IMPLICAȚII BUGETARE</w:t>
      </w:r>
    </w:p>
    <w:p>
      <w:pPr>
        <w:rPr>
          <w:noProof/>
        </w:rPr>
      </w:pPr>
      <w:r>
        <w:rPr>
          <w:noProof/>
        </w:rPr>
        <w:t>Propunerea nu va avea niciun impact negativ asupra resurselor proprii ale Uniunii provenite din TVA.</w:t>
      </w:r>
    </w:p>
    <w:p>
      <w:pPr>
        <w:pStyle w:val="ManualHeading1"/>
        <w:rPr>
          <w:noProof/>
        </w:rPr>
      </w:pPr>
      <w:r>
        <w:rPr>
          <w:noProof/>
        </w:rPr>
        <w:t>5.</w:t>
      </w:r>
      <w:r>
        <w:rPr>
          <w:noProof/>
        </w:rPr>
        <w:tab/>
        <w:t>ALTE ELEMENTE</w:t>
      </w:r>
    </w:p>
    <w:p>
      <w:pPr>
        <w:rPr>
          <w:noProof/>
        </w:rPr>
      </w:pPr>
      <w:r>
        <w:rPr>
          <w:noProof/>
        </w:rPr>
        <w:t>Propunerea include o clauză de limitare în timp, stabilită la 28 februarie 2022.</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2019/0006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de autorizare a Lituaniei să introducă o măsură specială de derogare de la articolul 193 din Directiva 2006/112/CE privind sistemul comun al taxei pe valoarea adăugată</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2006/112/CE a Consiliului din 28 noiembrie 2006 privind sistemul comun al taxei pe valoarea adăugată</w:t>
      </w:r>
      <w:r>
        <w:rPr>
          <w:rStyle w:val="FootnoteReference"/>
          <w:noProof/>
        </w:rPr>
        <w:footnoteReference w:id="1"/>
      </w:r>
      <w:r>
        <w:rPr>
          <w:noProof/>
        </w:rPr>
        <w:t>, în special articolul 395,</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Articolul 193 din Directiva 2006/112/CE prevede că persoana impozabilă care efectuează o livrare de bunuri sau o prestare de servicii are în general obligația de a plăti taxa pe valoarea adăugată (TVA) către autoritățile fiscale.</w:t>
      </w:r>
    </w:p>
    <w:p>
      <w:pPr>
        <w:pStyle w:val="ManualConsidrant"/>
        <w:rPr>
          <w:noProof/>
        </w:rPr>
      </w:pPr>
      <w:r>
        <w:t>(2)</w:t>
      </w:r>
      <w:r>
        <w:tab/>
      </w:r>
      <w:r>
        <w:rPr>
          <w:noProof/>
        </w:rPr>
        <w:t xml:space="preserve">Prin scrisoarea înregistrată de Comisie la data de 16 octombrie 2018, Lituania a solicitat autorizarea de a introduce o măsură specială de derogare de la articolul 193 din Directiva 2006/112/CE în vederea aplicării mecanismului de taxare inversă pentru livrările de unități de hard disk. </w:t>
      </w:r>
    </w:p>
    <w:p>
      <w:pPr>
        <w:pStyle w:val="ManualConsidrant"/>
        <w:rPr>
          <w:noProof/>
        </w:rPr>
      </w:pPr>
      <w:r>
        <w:t>(3)</w:t>
      </w:r>
      <w:r>
        <w:tab/>
      </w:r>
      <w:r>
        <w:rPr>
          <w:noProof/>
        </w:rPr>
        <w:t>În conformitate cu articolul 395 alineatul (2) al doilea paragraf din Directiva 2006/112/CE, Comisia a informat celelalte state membre, prin scrisorile din data de 19 noiembrie 2018, cu privire la cererea înaintată de Lituania. Prin scrisoarea din 20 noiembrie 2018, Comisia a notificat Lituaniei că deține toate informațiile necesare pentru a analiza cererea.</w:t>
      </w:r>
    </w:p>
    <w:p>
      <w:pPr>
        <w:pStyle w:val="ManualConsidrant"/>
        <w:rPr>
          <w:noProof/>
        </w:rPr>
      </w:pPr>
      <w:r>
        <w:t>(4)</w:t>
      </w:r>
      <w:r>
        <w:tab/>
      </w:r>
      <w:r>
        <w:rPr>
          <w:noProof/>
        </w:rPr>
        <w:t xml:space="preserve">Lituania a descoperit fraude în materie de TVA cu „firme fantomă” din sectorul bunurilor electronice, cum ar fi laptopuri, telefoane mobile, tablete și unități de hard disk. Amploarea și domeniul de aplicare a acestei practici au un impact direct și foarte negativ asupra bugetului de stat. </w:t>
      </w:r>
    </w:p>
    <w:p>
      <w:pPr>
        <w:pStyle w:val="ManualConsidrant"/>
        <w:rPr>
          <w:noProof/>
        </w:rPr>
      </w:pPr>
      <w:r>
        <w:t>(5)</w:t>
      </w:r>
      <w:r>
        <w:tab/>
      </w:r>
      <w:r>
        <w:rPr>
          <w:noProof/>
        </w:rPr>
        <w:t>Lituania a întreprins o serie de măsuri pentru a aborda și a preveni frauda în materie de TVA. Potrivit Lituaniei, măsurile respective nu sunt suficiente pentru a preveni frauda în materie de TVA în cazul furnizării de produse electronice.</w:t>
      </w:r>
    </w:p>
    <w:p>
      <w:pPr>
        <w:pStyle w:val="ManualConsidrant"/>
        <w:rPr>
          <w:noProof/>
        </w:rPr>
      </w:pPr>
      <w:r>
        <w:t>(6)</w:t>
      </w:r>
      <w:r>
        <w:tab/>
      </w:r>
      <w:r>
        <w:rPr>
          <w:noProof/>
        </w:rPr>
        <w:t xml:space="preserve">Lituania intenționează să introducă taxarea inversă pentru produsele electronice în temeiul articolului 199a din Directiva 2006/112/CE. Cu toate acestea, unitățile de hard disk nu sunt incluse la articolul respectiv. </w:t>
      </w:r>
    </w:p>
    <w:p>
      <w:pPr>
        <w:pStyle w:val="ManualConsidrant"/>
        <w:rPr>
          <w:noProof/>
        </w:rPr>
      </w:pPr>
      <w:r>
        <w:t>(7)</w:t>
      </w:r>
      <w:r>
        <w:tab/>
      </w:r>
      <w:r>
        <w:rPr>
          <w:noProof/>
        </w:rPr>
        <w:t xml:space="preserve">Pentru a prevedea o formă mai cuprinzătoare a mecanismului de taxare inversă care ar trebui să se aplice nu numai produselor electronice, astfel cum este prevăzut deja la articolul 199a din Directiva 2006/112/CE, ci și unităților de hard disk, Lituania solicită să fie autorizată să introducă mecanismul de taxare inversă pentru livrările de unități de hard disk în temeiul articolului 395 din Directiva 2006/112/CE. </w:t>
      </w:r>
    </w:p>
    <w:p>
      <w:pPr>
        <w:pStyle w:val="ManualConsidrant"/>
        <w:rPr>
          <w:noProof/>
        </w:rPr>
      </w:pPr>
      <w:r>
        <w:t>(8)</w:t>
      </w:r>
      <w:r>
        <w:tab/>
      </w:r>
      <w:r>
        <w:rPr>
          <w:noProof/>
        </w:rPr>
        <w:t xml:space="preserve">Având în vedere potențialul impact pozitiv al măsurii speciale în combaterea fraudei descoperite de Lituania, ar trebui acordată o derogare pentru o perioadă limitată, de la 1 martie 2019 până la 28 februarie 2022. </w:t>
      </w:r>
    </w:p>
    <w:p>
      <w:pPr>
        <w:pStyle w:val="ManualConsidrant"/>
        <w:rPr>
          <w:noProof/>
        </w:rPr>
      </w:pPr>
      <w:r>
        <w:t>(9)</w:t>
      </w:r>
      <w:r>
        <w:tab/>
      </w:r>
      <w:r>
        <w:rPr>
          <w:noProof/>
        </w:rPr>
        <w:t xml:space="preserve">În general, derogările se acordă pe o perioadă limitată, pentru a se putea evalua dacă măsura de derogare respectivă este sau nu adecvată și eficace. Derogările acordă statelor membre timpul necesar pentru a introduce alte măsuri convenționale pentru combaterea problemei respective până la expirarea măsurii de derogare, ceea ce ar face ca o prelungire a derogării să fie inutilă. O derogare care permite utilizarea mecanismului de taxare inversă este acordată numai în mod excepțional pentru anumite domenii unde se observă fraude și constituie un mijloc de ultimă instanță. Prin urmare, Lituania ar trebui să pună în aplicare alte măsuri convenționale pentru combaterea și prevenirea fraudei în materie de TVA în sectorul unităților de hard disk până la expirarea acestei derogări și, în consecință, nu ar trebui să mai fie necesară derogarea de la articolul 193 din Directiva 2006/112/CE în ceea ce privește livrările de unități de hard disk. </w:t>
      </w:r>
    </w:p>
    <w:p>
      <w:pPr>
        <w:pStyle w:val="ManualConsidrant"/>
        <w:rPr>
          <w:noProof/>
        </w:rPr>
      </w:pPr>
      <w:r>
        <w:t>(10)</w:t>
      </w:r>
      <w:r>
        <w:tab/>
      </w:r>
      <w:r>
        <w:rPr>
          <w:noProof/>
        </w:rPr>
        <w:t>Măsura specială nu va avea niciun impact negativ asupra resurselor proprii ale Uniunii provenite din TVA,</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 xml:space="preserve">Prin derogare de la articolul 193 din Directiva 2006/112/CE, Lituania este autorizată să desemneze destinatarul drept persoana obligată la plata TVA în cazul livrărilor de unități de hard disk. </w:t>
      </w:r>
    </w:p>
    <w:p>
      <w:pPr>
        <w:pStyle w:val="Titrearticle"/>
        <w:rPr>
          <w:noProof/>
          <w:color w:val="000000" w:themeColor="text1"/>
        </w:rPr>
      </w:pPr>
      <w:r>
        <w:rPr>
          <w:noProof/>
        </w:rPr>
        <w:t>Articolul 2</w:t>
      </w:r>
    </w:p>
    <w:p>
      <w:pPr>
        <w:rPr>
          <w:noProof/>
        </w:rPr>
      </w:pPr>
      <w:r>
        <w:rPr>
          <w:noProof/>
        </w:rPr>
        <w:t xml:space="preserve">Prezenta decizie se aplică de la 1 martie 2019 și expiră la 28 februarie 2022. </w:t>
      </w:r>
    </w:p>
    <w:p>
      <w:pPr>
        <w:pStyle w:val="Titrearticle"/>
        <w:rPr>
          <w:noProof/>
        </w:rPr>
      </w:pPr>
      <w:r>
        <w:rPr>
          <w:noProof/>
        </w:rPr>
        <w:t>Articolul 3</w:t>
      </w:r>
    </w:p>
    <w:p>
      <w:pPr>
        <w:keepNext/>
        <w:keepLines/>
        <w:rPr>
          <w:noProof/>
        </w:rPr>
      </w:pPr>
      <w:r>
        <w:rPr>
          <w:noProof/>
        </w:rPr>
        <w:t>Prezenta decizie se adresează Republicii Lituania.</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347,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F00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CA6A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785A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B210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502E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5A3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E56DE"/>
    <w:lvl w:ilvl="0">
      <w:start w:val="1"/>
      <w:numFmt w:val="decimal"/>
      <w:pStyle w:val="ListNumber"/>
      <w:lvlText w:val="%1."/>
      <w:lvlJc w:val="left"/>
      <w:pPr>
        <w:tabs>
          <w:tab w:val="num" w:pos="360"/>
        </w:tabs>
        <w:ind w:left="360" w:hanging="360"/>
      </w:pPr>
    </w:lvl>
  </w:abstractNum>
  <w:abstractNum w:abstractNumId="7">
    <w:nsid w:val="FFFFFF89"/>
    <w:multiLevelType w:val="singleLevel"/>
    <w:tmpl w:val="627CA9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5 09:14: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B81C59B-4EF5-47F1-9814-5B027D505A9F"/>
    <w:docVar w:name="LW_COVERPAGE_TYPE" w:val="1"/>
    <w:docVar w:name="LW_CROSSREFERENCE" w:val="&lt;UNUSED&gt;"/>
    <w:docVar w:name="LW_DocType" w:val="COM"/>
    <w:docVar w:name="LW_EMISSION" w:val="21.1.2019"/>
    <w:docVar w:name="LW_EMISSION_ISODATE" w:val="2019-01-21"/>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06"/>
    <w:docVar w:name="LW_REF.II.NEW.CP_YEAR" w:val="2019"/>
    <w:docVar w:name="LW_REF.INST.NEW" w:val="COM"/>
    <w:docVar w:name="LW_REF.INST.NEW_ADOPTED" w:val="final"/>
    <w:docVar w:name="LW_REF.INST.NEW_TEXT" w:val="(2019)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autorizare a Lituaniei s\u259? introduc\u259? o m\u259?sur\u259? special\u259? de derogare de la articolul 193 din Directiva 2006/112/CE privind sistemul comun al taxei pe valoarea ad\u259?ugat\u259?"/>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A65C-3358-4124-ABCF-88C149AD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1825</Words>
  <Characters>10330</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2018-12-07T11:26:00Z</cp:lastPrinted>
  <dcterms:created xsi:type="dcterms:W3CDTF">2019-01-14T13:05:00Z</dcterms:created>
  <dcterms:modified xsi:type="dcterms:W3CDTF">2019-01-15T08:14:00Z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