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4F1DD3C-2F17-4BA4-83E9-4151C3DF13F6" style="width:450.8pt;height:365.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Bdr>
          <w:top w:val="nil"/>
          <w:left w:val="nil"/>
          <w:bottom w:val="nil"/>
          <w:right w:val="nil"/>
          <w:between w:val="nil"/>
          <w:bar w:val="nil"/>
        </w:pBdr>
        <w:spacing w:before="0" w:after="240"/>
        <w:rPr>
          <w:rFonts w:eastAsia="Arial Unicode MS"/>
          <w:noProof/>
        </w:rPr>
      </w:pPr>
      <w:r>
        <w:rPr>
          <w:noProof/>
        </w:rPr>
        <w:t>В съответствие с член 395, параграф 1 от Директива 2006/112/ЕО от 28 ноември 2006 г. относно общата система на данъка върху добавената стойност (наричана по-нататък „Директивата за ДДС“) Съветът, като действа с единодушие по предложение на Комисията, може да разреши на всяка държава членка да прилага специални мерки за дерогация от разпоредбите на посочената директива с цел да опрости процедурата за събиране на ДДС или да предотврати някои форми на отклонение от данъчно облагане или избягване на данъци.</w:t>
      </w:r>
    </w:p>
    <w:p>
      <w:pPr>
        <w:pBdr>
          <w:top w:val="nil"/>
          <w:left w:val="nil"/>
          <w:bottom w:val="nil"/>
          <w:right w:val="nil"/>
          <w:between w:val="nil"/>
          <w:bar w:val="nil"/>
        </w:pBdr>
        <w:spacing w:before="0" w:after="240"/>
        <w:rPr>
          <w:noProof/>
          <w:color w:val="008000"/>
        </w:rPr>
      </w:pPr>
      <w:r>
        <w:rPr>
          <w:noProof/>
        </w:rPr>
        <w:t xml:space="preserve">С писмо, заведено в Комисията </w:t>
      </w:r>
      <w:r>
        <w:rPr>
          <w:noProof/>
          <w:color w:val="000000" w:themeColor="text1"/>
        </w:rPr>
        <w:t>на 16 октомври 2018 г.</w:t>
      </w:r>
      <w:r>
        <w:rPr>
          <w:noProof/>
        </w:rPr>
        <w:t>, Литва поиска дерогация от член 193 от Директивата за ДДС, за да прилага механизма за обратно начисляване по отношение на твърдите запаметяващи устройства. В съответствие с член 395, параграф 2 от Директивата за ДДС Комисията осведоми другите държави членки с писма от 19 ноември 2018 г.</w:t>
      </w:r>
      <w:r>
        <w:rPr>
          <w:i/>
          <w:noProof/>
        </w:rPr>
        <w:t xml:space="preserve"> </w:t>
      </w:r>
      <w:r>
        <w:rPr>
          <w:noProof/>
        </w:rPr>
        <w:t>за отправеното от Литва искане. С писмо от 20 ноември 2018 г. Комисията уведоми Литва, че разполага с цялата информация, необходима за разглеждане на искането.</w:t>
      </w:r>
    </w:p>
    <w:p>
      <w:pPr>
        <w:pStyle w:val="ManualHeading1"/>
        <w:rPr>
          <w:noProof/>
        </w:rPr>
      </w:pPr>
      <w:r>
        <w:rPr>
          <w:noProof/>
        </w:rPr>
        <w:t>1.</w:t>
      </w:r>
      <w:r>
        <w:rPr>
          <w:noProof/>
        </w:rPr>
        <w:tab/>
        <w:t>КОНТЕКСТ НА ПРЕДЛОЖЕНИЕТО</w:t>
      </w:r>
    </w:p>
    <w:p>
      <w:pPr>
        <w:pStyle w:val="ManualHeading2"/>
        <w:rPr>
          <w:rFonts w:eastAsia="Arial Unicode MS"/>
          <w:noProof/>
        </w:rPr>
      </w:pPr>
      <w:r>
        <w:rPr>
          <w:noProof/>
          <w:color w:val="000000"/>
          <w:u w:color="000000"/>
          <w:bdr w:val="nil"/>
        </w:rPr>
        <w:t>•</w:t>
      </w:r>
      <w:r>
        <w:rPr>
          <w:noProof/>
        </w:rPr>
        <w:tab/>
        <w:t>Основания и цели на предложението</w:t>
      </w:r>
    </w:p>
    <w:p>
      <w:pPr>
        <w:pBdr>
          <w:top w:val="nil"/>
          <w:left w:val="nil"/>
          <w:bottom w:val="nil"/>
          <w:right w:val="nil"/>
          <w:between w:val="nil"/>
          <w:bar w:val="nil"/>
        </w:pBdr>
        <w:spacing w:before="0" w:after="240"/>
        <w:rPr>
          <w:rFonts w:eastAsia="Arial Unicode MS"/>
          <w:noProof/>
        </w:rPr>
      </w:pPr>
      <w:r>
        <w:rPr>
          <w:noProof/>
        </w:rPr>
        <w:t>В член 193 от Директивата за ДДС се предвижда, че в общия случай лице – платец на данъка върху добавената стойност (ДДС), е данъчно задълженото лице, което доставя стоките или услугите.</w:t>
      </w:r>
    </w:p>
    <w:p>
      <w:pPr>
        <w:rPr>
          <w:noProof/>
        </w:rPr>
      </w:pPr>
      <w:r>
        <w:rPr>
          <w:noProof/>
        </w:rPr>
        <w:t xml:space="preserve">Съгласно член 395 от Директивата за ДДС Литва поиска да ѝ бъде предоставена дерогация от член 193 от нея, за да получи разрешение да прилага механизма за обратно начисляване по отношение на доставките на твърди запаметяващи устройства, които не са обхванати от член 199а от същата директива. При тази процедура данъчно задълженото лице, което е получател на доставките, става платец на ДДС. Когато това данъчно задължено лице има пълно право на приспадане, то едновременно декларира и приспада съответстващия на доставката ДДС, вследствие на което няма действително плащане на ДДС в държавния бюджет. </w:t>
      </w:r>
    </w:p>
    <w:p>
      <w:pPr>
        <w:pBdr>
          <w:top w:val="nil"/>
          <w:left w:val="nil"/>
          <w:bottom w:val="nil"/>
          <w:right w:val="nil"/>
          <w:between w:val="nil"/>
          <w:bar w:val="nil"/>
        </w:pBdr>
        <w:spacing w:before="0" w:after="240"/>
        <w:rPr>
          <w:rFonts w:eastAsia="Arial Unicode MS"/>
          <w:noProof/>
        </w:rPr>
      </w:pPr>
      <w:r>
        <w:rPr>
          <w:noProof/>
        </w:rPr>
        <w:t xml:space="preserve">Литва откри измами с ДДС в сектора на електронните стоки като преносими компютри, мобилни телефони, таблети и твърди запаметяващи устройства. Тези стоки се придобиват от други държави членки и преди да бъдат доставени на търговците на дребно или директно на потребителите, се извършват множество сделки между липсващи търговци, които не плащат ДДС в държавния бюджет. Извършените в Литва проверки показаха, че през 2016—2017 г. може да не са били платени около 6 млн. евро данъци за електронни стоки, което представлява значителна загуба за държавния бюджет. </w:t>
      </w:r>
    </w:p>
    <w:p>
      <w:pPr>
        <w:rPr>
          <w:noProof/>
        </w:rPr>
      </w:pPr>
      <w:r>
        <w:rPr>
          <w:noProof/>
        </w:rPr>
        <w:t xml:space="preserve">Литва предприе редица мерки за преодоляване и предотвратяване на измамите с ДДС. От октомври 2016 г. всички платци на ДДС в Литва са длъжни ежемесечно да въвеждат информация за фактурите по ДДС, които са получили и издали, в подсистемата за електронно фактуриране („i.SAF“) на интелигентната система за администриране („i.MAS“), което помага на органите да установят разликите между данните, декларирани от данъчно задължените лица по ДДС, и несвоевременно декларираните данъчни задължения. Освен това преди превоза на стоките на територията на Литва, в свързаната с електронните товарителници подсистема на i.MAS („i.VAZ“) трябва да се въведе информация относно документите за превоз на стоките, като се посочат превозваните стоки, изпращачите и получателите. Тази оперативна информация, събирана от Държавната данъчна инспекция, също се използва за откриване на потенциални случаи на измами или за бързо откриване на стоките, участващи във верига от сделки с цел измама. </w:t>
      </w:r>
    </w:p>
    <w:p>
      <w:pPr>
        <w:rPr>
          <w:noProof/>
          <w:szCs w:val="24"/>
        </w:rPr>
      </w:pPr>
      <w:r>
        <w:rPr>
          <w:noProof/>
        </w:rPr>
        <w:t xml:space="preserve">Въпреки всички въведени мерки за борба с измамите с ДДС, предоставената от Литва информация показва, че тези мерки не са достатъчни за предотвратяване на измамите с ДДС при доставката на електронни стоки. Литва счита за необходимо въвеждането на механизма за обратно начисляване в съответния сектор. </w:t>
      </w:r>
    </w:p>
    <w:p>
      <w:pPr>
        <w:pBdr>
          <w:top w:val="nil"/>
          <w:left w:val="nil"/>
          <w:bottom w:val="nil"/>
          <w:right w:val="nil"/>
          <w:between w:val="nil"/>
          <w:bar w:val="nil"/>
        </w:pBdr>
        <w:spacing w:before="0" w:after="240"/>
        <w:rPr>
          <w:rFonts w:eastAsia="Arial Unicode MS"/>
          <w:noProof/>
        </w:rPr>
      </w:pPr>
      <w:r>
        <w:rPr>
          <w:noProof/>
        </w:rPr>
        <w:t xml:space="preserve">Литва възнамерява да въведе механизма за обратно начисляване по отношение на електронните продукти на основание член 199а от Директивата за ДДС. Твърдите запаметяващи устройства обаче не са включени в посочения член. Литва твърди също така, че опитът на други държави членки показва, че след въвеждане на механизма за обратно начисляване по отношение на електронните стоки, обхванати от член 199а от Директивата за ДДС, измамата се прехвърля върху други електронни стоки. </w:t>
      </w:r>
    </w:p>
    <w:p>
      <w:pPr>
        <w:pBdr>
          <w:top w:val="nil"/>
          <w:left w:val="nil"/>
          <w:bottom w:val="nil"/>
          <w:right w:val="nil"/>
          <w:between w:val="nil"/>
          <w:bar w:val="nil"/>
        </w:pBdr>
        <w:spacing w:before="0" w:after="240"/>
        <w:rPr>
          <w:rFonts w:eastAsia="Arial Unicode MS"/>
          <w:noProof/>
        </w:rPr>
      </w:pPr>
      <w:r>
        <w:rPr>
          <w:noProof/>
        </w:rPr>
        <w:t xml:space="preserve">Затова Литва иска да ѝ бъде разрешено да въведе механизма за обратно начисляване и по отношение на твърдите запаметяващи устройства на основание член 395 от Директивата за ДДС. </w:t>
      </w:r>
    </w:p>
    <w:p>
      <w:pPr>
        <w:rPr>
          <w:noProof/>
        </w:rPr>
      </w:pPr>
      <w:r>
        <w:rPr>
          <w:noProof/>
        </w:rPr>
        <w:t xml:space="preserve">Като се има предвид потенциалното положително въздействие на мярката в борбата с установените от Литва измами, се предлага дерогацията да се предостави за ограничен период — от 1 март 2019 г. до 28 февруари 2022 г. През периода на прилагане на мярката за дерогация Литва следва да въведе други конвенционални мерки за ефективна борба и предотвратяване на измамите при доставките на твърди запаметяващи устройства. Следователно вече би трябвало да отпадне нуждата от дерогация от член 193 от Директивата за ДДС по отношение на доставките на твърди запаметяващи устройства. </w:t>
      </w:r>
    </w:p>
    <w:p>
      <w:pPr>
        <w:pStyle w:val="ManualHeading2"/>
        <w:rPr>
          <w:noProof/>
        </w:rPr>
      </w:pPr>
      <w:r>
        <w:rPr>
          <w:noProof/>
        </w:rPr>
        <w:tab/>
        <w:t>Съгласуваност с действащите разпоредби в тази област на политиката</w:t>
      </w:r>
    </w:p>
    <w:p>
      <w:pPr>
        <w:pBdr>
          <w:top w:val="nil"/>
          <w:left w:val="nil"/>
          <w:bottom w:val="nil"/>
          <w:right w:val="nil"/>
          <w:between w:val="nil"/>
          <w:bar w:val="nil"/>
        </w:pBdr>
        <w:spacing w:before="0" w:after="240"/>
        <w:rPr>
          <w:rFonts w:eastAsia="Arial Unicode MS"/>
          <w:noProof/>
        </w:rPr>
      </w:pPr>
      <w:r>
        <w:rPr>
          <w:noProof/>
        </w:rPr>
        <w:t>Подобни дерогации във връзка с член 193 от Директивата за ДДС са предоставени на други държави членки.</w:t>
      </w:r>
    </w:p>
    <w:p>
      <w:pPr>
        <w:pBdr>
          <w:top w:val="nil"/>
          <w:left w:val="nil"/>
          <w:bottom w:val="nil"/>
          <w:right w:val="nil"/>
          <w:between w:val="nil"/>
          <w:bar w:val="nil"/>
        </w:pBdr>
        <w:spacing w:before="0" w:after="240"/>
        <w:rPr>
          <w:rFonts w:eastAsia="Arial Unicode MS"/>
          <w:noProof/>
          <w:color w:val="000000" w:themeColor="text1"/>
        </w:rPr>
      </w:pPr>
      <w:r>
        <w:rPr>
          <w:noProof/>
        </w:rPr>
        <w:t xml:space="preserve">Следователно предложената мярка е съобразена с действащите разпоредби на Директивата за ДДС. </w:t>
      </w:r>
    </w:p>
    <w:p>
      <w:pPr>
        <w:pStyle w:val="ManualHeading1"/>
        <w:rPr>
          <w:noProof/>
        </w:rPr>
      </w:pPr>
      <w:r>
        <w:rPr>
          <w:noProof/>
        </w:rPr>
        <w:t>2.</w:t>
      </w:r>
      <w:r>
        <w:rPr>
          <w:noProof/>
        </w:rPr>
        <w:tab/>
        <w:t>ПРАВНО ОСНОВАНИЕ, СУБСИДИАРНОСТ И ПРОПОРЦИОНАЛНОСТ</w:t>
      </w:r>
    </w:p>
    <w:p>
      <w:pPr>
        <w:pStyle w:val="ManualHeading2"/>
        <w:rPr>
          <w:rFonts w:eastAsia="Arial Unicode MS"/>
          <w:noProof/>
          <w:u w:color="000000"/>
          <w:bdr w:val="nil"/>
        </w:rPr>
      </w:pPr>
      <w:r>
        <w:rPr>
          <w:noProof/>
        </w:rPr>
        <w:t>•</w:t>
      </w:r>
      <w:r>
        <w:rPr>
          <w:noProof/>
        </w:rPr>
        <w:tab/>
        <w:t>Правно основание</w:t>
      </w:r>
    </w:p>
    <w:p>
      <w:pPr>
        <w:rPr>
          <w:noProof/>
        </w:rPr>
      </w:pPr>
      <w:r>
        <w:rPr>
          <w:noProof/>
        </w:rPr>
        <w:t>Член 395 от Директивата за ДДС.</w:t>
      </w:r>
    </w:p>
    <w:p>
      <w:pPr>
        <w:pStyle w:val="ManualHeading2"/>
        <w:rPr>
          <w:rFonts w:eastAsia="Arial Unicode MS"/>
          <w:noProof/>
          <w:u w:color="000000"/>
          <w:bdr w:val="nil"/>
        </w:rPr>
      </w:pPr>
      <w:r>
        <w:rPr>
          <w:noProof/>
        </w:rPr>
        <w:t>•</w:t>
      </w:r>
      <w:r>
        <w:rPr>
          <w:noProof/>
        </w:rPr>
        <w:tab/>
        <w:t xml:space="preserve">Субсидиарност (извън областите на изключителна компетентност) </w:t>
      </w:r>
    </w:p>
    <w:p>
      <w:pPr>
        <w:rPr>
          <w:noProof/>
        </w:rPr>
      </w:pPr>
      <w:r>
        <w:rPr>
          <w:noProof/>
        </w:rPr>
        <w:t>Като се има предвид разпоредбата от Директивата за ДДС, на основание на която е съставено предложението, то е от изключителната компетентност на Съюза. Следователно принципът на субсидиарност не се прилага.</w:t>
      </w:r>
    </w:p>
    <w:p>
      <w:pPr>
        <w:pStyle w:val="ManualHeading2"/>
        <w:rPr>
          <w:rFonts w:eastAsia="Arial Unicode MS"/>
          <w:noProof/>
          <w:u w:color="000000"/>
          <w:bdr w:val="nil"/>
        </w:rPr>
      </w:pPr>
      <w:r>
        <w:rPr>
          <w:noProof/>
        </w:rPr>
        <w:t>•</w:t>
      </w:r>
      <w:r>
        <w:rPr>
          <w:noProof/>
        </w:rPr>
        <w:tab/>
        <w:t>Пропорционалност</w:t>
      </w:r>
    </w:p>
    <w:p>
      <w:pPr>
        <w:rPr>
          <w:noProof/>
        </w:rPr>
      </w:pPr>
      <w:r>
        <w:rPr>
          <w:noProof/>
        </w:rPr>
        <w:t>Решението се отнася до предоставяне на разрешение на държава членка по нейно искане и не представлява задължение.</w:t>
      </w:r>
    </w:p>
    <w:p>
      <w:pPr>
        <w:rPr>
          <w:noProof/>
        </w:rPr>
      </w:pPr>
      <w:r>
        <w:rPr>
          <w:noProof/>
        </w:rPr>
        <w:t xml:space="preserve">Предвид на ограничения обхват на дерогацията специалната мярка е пропорционална на поставената цел, а именно — предотвратяване на някои форми на отклонение от данъчно облагане и избягване на данъци в конкретен отрасъл. </w:t>
      </w:r>
    </w:p>
    <w:p>
      <w:pPr>
        <w:pStyle w:val="ManualHeading2"/>
        <w:rPr>
          <w:rFonts w:eastAsia="Arial Unicode MS"/>
          <w:noProof/>
          <w:u w:color="000000"/>
          <w:bdr w:val="nil"/>
        </w:rPr>
      </w:pPr>
      <w:r>
        <w:rPr>
          <w:noProof/>
        </w:rPr>
        <w:t>•</w:t>
      </w:r>
      <w:r>
        <w:rPr>
          <w:noProof/>
        </w:rPr>
        <w:tab/>
        <w:t>Избор на нормативен акт</w:t>
      </w:r>
    </w:p>
    <w:p>
      <w:pPr>
        <w:rPr>
          <w:noProof/>
        </w:rPr>
      </w:pPr>
      <w:r>
        <w:rPr>
          <w:noProof/>
        </w:rPr>
        <w:t>По силата на член 395 от Директивата за ДДС дерогация от общите правила за ДДС е възможна единствено след разрешение от Съвета, действащ с единодушие по предложение на Комисията. Освен това най-подходящият нормативен акт е решение за изпълнение на Съвета, тъй като негов адресат могат да бъдат отделните държави членки.</w:t>
      </w:r>
    </w:p>
    <w:p>
      <w:pPr>
        <w:pStyle w:val="ManualHeading1"/>
        <w:rPr>
          <w:noProof/>
        </w:rPr>
      </w:pPr>
      <w:r>
        <w:rPr>
          <w:noProof/>
        </w:rPr>
        <w:t>3.</w:t>
      </w:r>
      <w:r>
        <w:rPr>
          <w:noProof/>
        </w:rPr>
        <w:tab/>
        <w:t>РЕЗУЛТАТИ ОТ ПОСЛЕДВАЩИТЕ ОЦЕНКИ, КОНСУЛТАЦИИТЕ СЪС ЗАИНТЕРЕСОВАНИТЕ СТРАНИ И ОЦЕНКИТЕ НА ВЪЗДЕЙСТВИЕТО</w:t>
      </w:r>
    </w:p>
    <w:p>
      <w:pPr>
        <w:pStyle w:val="ManualHeading2"/>
        <w:rPr>
          <w:rFonts w:eastAsia="Arial Unicode MS"/>
          <w:noProof/>
          <w:u w:color="000000"/>
          <w:bdr w:val="nil"/>
        </w:rPr>
      </w:pPr>
      <w:r>
        <w:rPr>
          <w:noProof/>
        </w:rPr>
        <w:t>•</w:t>
      </w:r>
      <w:r>
        <w:rPr>
          <w:noProof/>
        </w:rPr>
        <w:tab/>
        <w:t>Консултации със заинтересованите страни</w:t>
      </w:r>
    </w:p>
    <w:p>
      <w:pPr>
        <w:rPr>
          <w:noProof/>
        </w:rPr>
      </w:pPr>
      <w:r>
        <w:rPr>
          <w:noProof/>
        </w:rPr>
        <w:t>Настоящото предложение се основава на искане, отправено от Литва, и засяга само тази държава членка.</w:t>
      </w:r>
    </w:p>
    <w:p>
      <w:pPr>
        <w:pStyle w:val="ManualHeading2"/>
        <w:rPr>
          <w:rFonts w:eastAsia="Arial Unicode MS"/>
          <w:noProof/>
          <w:u w:color="000000"/>
          <w:bdr w:val="nil"/>
        </w:rPr>
      </w:pPr>
      <w:r>
        <w:rPr>
          <w:noProof/>
        </w:rPr>
        <w:t>•</w:t>
      </w:r>
      <w:r>
        <w:rPr>
          <w:noProof/>
        </w:rPr>
        <w:tab/>
        <w:t>Събиране и използване на експертни становища</w:t>
      </w:r>
    </w:p>
    <w:p>
      <w:pPr>
        <w:rPr>
          <w:noProof/>
        </w:rPr>
      </w:pPr>
      <w:r>
        <w:rPr>
          <w:noProof/>
        </w:rPr>
        <w:t>Не бяха необходими външни експертни становища.</w:t>
      </w:r>
    </w:p>
    <w:p>
      <w:pPr>
        <w:pStyle w:val="ManualHeading2"/>
        <w:rPr>
          <w:rFonts w:eastAsia="Arial Unicode MS"/>
          <w:noProof/>
          <w:u w:color="000000"/>
          <w:bdr w:val="nil"/>
        </w:rPr>
      </w:pPr>
      <w:r>
        <w:rPr>
          <w:noProof/>
        </w:rPr>
        <w:t>•</w:t>
      </w:r>
      <w:r>
        <w:rPr>
          <w:noProof/>
        </w:rPr>
        <w:tab/>
        <w:t>Оценка на въздействието</w:t>
      </w:r>
    </w:p>
    <w:p>
      <w:pPr>
        <w:rPr>
          <w:noProof/>
        </w:rPr>
      </w:pPr>
      <w:r>
        <w:rPr>
          <w:noProof/>
        </w:rPr>
        <w:t xml:space="preserve">Решението за изпълнение се предлага с цел да се предотвратят някои форми на отклонение от данъчно облагане или избягване на данъци в сектора на твърдите запаметяващи устройства. Механизмът за обратно начисляване следва да помогне на Литва да предотврати измамите с ДДС в сектора на твърдите запаметяващи устройства. Следователно мярката за дерогация може да има положително въздействие. </w:t>
      </w:r>
    </w:p>
    <w:p>
      <w:pPr>
        <w:rPr>
          <w:noProof/>
        </w:rPr>
      </w:pPr>
      <w:r>
        <w:rPr>
          <w:noProof/>
        </w:rPr>
        <w:t>Поради тесния обхват на дерогацията и ограниченото ѝ прилагане във времето, отрицателното въздействие, изразяващо се в по-голяма административна тежест за предприятията, занимаващи се с електронни продукти, във всички случаи ще бъде ограничено.</w:t>
      </w:r>
    </w:p>
    <w:p>
      <w:pPr>
        <w:pStyle w:val="ManualHeading1"/>
        <w:rPr>
          <w:noProof/>
        </w:rPr>
      </w:pPr>
      <w:r>
        <w:rPr>
          <w:noProof/>
        </w:rPr>
        <w:t>4.</w:t>
      </w:r>
      <w:r>
        <w:rPr>
          <w:noProof/>
        </w:rPr>
        <w:tab/>
        <w:t>ОТРАЖЕНИЕ ВЪРХУ БЮДЖЕТА</w:t>
      </w:r>
    </w:p>
    <w:p>
      <w:pPr>
        <w:rPr>
          <w:noProof/>
        </w:rPr>
      </w:pPr>
      <w:r>
        <w:rPr>
          <w:noProof/>
        </w:rPr>
        <w:t>Предложението няма да има отрицателно въздействие върху собствените ресурси на Съюза, формирани от ДДС.</w:t>
      </w:r>
    </w:p>
    <w:p>
      <w:pPr>
        <w:pStyle w:val="ManualHeading1"/>
        <w:rPr>
          <w:noProof/>
        </w:rPr>
      </w:pPr>
      <w:r>
        <w:rPr>
          <w:noProof/>
        </w:rPr>
        <w:t>5.</w:t>
      </w:r>
      <w:r>
        <w:rPr>
          <w:noProof/>
        </w:rPr>
        <w:tab/>
        <w:t>ДРУГИ ЕЛЕМЕНТИ</w:t>
      </w:r>
    </w:p>
    <w:p>
      <w:pPr>
        <w:rPr>
          <w:noProof/>
        </w:rPr>
      </w:pPr>
      <w:r>
        <w:rPr>
          <w:noProof/>
        </w:rPr>
        <w:t>Предложението предвижда ограничен във времето срок на действие, който е до 28 февруари 2022 г.</w:t>
      </w:r>
    </w:p>
    <w:p>
      <w:pPr>
        <w:rPr>
          <w:noProof/>
        </w:rPr>
        <w:sectPr>
          <w:footerReference w:type="default" r:id="rId16"/>
          <w:footerReference w:type="first" r:id="rId17"/>
          <w:pgSz w:w="11907" w:h="16839"/>
          <w:pgMar w:top="1134" w:right="1417" w:bottom="1134" w:left="1417" w:header="709" w:footer="709" w:gutter="0"/>
          <w:pgNumType w:start="1"/>
          <w:cols w:space="708"/>
          <w:docGrid w:linePitch="360"/>
        </w:sectPr>
      </w:pPr>
    </w:p>
    <w:p>
      <w:pPr>
        <w:pStyle w:val="Rfrenceinterinstitutionnelle"/>
        <w:rPr>
          <w:noProof/>
        </w:rPr>
      </w:pPr>
      <w:r>
        <w:rPr>
          <w:noProof/>
        </w:rPr>
        <w:t>2019/0006 (NLE)</w:t>
      </w:r>
    </w:p>
    <w:p>
      <w:pPr>
        <w:pStyle w:val="Statut"/>
        <w:rPr>
          <w:noProof/>
        </w:rPr>
      </w:pPr>
      <w:r>
        <w:rPr>
          <w:noProof/>
        </w:rPr>
        <w:t>Предложение за</w:t>
      </w:r>
    </w:p>
    <w:p>
      <w:pPr>
        <w:pStyle w:val="Typedudocument"/>
        <w:rPr>
          <w:noProof/>
        </w:rPr>
      </w:pPr>
      <w:r>
        <w:rPr>
          <w:noProof/>
        </w:rPr>
        <w:t>РЕШЕНИЕ ЗА ИЗПЪЛНЕНИЕ НА СЪВЕТА</w:t>
      </w:r>
    </w:p>
    <w:p>
      <w:pPr>
        <w:pStyle w:val="Titreobjet"/>
        <w:rPr>
          <w:noProof/>
        </w:rPr>
      </w:pPr>
      <w:r>
        <w:rPr>
          <w:noProof/>
        </w:rPr>
        <w:t>за разрешаване на Литва да въведе специална мярка за дерогация от член 193 от Директива 2006/112/ЕО относно общата система на данъка върху добавената стойност</w:t>
      </w:r>
    </w:p>
    <w:p>
      <w:pPr>
        <w:pStyle w:val="Institutionquiagit"/>
        <w:rPr>
          <w:noProof/>
        </w:rPr>
      </w:pPr>
      <w:r>
        <w:rPr>
          <w:noProof/>
        </w:rPr>
        <w:t>СЪВЕТЪТ НА ЕВРОПЕЙСКИЯ СЪЮЗ,</w:t>
      </w:r>
    </w:p>
    <w:p>
      <w:pPr>
        <w:rPr>
          <w:noProof/>
        </w:rPr>
      </w:pPr>
      <w:r>
        <w:rPr>
          <w:noProof/>
        </w:rPr>
        <w:t xml:space="preserve">като взе предвид Договора за функционирането на Европейския съюз, </w:t>
      </w:r>
    </w:p>
    <w:p>
      <w:pPr>
        <w:rPr>
          <w:noProof/>
        </w:rPr>
      </w:pPr>
      <w:r>
        <w:rPr>
          <w:noProof/>
        </w:rPr>
        <w:t>като взе предвид Директива 2006/112/ЕО на Съвета от 28 ноември 2006 г. относно общата система на данъка върху добавената стойност</w:t>
      </w:r>
      <w:r>
        <w:rPr>
          <w:rStyle w:val="FootnoteReference"/>
          <w:noProof/>
        </w:rPr>
        <w:footnoteReference w:id="1"/>
      </w:r>
      <w:r>
        <w:rPr>
          <w:noProof/>
        </w:rPr>
        <w:t>, и по-специално член 395 от нея,</w:t>
      </w:r>
    </w:p>
    <w:p>
      <w:pPr>
        <w:rPr>
          <w:noProof/>
        </w:rPr>
      </w:pPr>
      <w:r>
        <w:rPr>
          <w:noProof/>
        </w:rPr>
        <w:t>като взе предвид предложението на Европейската комисия,</w:t>
      </w:r>
    </w:p>
    <w:p>
      <w:pPr>
        <w:rPr>
          <w:noProof/>
        </w:rPr>
      </w:pPr>
      <w:r>
        <w:rPr>
          <w:noProof/>
        </w:rPr>
        <w:t>като има предвид, че:</w:t>
      </w:r>
    </w:p>
    <w:p>
      <w:pPr>
        <w:pStyle w:val="ManualConsidrant"/>
        <w:rPr>
          <w:noProof/>
        </w:rPr>
      </w:pPr>
      <w:r>
        <w:t>(1)</w:t>
      </w:r>
      <w:r>
        <w:tab/>
      </w:r>
      <w:r>
        <w:rPr>
          <w:noProof/>
        </w:rPr>
        <w:t>Съгласно член 193 от Директива 2006/112/ЕО лице — платец на данъка върху добавената стойност (ДДС), в общия случай е данъчно задълженото лице, което доставя стоките или услугите.</w:t>
      </w:r>
    </w:p>
    <w:p>
      <w:pPr>
        <w:pStyle w:val="ManualConsidrant"/>
        <w:rPr>
          <w:noProof/>
        </w:rPr>
      </w:pPr>
      <w:r>
        <w:t>(2)</w:t>
      </w:r>
      <w:r>
        <w:tab/>
      </w:r>
      <w:r>
        <w:rPr>
          <w:noProof/>
        </w:rPr>
        <w:t xml:space="preserve">С писмо, заведено в Комисията на 16 октомври 2018 г., Литва поиска разрешение да въведе специална мярка за дерогация от член 193 от Директива 2006/112/EО, за да прилага механизма за обратно начисляване по отношение на доставките на твърди запаметяващи устройства. </w:t>
      </w:r>
    </w:p>
    <w:p>
      <w:pPr>
        <w:pStyle w:val="ManualConsidrant"/>
        <w:rPr>
          <w:noProof/>
        </w:rPr>
      </w:pPr>
      <w:r>
        <w:t>(3)</w:t>
      </w:r>
      <w:r>
        <w:tab/>
      </w:r>
      <w:r>
        <w:rPr>
          <w:noProof/>
        </w:rPr>
        <w:t>В съответствие с член 395, параграф 2, втора алинея от Директива 2006/112/EО Комисията осведоми другите държави членки с писма от 19 ноември 2018 г.</w:t>
      </w:r>
      <w:r>
        <w:rPr>
          <w:i/>
          <w:noProof/>
        </w:rPr>
        <w:t xml:space="preserve"> </w:t>
      </w:r>
      <w:r>
        <w:rPr>
          <w:noProof/>
        </w:rPr>
        <w:t>за отправеното от Литва искане. С писмо от 20 ноември 2018 г. Комисията уведоми Литва, че разполага с цялата информация, необходима за разглеждане на искането.</w:t>
      </w:r>
    </w:p>
    <w:p>
      <w:pPr>
        <w:pStyle w:val="ManualConsidrant"/>
        <w:rPr>
          <w:noProof/>
        </w:rPr>
      </w:pPr>
      <w:r>
        <w:t>(4)</w:t>
      </w:r>
      <w:r>
        <w:tab/>
      </w:r>
      <w:r>
        <w:rPr>
          <w:noProof/>
        </w:rPr>
        <w:t xml:space="preserve">Литва откри измами с ДДС, свързани с липсващи търговци, в сектора на електронните стоки като преносими компютри, мобилни телефони, таблети и твърди запаметяващи устройства. Мащабът и обхватът на тази практика имат пряко и силно отрицателно въздействие върху държавния бюджет. </w:t>
      </w:r>
    </w:p>
    <w:p>
      <w:pPr>
        <w:pStyle w:val="ManualConsidrant"/>
        <w:rPr>
          <w:noProof/>
        </w:rPr>
      </w:pPr>
      <w:r>
        <w:t>(5)</w:t>
      </w:r>
      <w:r>
        <w:tab/>
      </w:r>
      <w:r>
        <w:rPr>
          <w:noProof/>
        </w:rPr>
        <w:t>Литва предприе редица мерки за преодоляване и предотвратяване на измамите с ДДС. Според Литва посочените мерки не са достатъчни за предотвратяване на измамите с ДДС при доставката на електронни стоки.</w:t>
      </w:r>
    </w:p>
    <w:p>
      <w:pPr>
        <w:pStyle w:val="ManualConsidrant"/>
        <w:rPr>
          <w:noProof/>
        </w:rPr>
      </w:pPr>
      <w:r>
        <w:t>(6)</w:t>
      </w:r>
      <w:r>
        <w:tab/>
      </w:r>
      <w:r>
        <w:rPr>
          <w:noProof/>
        </w:rPr>
        <w:t xml:space="preserve">Литва възнамерява да въведе механизма за обратно начисляване по отношение на електронните продукти на основание член 199а от Директива 2006/112/EО. Твърдите запаметяващи устройства обаче не са включени в посочения член. </w:t>
      </w:r>
    </w:p>
    <w:p>
      <w:pPr>
        <w:pStyle w:val="ManualConsidrant"/>
        <w:rPr>
          <w:noProof/>
        </w:rPr>
      </w:pPr>
      <w:r>
        <w:t>(7)</w:t>
      </w:r>
      <w:r>
        <w:tab/>
      </w:r>
      <w:r>
        <w:rPr>
          <w:noProof/>
        </w:rPr>
        <w:t xml:space="preserve">С цел да се осигури по-всеобхватна форма на механизма за обратно начисляване, която да се прилага не само по отношение на електронните продукти, разрешени по член 199а от Директива 2006/112/EО, но и по отношение на твърдите запаметяващи устройства, Литва иска да ѝ бъде разрешено да въведе механизма за обратно начисляване по отношение на доставките на твърди запаметяващи устройства на основание член 395 от същата директива. </w:t>
      </w:r>
    </w:p>
    <w:p>
      <w:pPr>
        <w:pStyle w:val="ManualConsidrant"/>
        <w:rPr>
          <w:noProof/>
        </w:rPr>
      </w:pPr>
      <w:r>
        <w:t>(8)</w:t>
      </w:r>
      <w:r>
        <w:tab/>
      </w:r>
      <w:r>
        <w:rPr>
          <w:noProof/>
        </w:rPr>
        <w:t xml:space="preserve">Като се има предвид евентуалното положително въздействие на специалната мярка в борбата с установените от Литва измами, дерогацията следва да се предостави за ограничен период — от 1 март 2019 г. до 28 февруари 2022 г. </w:t>
      </w:r>
    </w:p>
    <w:p>
      <w:pPr>
        <w:pStyle w:val="ManualConsidrant"/>
        <w:rPr>
          <w:noProof/>
        </w:rPr>
      </w:pPr>
      <w:r>
        <w:t>(9)</w:t>
      </w:r>
      <w:r>
        <w:tab/>
      </w:r>
      <w:r>
        <w:rPr>
          <w:noProof/>
        </w:rPr>
        <w:t xml:space="preserve">По начало дерогациите се разрешават за ограничен период, за да може да се прецени дали мярката за дерогация е подходяща и ефективна. При разрешаването на дерогации на държавите членки се осигурява достатъчно време за въвеждане на други конвенционални мерки за преодоляване на съответния проблем до изтичането на срока на действие на мярката за дерогация, което би направило удължаването на срока излишно. Дерогация за използване на механизма за обратно начисляване се разрешава само по изключение за определени области с повече измами и се употребява в краен случай. Поради това Литва следва да въведе други конвенционални мерки за борба и предотвратяване на измамите с ДДС в сектора на твърдите запаметяващи устройства до изтичането на срока на действие на тази дерогация и съответно вече би трябвало да отпадне нуждата от дерогация от член 193 от Директива 2006/112/ЕО по отношение на доставките на твърди запаметяващи устройства. </w:t>
      </w:r>
    </w:p>
    <w:p>
      <w:pPr>
        <w:pStyle w:val="ManualConsidrant"/>
        <w:rPr>
          <w:noProof/>
        </w:rPr>
      </w:pPr>
      <w:r>
        <w:t>(10)</w:t>
      </w:r>
      <w:r>
        <w:tab/>
      </w:r>
      <w:r>
        <w:rPr>
          <w:noProof/>
        </w:rPr>
        <w:t>Специалната мярка няма да има отрицателно въздействие върху собствените ресурси на Съюза, формирани от ДДС,</w:t>
      </w:r>
    </w:p>
    <w:p>
      <w:pPr>
        <w:pStyle w:val="Formuledadoption"/>
        <w:rPr>
          <w:noProof/>
        </w:rPr>
      </w:pPr>
      <w:r>
        <w:rPr>
          <w:noProof/>
        </w:rPr>
        <w:t xml:space="preserve">ПРИЕ НАСТОЯЩОТО РЕШЕНИЕ: </w:t>
      </w:r>
    </w:p>
    <w:p>
      <w:pPr>
        <w:pStyle w:val="Titrearticle"/>
        <w:rPr>
          <w:noProof/>
        </w:rPr>
      </w:pPr>
      <w:r>
        <w:rPr>
          <w:noProof/>
        </w:rPr>
        <w:t>Член 1</w:t>
      </w:r>
    </w:p>
    <w:p>
      <w:pPr>
        <w:rPr>
          <w:noProof/>
        </w:rPr>
      </w:pPr>
      <w:r>
        <w:rPr>
          <w:noProof/>
        </w:rPr>
        <w:t xml:space="preserve">Чрез дерогация от член 193 от Директива 2006/112/ЕО се разрешава на Литва при доставките на твърди запаметяващи устройства да определя получателя за лице — платец на ДДС. </w:t>
      </w:r>
    </w:p>
    <w:p>
      <w:pPr>
        <w:pStyle w:val="Titrearticle"/>
        <w:rPr>
          <w:noProof/>
          <w:color w:val="000000" w:themeColor="text1"/>
        </w:rPr>
      </w:pPr>
      <w:r>
        <w:rPr>
          <w:noProof/>
        </w:rPr>
        <w:t>Член 2</w:t>
      </w:r>
    </w:p>
    <w:p>
      <w:pPr>
        <w:rPr>
          <w:noProof/>
        </w:rPr>
      </w:pPr>
      <w:r>
        <w:rPr>
          <w:noProof/>
        </w:rPr>
        <w:t xml:space="preserve">Настоящото решение се прилага от 1 март 2019 г. и изтича на 28 февруари 2022 г. </w:t>
      </w:r>
    </w:p>
    <w:p>
      <w:pPr>
        <w:pStyle w:val="Titrearticle"/>
        <w:rPr>
          <w:noProof/>
        </w:rPr>
      </w:pPr>
      <w:r>
        <w:rPr>
          <w:noProof/>
        </w:rPr>
        <w:t>Член 3</w:t>
      </w:r>
    </w:p>
    <w:p>
      <w:pPr>
        <w:keepNext/>
        <w:keepLines/>
        <w:rPr>
          <w:noProof/>
        </w:rPr>
      </w:pPr>
      <w:r>
        <w:rPr>
          <w:noProof/>
          <w:color w:val="000000"/>
        </w:rPr>
        <w:t>Адресат на настоящото решение е Република Литва</w:t>
      </w:r>
      <w:r>
        <w:t>.</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ab/>
        <w:t>За Съвета</w:t>
      </w:r>
    </w:p>
    <w:p>
      <w:pPr>
        <w:pStyle w:val="Personnequisigne"/>
        <w:rPr>
          <w:noProof/>
        </w:rPr>
      </w:pPr>
      <w:r>
        <w:rPr>
          <w:noProof/>
        </w:rPr>
        <w:tab/>
        <w:t>Председател</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ОВ 347, 11.12.2006 г., стр.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2F0076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8CA6ABA"/>
    <w:lvl w:ilvl="0">
      <w:start w:val="1"/>
      <w:numFmt w:val="decimal"/>
      <w:pStyle w:val="ListNumber3"/>
      <w:lvlText w:val="%1."/>
      <w:lvlJc w:val="left"/>
      <w:pPr>
        <w:tabs>
          <w:tab w:val="num" w:pos="926"/>
        </w:tabs>
        <w:ind w:left="926" w:hanging="360"/>
      </w:pPr>
    </w:lvl>
  </w:abstractNum>
  <w:abstractNum w:abstractNumId="2">
    <w:nsid w:val="FFFFFF7F"/>
    <w:multiLevelType w:val="singleLevel"/>
    <w:tmpl w:val="C0785A10"/>
    <w:lvl w:ilvl="0">
      <w:start w:val="1"/>
      <w:numFmt w:val="decimal"/>
      <w:pStyle w:val="ListNumber2"/>
      <w:lvlText w:val="%1."/>
      <w:lvlJc w:val="left"/>
      <w:pPr>
        <w:tabs>
          <w:tab w:val="num" w:pos="643"/>
        </w:tabs>
        <w:ind w:left="643" w:hanging="360"/>
      </w:pPr>
    </w:lvl>
  </w:abstractNum>
  <w:abstractNum w:abstractNumId="3">
    <w:nsid w:val="FFFFFF81"/>
    <w:multiLevelType w:val="singleLevel"/>
    <w:tmpl w:val="D6B210B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5502E3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F5A342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66E56DE"/>
    <w:lvl w:ilvl="0">
      <w:start w:val="1"/>
      <w:numFmt w:val="decimal"/>
      <w:pStyle w:val="ListNumber"/>
      <w:lvlText w:val="%1."/>
      <w:lvlJc w:val="left"/>
      <w:pPr>
        <w:tabs>
          <w:tab w:val="num" w:pos="360"/>
        </w:tabs>
        <w:ind w:left="360" w:hanging="360"/>
      </w:pPr>
    </w:lvl>
  </w:abstractNum>
  <w:abstractNum w:abstractNumId="7">
    <w:nsid w:val="FFFFFF89"/>
    <w:multiLevelType w:val="singleLevel"/>
    <w:tmpl w:val="627CA97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15 09:14:4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4F1DD3C-2F17-4BA4-83E9-4151C3DF13F6"/>
    <w:docVar w:name="LW_COVERPAGE_TYPE" w:val="1"/>
    <w:docVar w:name="LW_CROSSREFERENCE" w:val="&lt;UNUSED&gt;"/>
    <w:docVar w:name="LW_DocType" w:val="COM"/>
    <w:docVar w:name="LW_EMISSION" w:val="21.1.2019"/>
    <w:docVar w:name="LW_EMISSION_ISODATE" w:val="2019-01-21"/>
    <w:docVar w:name="LW_EMISSION_LOCATION" w:val="BRX"/>
    <w:docVar w:name="LW_EMISSION_PREFIX" w:val="Брюксел, "/>
    <w:docVar w:name="LW_EMISSION_SUFFIX" w:val=" \u1075?."/>
    <w:docVar w:name="LW_ID_DOCMODEL" w:val="SJ-020"/>
    <w:docVar w:name="LW_ID_DOCSIGNATURE" w:val="SJ-020"/>
    <w:docVar w:name="LW_ID_DOCSTRUCTURE" w:val="COM/PL/ORG"/>
    <w:docVar w:name="LW_ID_DOCTYPE" w:val="SJ-020"/>
    <w:docVar w:name="LW_ID_STATUT" w:val="SJ-020"/>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NLE"/>
    <w:docVar w:name="LW_REF.II.NEW.CP_NUMBER" w:val="0006"/>
    <w:docVar w:name="LW_REF.II.NEW.CP_YEAR" w:val="2019"/>
    <w:docVar w:name="LW_REF.INST.NEW" w:val="COM"/>
    <w:docVar w:name="LW_REF.INST.NEW_ADOPTED" w:val="final"/>
    <w:docVar w:name="LW_REF.INST.NEW_TEXT" w:val="(2019) 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79?\u1072? \u1088?\u1072?\u1079?\u1088?\u1077?\u1096?\u1072?\u1074?\u1072?\u1085?\u1077? \u1085?\u1072? \u1051?\u1080?\u1090?\u1074?\u1072? \u1076?\u1072? \u1074?\u1098?\u1074?\u1077?\u1076?\u1077? \u1089?\u1087?\u1077?\u1094?\u1080?\u1072?\u1083?\u1085?\u1072? \u1084?\u1103?\u1088?\u1082?\u1072? \u1079?\u1072? \u1076?\u1077?\u1088?\u1086?\u1075?\u1072?\u1094?\u1080?\u1103? \u1086?\u1090? \u1095?\u1083?\u1077?\u1085? 193 \u1086?\u1090? \u1044?\u1080?\u1088?\u1077?\u1082?\u1090?\u1080?\u1074?\u1072? 2006/112/\u1045?\u1054? \u1086?\u1090?\u1085?\u1086?\u1089?\u1085?\u1086? \u1086?\u1073?\u1097?\u1072?\u1090?\u1072? \u1089?\u1080?\u1089?\u1090?\u1077?\u1084?\u1072? \u1085?\u1072? \u1076?\u1072?\u1085?\u1098?\u1082?\u1072? \u1074?\u1098?\u1088?\u1093?\u1091? \u1076?\u1086?\u1073?\u1072?\u1074?\u1077?\u1085?\u1072?\u1090?\u1072? \u1089?\u1090?\u1086?\u1081?\u1085?\u1086?\u1089?\u1090?"/>
    <w:docVar w:name="LW_TYPE.DOC.CP" w:val="\u1056?\u1045?\u1064?\u1045?\u1053?\u1048?\u1045? \u1047?\u1040? \u1048?\u1047?\u1055?\u1066?\u1051?\u1053?\u1045?\u1053?\u1048?\u1045?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C4BF5-4A9E-4FB5-8CA4-2D67E8326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6</Pages>
  <Words>1749</Words>
  <Characters>9939</Characters>
  <Application>Microsoft Office Word</Application>
  <DocSecurity>0</DocSecurity>
  <Lines>194</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2018-12-07T11:26:00Z</cp:lastPrinted>
  <dcterms:created xsi:type="dcterms:W3CDTF">2019-01-14T14:45:00Z</dcterms:created>
  <dcterms:modified xsi:type="dcterms:W3CDTF">2019-01-15T08:14:00Z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6.0.1, Build 20180503</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SJ-020</vt:lpwstr>
  </property>
  <property fmtid="{D5CDD505-2E9C-101B-9397-08002B2CF9AE}" pid="9" name="Level of sensitivity">
    <vt:lpwstr>Standard treatment</vt:lpwstr>
  </property>
  <property fmtid="{D5CDD505-2E9C-101B-9397-08002B2CF9AE}" pid="10" name="DQCStatus">
    <vt:lpwstr>Green (DQC version 03)</vt:lpwstr>
  </property>
</Properties>
</file>