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42903A-FDE6-4BF9-833A-CBFC0682E88D"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 xml:space="preserve">BAGGRUND FOR HENSTILLINGEN </w:t>
      </w:r>
    </w:p>
    <w:p>
      <w:pPr>
        <w:pStyle w:val="ManualHeading2"/>
        <w:rPr>
          <w:noProof/>
        </w:rPr>
      </w:pPr>
      <w:r>
        <w:rPr>
          <w:noProof/>
        </w:rPr>
        <w:t>•</w:t>
      </w:r>
      <w:r>
        <w:rPr>
          <w:noProof/>
        </w:rPr>
        <w:tab/>
        <w:t>Henstillingens begrundelse og formål</w:t>
      </w:r>
    </w:p>
    <w:p>
      <w:pPr>
        <w:spacing w:before="100" w:beforeAutospacing="1" w:after="100" w:afterAutospacing="1"/>
        <w:rPr>
          <w:noProof/>
        </w:rPr>
      </w:pPr>
      <w:r>
        <w:rPr>
          <w:noProof/>
        </w:rPr>
        <w:t xml:space="preserve">Den 25. juli 2018 enedes formanden for Europa-Kommissionen og præsidenten for Amerikas Forenede Stater om at indlede en ny fase i handelsforbindelserne mellem De Forenede Stater og Den Europæiske Union med henblik på at lette samhandelen og undgå en optrapning af de handelsmæssige spændinger. I den fælles erklæring blev der nedsat en arbejdsgruppe, som bl.a. skal overveje foranstaltninger til at reducere administrative hindringer og omkostninger, samtidig med at det høje beskyttelsesniveau for begge parter bevares. </w:t>
      </w:r>
    </w:p>
    <w:p>
      <w:pPr>
        <w:spacing w:before="100" w:beforeAutospacing="1" w:after="100" w:afterAutospacing="1"/>
        <w:rPr>
          <w:noProof/>
        </w:rPr>
      </w:pPr>
      <w:r>
        <w:rPr>
          <w:noProof/>
        </w:rPr>
        <w:t>Denne henstilling om indledning af forhandlinger med De Forenede Stater er en del af en større pakke af foranstaltninger, der har til formål at forbedre samarbejdet mellem Den Europæiske Union og De Forenede Stater om reguleringsspørgsmål og anvendelsen af standarder til støtte for regulering. Der skal i henhold til henstillingen udarbejdes udkast til forhandlingsdirektiver med henblik på at lette samhandelen og dermed øge handelsstrømmene med industrivarer mellem Den Europæiske Union og De Forenede Stater gennem en reduktion af omkostningerne ved overensstemmelsesvurdering på en gensidig og afbalanceret måde.</w:t>
      </w:r>
    </w:p>
    <w:p>
      <w:pPr>
        <w:spacing w:before="100" w:beforeAutospacing="1" w:after="100" w:afterAutospacing="1"/>
        <w:rPr>
          <w:noProof/>
        </w:rPr>
      </w:pPr>
      <w:r>
        <w:rPr>
          <w:noProof/>
        </w:rPr>
        <w:t xml:space="preserve">EU og USA er de største og mest integrerede økonomier i verden med en lang fælles handelshistorie og en økonomisk udvikling af samme størrelsesorden. USA er det største eksportmarked for EU's eksport af industrivarer og er den næststørste eksportør af industrivarer til EU (efter Kina). Varehandelen mellem EU og USA beløb sig til 633 mia. EUR i 2017, og bestod hovedsagelig af industrivarer (598 mia. EUR, hovedsagelig bestående af 166 mia. EUR i handel med maskiner og udstyr). I EU er ca. 4,7 mio. arbejdspladser knyttet til produktionen i forbindelse med eksport til USA. Industrivarer tegner sig for størstedelen af vores varehandel med USA (94 % af EU's eksport og 95 % af importen). Varehandelen mellem EU og USA har været støt stigende i de seneste 10 år. På baggrund af disse vigtige handelsstrømme vil de økonomiske aktører på begge sider af Atlanten kunne drage stor fordel af fjernelsen af overlappende prøvnings-, inspektions- og certificeringskrav, hvilket vil mindske virksomhedernes omkostninger i forbindelse med adgang til de respektive markeder. </w:t>
      </w:r>
    </w:p>
    <w:p>
      <w:pPr>
        <w:spacing w:before="100" w:beforeAutospacing="1" w:after="100" w:afterAutospacing="1"/>
        <w:rPr>
          <w:noProof/>
        </w:rPr>
      </w:pPr>
      <w:r>
        <w:rPr>
          <w:noProof/>
        </w:rPr>
        <w:t xml:space="preserve">Den Europæiske Union og De Forenede Stater har hver deres metoder til overensstemmelsesvurdering for at sikre, at fabrikanterne kun kan bringe en vare i omsætning, når den opfylder alle gældende krav for at sikre, at farlige produkter eller produkter, der på anden vis ikke opfylder kravene, ikke finder vej til deres respektive markeder. Disse metoder kan omfatte prøvning, inspektion og certificering. Forskelle i metoder til overensstemmelsesvurdering kan resultere i yderligere omkostninger og langvarige og komplekse administrative processer uden nødvendigvis at forbedre produkternes sikkerhed. I tilfælde af obligatorisk overensstemmelsesvurdering foretaget af en tredjepart (ca. 70 % af tilfældene i USA) kan samhandelen lettes ved at give eksportører mulighed for ansøge om certificering i eksportlandet med henblik på at dokumentere, at de overholder de gældende regler i importlandet.  I henhold til den eksisterende aftale om gensidig anerkendelse, som blev indgået mellem EU og USA i 1998, findes denne mulighed dog kun for visse sektorer, og den fungerer ikke ordentligt for alle de sektorer, der er omfattet af aftalen. Omkostningerne ved overensstemmelsesvurdering kan således være betydelige for EU's eksport, navnlig i nøglesektorer som maskiner og udstyr. </w:t>
      </w:r>
    </w:p>
    <w:p>
      <w:pPr>
        <w:rPr>
          <w:noProof/>
        </w:rPr>
      </w:pPr>
      <w:r>
        <w:rPr>
          <w:noProof/>
        </w:rPr>
        <w:lastRenderedPageBreak/>
        <w:t>Reduktionen i omkostningerne til overensstemmelsesvurdering kan medføre betydelige økonomiske fordele, navnlig for små og mellemstore virksomheder (SMV'er), som rammes uforholdsmæssigt hårdt af dem. På grund af deres størrelse er det ofte meget vanskeligere for SMV'er at håndtere handelshindringer end for større virksomheder. De mangler ofte kapacitet og/eller ressourcer til at håndtere forskelle i produktkrav og gældende procedurer for overensstemmelsesvurdering og har svært ved at finde de relevante oplysninger. En reduktion i antallet af hindringer i forbindelse med overensstemmelsesvurdering kan derfor være særlig gavnlig for eksporterende SMV'er i fremstillingsindustrien. De vil sandsynligvis opnå en forholdsmæssig større fordel ved de lavere handelsomkostninger. Lavere handelsomkostninger kan undertiden være afgørende for om man vælger at eksportere eller ej.</w:t>
      </w:r>
    </w:p>
    <w:p>
      <w:pPr>
        <w:pBdr>
          <w:top w:val="nil"/>
          <w:left w:val="nil"/>
          <w:bottom w:val="nil"/>
          <w:right w:val="nil"/>
          <w:between w:val="nil"/>
          <w:bar w:val="nil"/>
        </w:pBdr>
        <w:spacing w:before="0" w:after="240"/>
        <w:rPr>
          <w:noProof/>
        </w:rPr>
      </w:pPr>
      <w:r>
        <w:rPr>
          <w:noProof/>
        </w:rPr>
        <w:t xml:space="preserve">Det kræver en international aftale at fremme accepten af overensstemmelsesvurderingsresultater, således at overensstemmelsesvurderingsorganer, som ikke er etableret på EU's område, kan bekræfte, at et produkt er i overensstemmelse med den relevante EU-lovgivning, når de relevante krav er opfyldt. I denne henstilling foreslås det derfor at indlede forhandlinger med USA med henblik på at reducere omkostningerne til overensstemmelsesvurdering for økonomiske aktører på begge sider af Atlanten ved at nå til enighed om accept af resultaterne af overensstemmelsesvurdering udført af overensstemmelsesvurderingsorganer, der er etableret på den eksporterende parts område i overensstemmelse med den importerende parts tekniske krav. </w:t>
      </w:r>
    </w:p>
    <w:p>
      <w:pPr>
        <w:pStyle w:val="ManualHeading2"/>
        <w:rPr>
          <w:noProof/>
        </w:rPr>
      </w:pPr>
      <w:r>
        <w:rPr>
          <w:noProof/>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Henstillingens anvendelsesområde er begrænset til gennemførelsen af den del af fælleserklæringen af 25. juli 2018, der skal forbedre handelen med varer ved at fremme anerkendelsen af overensstemmelsesvurderingsresultater, samtidig med at det sikres, at det høje beskyttelsesniveau bevares til fulde. Målet er at lette handelen og mindske de handelsmæssige spændinger mellem EU og USA, hvilket er i fuld overensstemmelse med traktaten om Den Europæiske Union (TEU), hvori det fastslås, at EU bør tilskynde til alle landes integration i den internationale økonomi, herunder gennem gradvis afskaffelse af hindringer for international handel</w:t>
      </w:r>
      <w:r>
        <w:rPr>
          <w:rStyle w:val="FootnoteReference"/>
          <w:noProof/>
        </w:rPr>
        <w:footnoteReference w:id="1"/>
      </w:r>
      <w:r>
        <w:rPr>
          <w:noProof/>
        </w:rPr>
        <w:t xml:space="preserve">. </w:t>
      </w:r>
    </w:p>
    <w:p>
      <w:pPr>
        <w:pStyle w:val="ManualHeading2"/>
        <w:rPr>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 xml:space="preserve">Henstillingen er i overensstemmelse med andre EU-politikker. </w:t>
      </w:r>
    </w:p>
    <w:p>
      <w:pPr>
        <w:pStyle w:val="ManualHeading1"/>
        <w:rPr>
          <w:noProof/>
        </w:rPr>
      </w:pPr>
      <w:r>
        <w:rPr>
          <w:noProof/>
        </w:rPr>
        <w:t>2.</w:t>
      </w:r>
      <w:r>
        <w:rPr>
          <w:noProof/>
        </w:rPr>
        <w:tab/>
        <w:t>RETSGRUNDLAG, NÆRHEDSPRINCIPPET OG PROPORTIONALITETSPRINCIPPET</w:t>
      </w:r>
    </w:p>
    <w:p>
      <w:pPr>
        <w:pStyle w:val="ManualHeading2"/>
        <w:rPr>
          <w:noProof/>
        </w:rPr>
      </w:pPr>
      <w:r>
        <w:rPr>
          <w:noProof/>
        </w:rPr>
        <w:tab/>
        <w:t>Retsgrundlag</w:t>
      </w:r>
    </w:p>
    <w:p>
      <w:pPr>
        <w:pBdr>
          <w:top w:val="nil"/>
          <w:left w:val="nil"/>
          <w:bottom w:val="nil"/>
          <w:right w:val="nil"/>
          <w:between w:val="nil"/>
          <w:bar w:val="nil"/>
        </w:pBdr>
        <w:spacing w:before="0" w:after="240"/>
        <w:rPr>
          <w:noProof/>
        </w:rPr>
      </w:pPr>
      <w:r>
        <w:rPr>
          <w:noProof/>
        </w:rPr>
        <w:t>Artikel 207, stk. 3 og 4, første afsnit, sammenholdt med artikel 218, stk. 3 og 4, i traktaten om Den Europæiske Unions funktionsmåde (TEUF).</w:t>
      </w:r>
    </w:p>
    <w:p>
      <w:pPr>
        <w:pStyle w:val="ManualHeading2"/>
        <w:rPr>
          <w:noProof/>
        </w:rPr>
      </w:pP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I henhold til artikel 5, stk. 3, i TEU finder nærhedsprincippet ikke anvendelse på de områder, hvor Unionen har enekompetence. Den fælles handelspolitik er et af de områder, hvor Unionen har enekompetence, jf. artikel 3 i TEUF. Denne politik omfatter forhandlinger om handelsaftaler, jf. bl.a. artikel 207 i TEUF.</w:t>
      </w:r>
    </w:p>
    <w:p>
      <w:pPr>
        <w:pStyle w:val="ManualHeading2"/>
        <w:rPr>
          <w:noProof/>
        </w:rPr>
      </w:pPr>
      <w:r>
        <w:rPr>
          <w:noProof/>
        </w:rPr>
        <w:lastRenderedPageBreak/>
        <w:tab/>
        <w:t>Proportionalitetsprincippet</w:t>
      </w:r>
    </w:p>
    <w:p>
      <w:pPr>
        <w:pBdr>
          <w:top w:val="nil"/>
          <w:left w:val="nil"/>
          <w:bottom w:val="nil"/>
          <w:right w:val="nil"/>
          <w:between w:val="nil"/>
          <w:bar w:val="nil"/>
        </w:pBdr>
        <w:spacing w:before="0" w:after="240"/>
        <w:rPr>
          <w:noProof/>
        </w:rPr>
      </w:pPr>
      <w:r>
        <w:rPr>
          <w:noProof/>
        </w:rPr>
        <w:t xml:space="preserve">Kommissionens henstilling er i overensstemmelse med proportionalitetsprincippet og er nødvendig i lyset af EU's målsætning om at mindske de handelsmæssige spændinger med USA. </w:t>
      </w:r>
    </w:p>
    <w:p>
      <w:pPr>
        <w:pStyle w:val="ManualHeading2"/>
        <w:rPr>
          <w:noProof/>
        </w:rPr>
      </w:pPr>
      <w:r>
        <w:rPr>
          <w:noProof/>
        </w:rPr>
        <w:tab/>
        <w:t>Valg af retsakt</w:t>
      </w:r>
    </w:p>
    <w:p>
      <w:pPr>
        <w:pBdr>
          <w:top w:val="nil"/>
          <w:left w:val="nil"/>
          <w:bottom w:val="nil"/>
          <w:right w:val="nil"/>
          <w:between w:val="nil"/>
          <w:bar w:val="nil"/>
        </w:pBdr>
        <w:spacing w:before="0" w:after="240"/>
        <w:rPr>
          <w:noProof/>
        </w:rPr>
      </w:pPr>
      <w:r>
        <w:rPr>
          <w:noProof/>
        </w:rPr>
        <w:t xml:space="preserve">Afgørelse vedtaget af Rådet for Den Europæiske Union. </w:t>
      </w:r>
    </w:p>
    <w:p>
      <w:pPr>
        <w:pStyle w:val="ManualHeading1"/>
        <w:rPr>
          <w:noProof/>
        </w:rPr>
      </w:pPr>
      <w:r>
        <w:rPr>
          <w:noProof/>
        </w:rPr>
        <w:t>2.</w:t>
      </w:r>
      <w:r>
        <w:rPr>
          <w:noProof/>
        </w:rPr>
        <w:tab/>
        <w:t>RESULTATER AF EFTERFØLGENDE EVALUERINGER, HØRINGER AF INTERESSEREDE PARTER OG KONSEKVENSANALYSER</w:t>
      </w:r>
    </w:p>
    <w:p>
      <w:pPr>
        <w:pStyle w:val="ManualHeading2"/>
        <w:rPr>
          <w:noProof/>
        </w:rPr>
      </w:pP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Ikke relevant</w:t>
      </w:r>
    </w:p>
    <w:p>
      <w:pPr>
        <w:pStyle w:val="ManualHeading2"/>
        <w:rPr>
          <w:noProof/>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 xml:space="preserve">Siden 2012 har der været afholdt flere høringer af interesserede parter i form af høringer og dialogmøder med civilsamfundet for at overveje mulige fordele ved et tættere reguleringssamarbejde mellem EU og USA. Dette er et supplement til offentlige debatter i eller organiseret af Europa-Parlamentet og EU's medlemsstater. </w:t>
      </w:r>
    </w:p>
    <w:p>
      <w:pPr>
        <w:pBdr>
          <w:top w:val="nil"/>
          <w:left w:val="nil"/>
          <w:bottom w:val="nil"/>
          <w:right w:val="nil"/>
          <w:between w:val="nil"/>
          <w:bar w:val="nil"/>
        </w:pBdr>
        <w:spacing w:before="0" w:after="240"/>
        <w:rPr>
          <w:noProof/>
        </w:rPr>
      </w:pPr>
      <w:r>
        <w:rPr>
          <w:noProof/>
        </w:rPr>
        <w:t>I forbindelse med denne henstilling vil der snarest blive indledt en ny runde af høringer af interesserede parter om eventuelle reguleringsmæssige samarbejdsinitiativer med USA, der omfatter offentliggørelsen af en køreplan med en strategi for høring af interesserede parter (med mulighed for feedback fra interesserede parter inden for en periode på fire uger).</w:t>
      </w:r>
    </w:p>
    <w:p>
      <w:pPr>
        <w:pBdr>
          <w:top w:val="nil"/>
          <w:left w:val="nil"/>
          <w:bottom w:val="nil"/>
          <w:right w:val="nil"/>
          <w:between w:val="nil"/>
          <w:bar w:val="nil"/>
        </w:pBdr>
        <w:spacing w:before="0" w:after="240"/>
        <w:rPr>
          <w:noProof/>
        </w:rPr>
      </w:pPr>
      <w:r>
        <w:rPr>
          <w:noProof/>
        </w:rPr>
        <w:t xml:space="preserve">Resultaterne af høringerne vil blive gengivet i en kort sammenfattende rapport. Kommissionen vil også give en reaktion på de vigtigste anbefalinger fra de interesserede parter. Høringen vil ikke være begrænset til spørgsmålet om overensstemmelsesvurdering, men vil også sigte mod at identificere andre initiativer med USA, som kan medføre betydelige fordele, samtidig med at de eksisterende beskyttelsesniveauer opretholdes - eller endda forbedres. </w:t>
      </w:r>
    </w:p>
    <w:p>
      <w:pPr>
        <w:pStyle w:val="ManualHeading2"/>
        <w:rPr>
          <w:noProof/>
        </w:rPr>
      </w:pPr>
      <w:r>
        <w:rPr>
          <w:noProof/>
        </w:rPr>
        <w:t>•</w:t>
      </w:r>
      <w:r>
        <w:rPr>
          <w:noProof/>
        </w:rPr>
        <w:tab/>
        <w:t>Indhentning og brug af ekspertbistand</w:t>
      </w:r>
    </w:p>
    <w:p>
      <w:pPr>
        <w:spacing w:before="0" w:after="240"/>
        <w:rPr>
          <w:noProof/>
        </w:rPr>
      </w:pPr>
      <w:r>
        <w:rPr>
          <w:noProof/>
        </w:rPr>
        <w:t xml:space="preserve">Der er allerede i forbindelse med tidligere høringsaktiviteter siden 2012 blevet indsamlet betydelig ekspertise om de mulige fordele ved et tættere samarbejde mellem EU og USA om overensstemmelsesvurderinger (se links og dokumenter på følgende websted: </w:t>
      </w:r>
      <w:hyperlink r:id="rId15">
        <w:r>
          <w:rPr>
            <w:rStyle w:val="Hyperlink"/>
            <w:noProof/>
          </w:rPr>
          <w:t>http://trade.ec.europa.eu/doclib/cfm/doclib_section.cfm?sec=146</w:t>
        </w:r>
      </w:hyperlink>
      <w:r>
        <w:rPr>
          <w:noProof/>
        </w:rPr>
        <w:t xml:space="preserve">). Denne ekspertise vil dog blive ajourført i forbindelse med førnævnte nye høringer af interesserede parter. </w:t>
      </w:r>
    </w:p>
    <w:p>
      <w:pPr>
        <w:pStyle w:val="ManualHeading2"/>
        <w:rPr>
          <w:noProof/>
        </w:rPr>
      </w:pPr>
      <w:r>
        <w:rPr>
          <w:noProof/>
        </w:rPr>
        <w:t>•</w:t>
      </w:r>
      <w:r>
        <w:rPr>
          <w:noProof/>
        </w:rPr>
        <w:tab/>
        <w:t>Konsekvensanalyse</w:t>
      </w:r>
    </w:p>
    <w:p>
      <w:pPr>
        <w:spacing w:before="0" w:after="240"/>
        <w:rPr>
          <w:noProof/>
        </w:rPr>
      </w:pPr>
      <w:r>
        <w:rPr>
          <w:noProof/>
        </w:rPr>
        <w:t xml:space="preserve">Som følge af den politiske vilje til hurtigt at gå videre med henblik på at mindske de handelsmæssige spændinger mellem EU og USA, som formanden for Kommissionen gav udtryk for efter sit møde med den amerikanske præsident, og som Det Europæiske Råd tilsluttede sig på sit uformelle møde den 16. maj 2018 i Sofia, er der givet afkald på den formelle konsekvensanalyse til fordel for en mere forholdsmæssig tilgang til at sikre indsamling af dokumentation og høring af de interesserede parter. Denne forholdsmæssige tilgang er også berettiget, idet det forventes, at den nye aftale ikke vil få væsentlige økonomiske, sociale eller miljømæssige virkninger ud over de fordele, der følger af forenklingen af overensstemmelsesvurderingen for specifikke produktsektorer. </w:t>
      </w:r>
    </w:p>
    <w:p>
      <w:pPr>
        <w:pStyle w:val="ManualHeading2"/>
        <w:rPr>
          <w:noProof/>
        </w:rPr>
      </w:pPr>
      <w:r>
        <w:rPr>
          <w:noProof/>
        </w:rPr>
        <w:lastRenderedPageBreak/>
        <w:t>•</w:t>
      </w:r>
      <w:r>
        <w:rPr>
          <w:noProof/>
        </w:rPr>
        <w:tab/>
        <w:t>Grundlæggende rettigheder</w:t>
      </w:r>
    </w:p>
    <w:p>
      <w:pPr>
        <w:pBdr>
          <w:top w:val="nil"/>
          <w:left w:val="nil"/>
          <w:bottom w:val="nil"/>
          <w:right w:val="nil"/>
          <w:between w:val="nil"/>
          <w:bar w:val="nil"/>
        </w:pBdr>
        <w:spacing w:before="0" w:after="240"/>
        <w:rPr>
          <w:noProof/>
        </w:rPr>
      </w:pPr>
      <w:r>
        <w:rPr>
          <w:noProof/>
        </w:rPr>
        <w:t xml:space="preserve">Henstillingen er i overensstemmelse med EU-traktaterne og med Den Europæiske Unions charter om grundlæggende rettigheder. </w:t>
      </w:r>
    </w:p>
    <w:p>
      <w:pPr>
        <w:pStyle w:val="ManualHeading1"/>
        <w:rPr>
          <w:noProof/>
        </w:rPr>
      </w:pPr>
      <w:r>
        <w:rPr>
          <w:noProof/>
        </w:rPr>
        <w:t>3.</w:t>
      </w:r>
      <w:r>
        <w:rPr>
          <w:noProof/>
        </w:rPr>
        <w:tab/>
        <w:t>VIRKNINGER FOR BUDGETTET</w:t>
      </w:r>
    </w:p>
    <w:p>
      <w:pPr>
        <w:pBdr>
          <w:top w:val="nil"/>
          <w:left w:val="nil"/>
          <w:bottom w:val="nil"/>
          <w:right w:val="nil"/>
          <w:between w:val="nil"/>
          <w:bar w:val="nil"/>
        </w:pBdr>
        <w:spacing w:before="0" w:after="240"/>
        <w:rPr>
          <w:noProof/>
        </w:rPr>
      </w:pPr>
      <w:r>
        <w:rPr>
          <w:noProof/>
        </w:rPr>
        <w:t>Aftalen om overensstemmelsesvurdering mellem De Forenede Stater og Den Europæiske Union vil ikke få nogen negativ indvirkning på EU's budget. Der kan forventes indirekte positive virkninger af de øgede handelsstrømme.</w:t>
      </w:r>
    </w:p>
    <w:p>
      <w:pPr>
        <w:pStyle w:val="ManualHeading1"/>
        <w:rPr>
          <w:noProof/>
        </w:rPr>
      </w:pPr>
      <w:r>
        <w:rPr>
          <w:noProof/>
        </w:rPr>
        <w:t>4.</w:t>
      </w:r>
      <w:r>
        <w:rPr>
          <w:noProof/>
        </w:rPr>
        <w:tab/>
        <w:t>ANDRE FORHOLD</w:t>
      </w:r>
    </w:p>
    <w:p>
      <w:pPr>
        <w:pStyle w:val="ManualHeading2"/>
        <w:rPr>
          <w:noProof/>
        </w:rPr>
      </w:pPr>
      <w:r>
        <w:rPr>
          <w:noProof/>
        </w:rPr>
        <w:t>•</w:t>
      </w:r>
      <w:r>
        <w:rPr>
          <w:noProof/>
        </w:rPr>
        <w:tab/>
        <w:t xml:space="preserve">Proceduremæssige aspekter </w:t>
      </w:r>
    </w:p>
    <w:p>
      <w:pPr>
        <w:rPr>
          <w:noProof/>
        </w:rPr>
      </w:pPr>
      <w:r>
        <w:rPr>
          <w:noProof/>
        </w:rPr>
        <w:t xml:space="preserve">Kommissionen vil forhandle på EU's vegne. I overensstemmelse med artikel 218, stk. 4, i TEUF foreslås det, at Rådet for Den Europæiske Union udpeger Handelspolitikudvalget som det udvalg, forhandlingerne skal føres i samråd med. </w:t>
      </w:r>
    </w:p>
    <w:p>
      <w:pPr>
        <w:rPr>
          <w:noProof/>
        </w:rPr>
      </w:pPr>
      <w:r>
        <w:rPr>
          <w:noProof/>
        </w:rPr>
        <w:t xml:space="preserve">Europa-Parlamentet vil blive informeret på alle trin i proceduren i overensstemmelse med artikel 218, stk. 10, i TEUF. </w:t>
      </w:r>
    </w:p>
    <w:p>
      <w:pPr>
        <w:rPr>
          <w:noProof/>
        </w:rPr>
      </w:pPr>
      <w:r>
        <w:rPr>
          <w:noProof/>
        </w:rPr>
        <w:t xml:space="preserve">Kommissionen offentliggør denne henstilling og bilaget hertil straks efter vedtagelsen. </w:t>
      </w:r>
    </w:p>
    <w:p>
      <w:pPr>
        <w:rPr>
          <w:noProof/>
        </w:rPr>
      </w:pPr>
      <w:r>
        <w:rPr>
          <w:noProof/>
        </w:rPr>
        <w:t xml:space="preserve">Kommissionen anbefaler, at forhandlingsdirektiverne offentliggøres straks efter Rådets vedtagelse.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Henstilling med henblik på</w:t>
      </w:r>
    </w:p>
    <w:p>
      <w:pPr>
        <w:pStyle w:val="Typedudocument"/>
        <w:rPr>
          <w:noProof/>
        </w:rPr>
      </w:pPr>
      <w:r>
        <w:rPr>
          <w:noProof/>
        </w:rPr>
        <w:t>RÅDETS AFGØRELSE</w:t>
      </w:r>
    </w:p>
    <w:p>
      <w:pPr>
        <w:pStyle w:val="Titreobjet"/>
        <w:rPr>
          <w:noProof/>
        </w:rPr>
      </w:pPr>
      <w:r>
        <w:rPr>
          <w:noProof/>
        </w:rPr>
        <w:t xml:space="preserve">om bemyndigelse til at indlede forhandlinger om en aftale med Amerikas Forenede Stater om overensstemmelsesvurdering </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207, stk. 3 og 4, første afsnit, sammenholdt med artikel 218, stk. 3 og 4,</w:t>
      </w:r>
    </w:p>
    <w:p>
      <w:pPr>
        <w:rPr>
          <w:noProof/>
        </w:rPr>
      </w:pPr>
      <w:r>
        <w:rPr>
          <w:noProof/>
        </w:rPr>
        <w:t>under henvisning til henstilling fra Europa-Kommissionen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 xml:space="preserve">Kommissionen bemyndiges herved til på Den Europæiske Unions vegne at indlede forhandlinger med Amerikas Forenede Stater om en aftale om overensstemmelsesvurdering. </w:t>
      </w:r>
    </w:p>
    <w:p>
      <w:pPr>
        <w:pStyle w:val="Titrearticle"/>
        <w:rPr>
          <w:noProof/>
        </w:rPr>
      </w:pPr>
      <w:r>
        <w:rPr>
          <w:noProof/>
        </w:rPr>
        <w:t>Artikel 2</w:t>
      </w:r>
    </w:p>
    <w:p>
      <w:pPr>
        <w:rPr>
          <w:noProof/>
        </w:rPr>
      </w:pPr>
      <w:r>
        <w:rPr>
          <w:noProof/>
        </w:rPr>
        <w:t xml:space="preserve">Forhandlingerne føres på grundlag af Rådets forhandlingsdirektiver, der er fastsat i bilaget. </w:t>
      </w:r>
    </w:p>
    <w:p>
      <w:pPr>
        <w:pStyle w:val="Titrearticle"/>
        <w:rPr>
          <w:noProof/>
        </w:rPr>
      </w:pPr>
      <w:r>
        <w:rPr>
          <w:noProof/>
        </w:rPr>
        <w:t>Artikel 3</w:t>
      </w:r>
    </w:p>
    <w:p>
      <w:pPr>
        <w:rPr>
          <w:noProof/>
        </w:rPr>
      </w:pPr>
      <w:r>
        <w:rPr>
          <w:noProof/>
        </w:rPr>
        <w:t xml:space="preserve">Kommissionen fører forhandlingerne i samråd med [navnet på det særlige udvalg indsættes af Rådet]. </w:t>
      </w:r>
    </w:p>
    <w:p>
      <w:pPr>
        <w:pStyle w:val="Titrearticle"/>
        <w:rPr>
          <w:noProof/>
        </w:rPr>
      </w:pPr>
      <w:r>
        <w:rPr>
          <w:noProof/>
        </w:rPr>
        <w:t>Artikel 4</w:t>
      </w:r>
    </w:p>
    <w:p>
      <w:pPr>
        <w:keepNext/>
        <w:spacing w:before="360"/>
        <w:rPr>
          <w:noProof/>
        </w:rPr>
      </w:pPr>
      <w:r>
        <w:rPr>
          <w:noProof/>
        </w:rPr>
        <w:t>Denne afgørelse og bilaget hertil offentliggøres straks efter vedtagelsen.</w:t>
      </w:r>
    </w:p>
    <w:p>
      <w:pPr>
        <w:pStyle w:val="Titrearticle"/>
        <w:rPr>
          <w:noProof/>
        </w:rPr>
      </w:pPr>
      <w:r>
        <w:rPr>
          <w:noProof/>
        </w:rPr>
        <w:t>Artikel 5</w:t>
      </w:r>
    </w:p>
    <w:p>
      <w:pPr>
        <w:rPr>
          <w:noProof/>
        </w:rPr>
      </w:pPr>
      <w:r>
        <w:rPr>
          <w:noProof/>
        </w:rPr>
        <w:t xml:space="preserve">Denne afgørelse er rettet til Kommissionen. </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Artikel 21, stk. 2, litra e), i TEU.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E092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4250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1AAE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ACB6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DA7B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E640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D271AA"/>
    <w:lvl w:ilvl="0">
      <w:start w:val="1"/>
      <w:numFmt w:val="decimal"/>
      <w:pStyle w:val="ListNumber"/>
      <w:lvlText w:val="%1."/>
      <w:lvlJc w:val="left"/>
      <w:pPr>
        <w:tabs>
          <w:tab w:val="num" w:pos="360"/>
        </w:tabs>
        <w:ind w:left="360" w:hanging="360"/>
      </w:pPr>
    </w:lvl>
  </w:abstractNum>
  <w:abstractNum w:abstractNumId="7">
    <w:nsid w:val="FFFFFF89"/>
    <w:multiLevelType w:val="singleLevel"/>
    <w:tmpl w:val="C5EC7E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3"/>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1 08:12: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742903A-FDE6-4BF9-833A-CBFC0682E88D"/>
    <w:docVar w:name="LW_COVERPAGE_TYPE" w:val="1"/>
    <w:docVar w:name="LW_CROSSREFERENCE" w:val="&lt;UNUSED&gt;"/>
    <w:docVar w:name="LW_DocType" w:val="COM"/>
    <w:docVar w:name="LW_EMISSION" w:val="18.1.2019"/>
    <w:docVar w:name="LW_EMISSION_ISODATE" w:val="2019-01-18"/>
    <w:docVar w:name="LW_EMISSION_LOCATION" w:val="BRX"/>
    <w:docVar w:name="LW_EMISSION_PREFIX" w:val="Bruxelles, den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Henstilling med henblik på"/>
    <w:docVar w:name="LW_SUPERTITRE" w:val="&lt;UNUSED&gt;"/>
    <w:docVar w:name="LW_TITRE.OBJ.CP" w:val="om bemyndigelse til at indlede forhandlinger om en aftale med Amerikas Forenede Stater om overensstemmelsesvurdering "/>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de.ec.europa.eu/doclib/cfm/doclib_section.cfm?sec=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1609</Words>
  <Characters>9966</Characters>
  <Application>Microsoft Office Word</Application>
  <DocSecurity>0</DocSecurity>
  <Lines>174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2019-01-14T09:11:00Z</cp:lastPrinted>
  <dcterms:created xsi:type="dcterms:W3CDTF">2019-01-17T14:26:00Z</dcterms:created>
  <dcterms:modified xsi:type="dcterms:W3CDTF">2019-01-21T07:12:00Z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