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5DEB3E0-2A72-44BD-942E-33197D2027B7" style="width:450.75pt;height:379.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rPr>
          <w:noProof/>
        </w:rPr>
      </w:pPr>
    </w:p>
    <w:p>
      <w:pPr>
        <w:pStyle w:val="ManualNumPar1"/>
        <w:rPr>
          <w:bCs/>
          <w:noProof/>
        </w:rPr>
      </w:pPr>
      <w:r>
        <w:t>1.</w:t>
      </w:r>
      <w:r>
        <w:tab/>
      </w:r>
      <w:r>
        <w:rPr>
          <w:noProof/>
        </w:rPr>
        <w:t>A JAVASLAT TÁRGYA</w:t>
      </w:r>
    </w:p>
    <w:p>
      <w:pPr>
        <w:rPr>
          <w:rFonts w:eastAsia="Arial Unicode MS"/>
          <w:noProof/>
        </w:rPr>
      </w:pPr>
      <w:r>
        <w:rPr>
          <w:noProof/>
        </w:rPr>
        <w:t>Ez a javaslat az Unió nevében a Bázeli Egyezmény Részes Felei Konferenciájának 14. ülésén az egyezmény mellékleteit érintő módosítások tervezett elfogadásával kapcsolatban képviselendő álláspont meghatározására vonatkozik.</w:t>
      </w:r>
    </w:p>
    <w:p>
      <w:pPr>
        <w:rPr>
          <w:rFonts w:eastAsia="Arial Unicode MS"/>
          <w:noProof/>
        </w:rPr>
      </w:pPr>
    </w:p>
    <w:p>
      <w:pPr>
        <w:pStyle w:val="ManualNumPar1"/>
        <w:rPr>
          <w:bCs/>
          <w:noProof/>
        </w:rPr>
      </w:pPr>
      <w:r>
        <w:t>2.</w:t>
      </w:r>
      <w:r>
        <w:tab/>
      </w:r>
      <w:r>
        <w:rPr>
          <w:noProof/>
        </w:rPr>
        <w:t>A JAVASLAT HÁTTERE</w:t>
      </w:r>
    </w:p>
    <w:p>
      <w:pPr>
        <w:pStyle w:val="ManualNumPar2"/>
        <w:rPr>
          <w:noProof/>
        </w:rPr>
      </w:pPr>
      <w:r>
        <w:t>2.1.</w:t>
      </w:r>
      <w:r>
        <w:tab/>
      </w:r>
      <w:r>
        <w:rPr>
          <w:noProof/>
        </w:rPr>
        <w:t>Bázeli egyezmény a veszélyes hulladékok országhatárokat átlépő szállításának ellenőrzéséről és ártalmatlanításáról</w:t>
      </w:r>
    </w:p>
    <w:p>
      <w:pPr>
        <w:rPr>
          <w:rFonts w:eastAsia="Arial Unicode MS"/>
          <w:noProof/>
        </w:rPr>
      </w:pPr>
      <w:r>
        <w:rPr>
          <w:noProof/>
        </w:rPr>
        <w:t>A veszélyes hulladékok országhatárokat átlépő szállításának ellenőrzéséről és ártalmatlanításáról szóló bázeli egyezményt (a továbbiakban: az egyezmény) 1989. március 22-én fogadták el, és az 1992-ben lépett hatályba. Az Európai Unió és tagállamai egyaránt az egyezmény részes felei</w:t>
      </w:r>
      <w:r>
        <w:rPr>
          <w:rStyle w:val="FootnoteReference"/>
          <w:noProof/>
        </w:rPr>
        <w:footnoteReference w:id="1"/>
      </w:r>
      <w:r>
        <w:rPr>
          <w:noProof/>
        </w:rPr>
        <w:t>. Az egyezménynek jelenleg 186 részes fele van.</w:t>
      </w:r>
    </w:p>
    <w:p>
      <w:pPr>
        <w:rPr>
          <w:rFonts w:eastAsia="Arial Unicode MS"/>
          <w:noProof/>
        </w:rPr>
      </w:pPr>
      <w:r>
        <w:rPr>
          <w:noProof/>
        </w:rPr>
        <w:t>Az egyezmény sarokköve a bizonyos hulladékok kivitelére, behozatalára és tranzitjára vonatkozó ellenőrzési rendszer. Az egyezmény hatálya alá tartozó hulladékok kivitelét előzetesen be kell jelenteni a behozatal helye szerinti államok és a tranzitállamok illetékes hatóságainak. A bejelentést az exportáló államnak kell megtennie, amely arra is kötelezheti a hulladéktermelőket vagy -exportőröket, hogy az ilyen bejelentéseket az illetékes hatóságon keresztül tegyék meg. A bejelentést írásban kell benyújtani, és annak tartalmaznia kell az egyezmény V. A. mellékletében megnevezett nyilatkozatokat és információkat. A hulladék exportjára csak akkor kerülhet sor, ha ahhoz valamennyi érintett állam írásbeli hozzájárulását adta (az egyezmény 6. cikke).</w:t>
      </w:r>
    </w:p>
    <w:p>
      <w:pPr>
        <w:rPr>
          <w:rFonts w:eastAsia="Arial Unicode MS"/>
          <w:noProof/>
        </w:rPr>
      </w:pPr>
      <w:r>
        <w:rPr>
          <w:noProof/>
        </w:rPr>
        <w:t>Az egyezmény ellenőrzési rendszere az egyezmény 1. cikkében meghatározott és VIII. mellékletében felsorolt veszélyes hulladékokra, valamint a II. mellékletében felsorolt, a háztartásokból gyűjtött hulladékokat és a háztartási hulladék elégetéséből származó maradékanyagokat magukban foglaló egyéb hulladékokra vonatkozik. Az egyezmény IX. melléklete azokat a hulladékokat sorolja fel, amelyek nem tartoznak az egyezmény és az ellenőrzési rendszer hatálya alá, hacsak nem tartalmaznak az egyezmény I. melléklete szerinti anyagot olyan mértékben, hogy a III. melléklet szerinti veszélyességi jellemzőket mutassák.</w:t>
      </w:r>
    </w:p>
    <w:p>
      <w:pPr>
        <w:pStyle w:val="ManualNumPar2"/>
        <w:rPr>
          <w:noProof/>
        </w:rPr>
      </w:pPr>
      <w:r>
        <w:t>2.2.</w:t>
      </w:r>
      <w:r>
        <w:tab/>
      </w:r>
      <w:r>
        <w:rPr>
          <w:noProof/>
        </w:rPr>
        <w:t>A Részes Felek Konferenciája</w:t>
      </w:r>
    </w:p>
    <w:p>
      <w:pPr>
        <w:rPr>
          <w:noProof/>
        </w:rPr>
      </w:pPr>
      <w:r>
        <w:rPr>
          <w:noProof/>
        </w:rPr>
        <w:t xml:space="preserve">A Bázeli Egyezmény Részes Feleinek Konferenciája az egyezmény legfőbb döntéshozó szerve. Hatásköre kiterjed az egyezmény mellékleteinek módosítására, és kétévente ülésezik. </w:t>
      </w:r>
    </w:p>
    <w:p>
      <w:pPr>
        <w:rPr>
          <w:noProof/>
        </w:rPr>
      </w:pPr>
      <w:r>
        <w:rPr>
          <w:noProof/>
        </w:rPr>
        <w:t>A Részes Felek Konferenciájának 14. ülésére (CoP14) 2019 áprilisában és májusában kerül sor Genfben.</w:t>
      </w:r>
    </w:p>
    <w:p>
      <w:pPr>
        <w:pStyle w:val="ManualNumPar2"/>
        <w:rPr>
          <w:noProof/>
        </w:rPr>
      </w:pPr>
      <w:r>
        <w:t>2.3.</w:t>
      </w:r>
      <w:r>
        <w:tab/>
      </w:r>
      <w:r>
        <w:rPr>
          <w:noProof/>
        </w:rPr>
        <w:t xml:space="preserve">A tervezett jogi aktus </w:t>
      </w:r>
    </w:p>
    <w:p>
      <w:pPr>
        <w:pStyle w:val="Text1"/>
        <w:rPr>
          <w:noProof/>
        </w:rPr>
      </w:pPr>
    </w:p>
    <w:p>
      <w:pPr>
        <w:rPr>
          <w:rFonts w:eastAsia="Arial Unicode MS"/>
          <w:noProof/>
        </w:rPr>
      </w:pPr>
      <w:r>
        <w:rPr>
          <w:noProof/>
        </w:rPr>
        <w:lastRenderedPageBreak/>
        <w:t>A Részes Felek Konferenciája 14. ülésének ideiglenes napirendjében az egyik napirendi pont a Norvégia által benyújtott, az egyezmény egyes mellékleteinek módosítására irányuló javaslattal (a továbbiakban: a tervezett jogi aktus) foglalkozik</w:t>
      </w:r>
      <w:r>
        <w:rPr>
          <w:rStyle w:val="FootnoteReference"/>
          <w:noProof/>
        </w:rPr>
        <w:footnoteReference w:id="2"/>
      </w:r>
      <w:r>
        <w:rPr>
          <w:noProof/>
        </w:rPr>
        <w:t>.</w:t>
      </w:r>
    </w:p>
    <w:p>
      <w:pPr>
        <w:rPr>
          <w:rFonts w:eastAsia="Arial Unicode MS"/>
          <w:noProof/>
        </w:rPr>
      </w:pPr>
      <w:r>
        <w:rPr>
          <w:noProof/>
        </w:rPr>
        <w:t>A tervezett jogi aktus nem kívánja az összes típusú műanyaghulladékot a Bázeli Egyezmény ellenőrzési mechanizmusainak hatálya alá vonni; ehelyett az említett ellenőrzési mechanizmusokat csupán bizonyos típusú műanyaghulladékokra terjeszti ki, míg azok más műanyaghulladékokra nem vonatkoznak (annak érdekében, hogy azok kereskedelme továbbra is lehetséges legyen az exportáló/importáló országok által tett bejelentés nélkül).</w:t>
      </w:r>
    </w:p>
    <w:p>
      <w:pPr>
        <w:rPr>
          <w:rFonts w:eastAsia="Arial Unicode MS"/>
          <w:noProof/>
        </w:rPr>
      </w:pPr>
      <w:r>
        <w:rPr>
          <w:noProof/>
        </w:rPr>
        <w:t>A tervezett jogi aktus célja, hogy a műanyaghulladékokra vonatkozó bejegyzések tekintetében módosítsa vagy kiegészítse a következő mellékleteket:</w:t>
      </w:r>
    </w:p>
    <w:p>
      <w:pPr>
        <w:pStyle w:val="Tiret0"/>
        <w:numPr>
          <w:ilvl w:val="0"/>
          <w:numId w:val="10"/>
        </w:numPr>
        <w:rPr>
          <w:noProof/>
        </w:rPr>
      </w:pPr>
      <w:r>
        <w:rPr>
          <w:noProof/>
        </w:rPr>
        <w:t>II. melléklet az olyan nem veszélyes műanyaghulladék tekintetében, amelyet az egyezmény ellenőrzési rendszerének hatálya alá kell vonni,</w:t>
      </w:r>
    </w:p>
    <w:p>
      <w:pPr>
        <w:pStyle w:val="Tiret0"/>
        <w:numPr>
          <w:ilvl w:val="0"/>
          <w:numId w:val="12"/>
        </w:numPr>
        <w:rPr>
          <w:noProof/>
        </w:rPr>
      </w:pPr>
      <w:r>
        <w:rPr>
          <w:noProof/>
        </w:rPr>
        <w:t>VIII. melléklet az olyan veszélyes műanyaghulladék tekintetében, amelyet szintén az ellenőrzési rendszer hatálya alá kell vonni,</w:t>
      </w:r>
    </w:p>
    <w:p>
      <w:pPr>
        <w:pStyle w:val="Tiret0"/>
        <w:numPr>
          <w:ilvl w:val="0"/>
          <w:numId w:val="12"/>
        </w:numPr>
        <w:rPr>
          <w:noProof/>
        </w:rPr>
      </w:pPr>
      <w:r>
        <w:rPr>
          <w:noProof/>
        </w:rPr>
        <w:t xml:space="preserve">IX. melléklet az olyan nem veszélyes műanyaghulladék tekintetében, amelyet nem kell az egyezmény ellenőrzési rendszerének hatálya alá vonni, hacsak az említett hulladék nem tartalmaz az egyezmény I. melléklete szerinti anyagot olyan mértékben, hogy a III. melléklet szerinti veszélyességi jellemzőket mutassa.  </w:t>
      </w:r>
    </w:p>
    <w:p>
      <w:pPr>
        <w:rPr>
          <w:rFonts w:eastAsia="Arial Unicode MS"/>
          <w:noProof/>
        </w:rPr>
      </w:pPr>
      <w:r>
        <w:rPr>
          <w:noProof/>
        </w:rPr>
        <w:t>A Norvégia által benyújtott, az egyezmény II., VIII. és IX. mellékletének módosítására irányuló javaslatot 2018. október 26-án továbbították a részes feleknek. A javaslat értelmében a IX. melléklet egyik, felülvizsgált bejegyzésébe besorolt nem veszélyes műanyaghulladékokkal továbbra is az egyezményben meghatározott feltételek mellett kereskedhetnek az egyes országok, míg a II. és a VIII. mellékletbe újonnan felvett különleges figyelmet igénylő, illetve veszélyes műanyaghulladékok az egyezmény ellenőrzési rendszerének hatálya alá kerülnek.</w:t>
      </w:r>
    </w:p>
    <w:p>
      <w:pPr>
        <w:rPr>
          <w:rFonts w:eastAsia="Arial Unicode MS"/>
          <w:noProof/>
        </w:rPr>
      </w:pPr>
      <w:r>
        <w:rPr>
          <w:noProof/>
        </w:rPr>
        <w:t>Az egyezmény II., VIII. és IX. mellékletét érintő módosítások a hulladékszállításról szóló, 2006. június 14-i 1013/2006/EK európai parlamenti és tanácsi rendelet</w:t>
      </w:r>
      <w:r>
        <w:rPr>
          <w:rStyle w:val="FootnoteReference"/>
          <w:noProof/>
        </w:rPr>
        <w:footnoteReference w:id="3"/>
      </w:r>
      <w:r>
        <w:rPr>
          <w:noProof/>
        </w:rPr>
        <w:t xml:space="preserve"> módosítása révén történő végrehajtásukat követően lépnek hatályba az EU-ban. Az üzemeltetőket és a hatóságokat érintő, az EU-ból származó exporttal kapcsolatos változások a hulladék típusától és a rendeltetési országtól függnek majd.</w:t>
      </w:r>
    </w:p>
    <w:p>
      <w:pPr>
        <w:rPr>
          <w:rFonts w:eastAsia="Arial Unicode MS"/>
          <w:noProof/>
        </w:rPr>
      </w:pPr>
      <w:r>
        <w:rPr>
          <w:noProof/>
        </w:rPr>
        <w:t xml:space="preserve">A veszélyes műanyaghulladékok több új (a VIII. mellékletben felsorolt) kategóriája esetében tilos lesz </w:t>
      </w:r>
      <w:r>
        <w:rPr>
          <w:b/>
          <w:noProof/>
        </w:rPr>
        <w:t>az Unióból nem OECD-országba történő kivitel</w:t>
      </w:r>
      <w:r>
        <w:rPr>
          <w:noProof/>
        </w:rPr>
        <w:t>. Az ilyen hulladék OECD-n belüli exportja során a bejelentési eljárást kell követni. A II. mellékletbe felvett egyes nem veszélyes műanyaghulladékoknak az Unióból nem OECD-országba történő kivitele szintén tilos lesz, hacsak az EU úgy nem dönt, hogy a 2020 végéig felülvizsgálandó 1013/2006/EK rendelet módosítása révén a bejelentési eljárást alkalmazza. Az ilyen hulladék OECD-n belüli exportja során szintén a bejelentési eljárást kell követni. Végül, az egyezmény IX. mellékletének hatálya alá tartozó nem veszélyes műanyaghulladékok minden ellenőrzés nélkül exportálhatók, amennyiben bizonyos, az importáló országban történő könnyű újrahasznosíthatóságukat biztosító feltételek teljesülnek.</w:t>
      </w:r>
    </w:p>
    <w:p>
      <w:pPr>
        <w:rPr>
          <w:rFonts w:eastAsia="Arial Unicode MS"/>
          <w:noProof/>
        </w:rPr>
      </w:pPr>
      <w:r>
        <w:rPr>
          <w:noProof/>
        </w:rPr>
        <w:lastRenderedPageBreak/>
        <w:t xml:space="preserve">A norvég javaslatnak az 1013/2006/EK rendelet keretében történő automatikus végrehajtása azt vonná maga után, hogy a bejelentési eljárást ki kellene terjeszteni a Bázeli Egyezmény II. vagy VIII. mellékletében újonnan felvett hulladékok </w:t>
      </w:r>
      <w:r>
        <w:rPr>
          <w:b/>
          <w:noProof/>
        </w:rPr>
        <w:t>EU-n belüli szállítására</w:t>
      </w:r>
      <w:r>
        <w:rPr>
          <w:noProof/>
        </w:rPr>
        <w:t>.</w:t>
      </w:r>
    </w:p>
    <w:p>
      <w:pPr>
        <w:rPr>
          <w:rFonts w:eastAsia="Arial Unicode MS"/>
          <w:noProof/>
        </w:rPr>
      </w:pPr>
      <w:r>
        <w:rPr>
          <w:noProof/>
        </w:rPr>
        <w:t>Az egyezmény mellékleteinek módosítására vonatkozó eljárást az egyezmény 17. és 18. cikke szabályozza. A javasolt módosításokat a részes felek valamelyikének kell megtennie, és azokat a Titkárságnak valamennyi részes félnek továbbítania kell legalább hat hónappal azon ülés előtt, amelyen a módosítást elfogadásra javasolják, azaz a COP14 esetében 2018. október 28-ig. Emellett minden ilyen módosítást a Részes Felek Konferenciájának kell elfogadnia, és a módosítás a bejelentő levélnek a letéteményes általi kiküldésétől számított hat hónapot követően hatályba léphet. Az egyezmény 18. cikke (2) bekezdése c) pontjának megfelelően a tervezett jogi aktus kötelező lesz a felekre nézve. Az említett cikk így rendelkezik: „A melléklet hat hónappal azt követően, hogy a letéteményes az arról szóló tájékoztatást közreadta, az egyezmény, illetve bármely jegyzőkönyv valamennyi olyan részese számára hatályba lép, amely nem nyújtott be a fenti b) pontban foglalt bejelentést.”</w:t>
      </w:r>
    </w:p>
    <w:p>
      <w:pPr>
        <w:rPr>
          <w:rFonts w:eastAsia="Arial Unicode MS"/>
          <w:noProof/>
        </w:rPr>
      </w:pPr>
    </w:p>
    <w:p>
      <w:pPr>
        <w:pStyle w:val="ManualNumPar1"/>
        <w:rPr>
          <w:bCs/>
          <w:noProof/>
        </w:rPr>
      </w:pPr>
      <w:r>
        <w:t>3.</w:t>
      </w:r>
      <w:r>
        <w:tab/>
      </w:r>
      <w:r>
        <w:rPr>
          <w:noProof/>
        </w:rPr>
        <w:t>AZ UNIÓ NEVÉBEN KÉPVISELENDŐ ÁLLÁSPONT</w:t>
      </w:r>
    </w:p>
    <w:p>
      <w:pPr>
        <w:rPr>
          <w:noProof/>
        </w:rPr>
      </w:pPr>
      <w:r>
        <w:rPr>
          <w:noProof/>
        </w:rPr>
        <w:t>Az Uniónak támogatnia kell az alábbi mellékleteknek a műanyaghulladékokra vonatkozó bejegyzések tekintetében történő módosítását vagy kiegészítését:</w:t>
      </w:r>
    </w:p>
    <w:p>
      <w:pPr>
        <w:pStyle w:val="Tiret0"/>
        <w:numPr>
          <w:ilvl w:val="0"/>
          <w:numId w:val="12"/>
        </w:numPr>
        <w:rPr>
          <w:noProof/>
        </w:rPr>
      </w:pPr>
      <w:r>
        <w:rPr>
          <w:noProof/>
        </w:rPr>
        <w:t>II. melléklet az olyan nem veszélyes műanyaghulladék tekintetében, amelyet az egyezmény ellenőrzési rendszerének hatálya alá kell vonni,</w:t>
      </w:r>
    </w:p>
    <w:p>
      <w:pPr>
        <w:pStyle w:val="Tiret0"/>
        <w:numPr>
          <w:ilvl w:val="0"/>
          <w:numId w:val="12"/>
        </w:numPr>
        <w:rPr>
          <w:noProof/>
        </w:rPr>
      </w:pPr>
      <w:r>
        <w:rPr>
          <w:noProof/>
        </w:rPr>
        <w:t>VIII. melléklet az olyan veszélyes műanyaghulladék tekintetében, amelyet szintén az ellenőrzési rendszer hatálya alá kell vonni,</w:t>
      </w:r>
    </w:p>
    <w:p>
      <w:pPr>
        <w:pStyle w:val="Tiret0"/>
        <w:numPr>
          <w:ilvl w:val="0"/>
          <w:numId w:val="12"/>
        </w:numPr>
        <w:rPr>
          <w:noProof/>
        </w:rPr>
      </w:pPr>
      <w:r>
        <w:rPr>
          <w:noProof/>
        </w:rPr>
        <w:t xml:space="preserve">IX. melléklet az olyan nem veszélyes műanyaghulladék tekintetében, amelyet nem kell az egyezmény ellenőrzési rendszerének hatálya alá vonni, hacsak az említett hulladék nem tartalmaz az egyezmény I. melléklete szerinti anyagot olyan mértékben, hogy a III. melléklet szerinti veszélyességi jellemzőket mutassa.  </w:t>
      </w:r>
    </w:p>
    <w:p>
      <w:pPr>
        <w:rPr>
          <w:rFonts w:eastAsia="Arial Unicode MS"/>
          <w:noProof/>
        </w:rPr>
      </w:pPr>
      <w:r>
        <w:rPr>
          <w:noProof/>
        </w:rPr>
        <w:t>Az egyezmény mellékleteinek fent felsorolt módosításai nélkül jelentős a kockázata annak, hogy a műanyaghulladékot olyan országokba exportálják, amelyek nem rendelkeznek a hulladék hatékony gyűjtését és környezetkímélő kezelését biztosító megfelelő infrastruktúrával. A tervezett jogi aktus a következőkhöz fog hozzájárulni:</w:t>
      </w:r>
    </w:p>
    <w:p>
      <w:pPr>
        <w:pStyle w:val="Tiret0"/>
        <w:numPr>
          <w:ilvl w:val="0"/>
          <w:numId w:val="10"/>
        </w:numPr>
        <w:rPr>
          <w:noProof/>
        </w:rPr>
      </w:pPr>
      <w:r>
        <w:rPr>
          <w:noProof/>
        </w:rPr>
        <w:t>javítja a műanyaghulladék-kivitelre vonatkozó ellenőrzéseket,</w:t>
      </w:r>
    </w:p>
    <w:p>
      <w:pPr>
        <w:pStyle w:val="Tiret0"/>
        <w:numPr>
          <w:ilvl w:val="0"/>
          <w:numId w:val="12"/>
        </w:numPr>
        <w:rPr>
          <w:noProof/>
        </w:rPr>
      </w:pPr>
      <w:r>
        <w:rPr>
          <w:noProof/>
        </w:rPr>
        <w:t>támogatja a környezetvédelmi szempontból megfelelő műanyaghulladék-gazdálkodást,</w:t>
      </w:r>
    </w:p>
    <w:p>
      <w:pPr>
        <w:pStyle w:val="Tiret0"/>
        <w:numPr>
          <w:ilvl w:val="0"/>
          <w:numId w:val="12"/>
        </w:numPr>
        <w:rPr>
          <w:noProof/>
        </w:rPr>
      </w:pPr>
      <w:r>
        <w:rPr>
          <w:noProof/>
        </w:rPr>
        <w:t>csökkenti annak kockázatát, hogy a műanyaghulladék a környezetbe jusson, továbbá</w:t>
      </w:r>
    </w:p>
    <w:p>
      <w:pPr>
        <w:pStyle w:val="Tiret0"/>
        <w:numPr>
          <w:ilvl w:val="0"/>
          <w:numId w:val="12"/>
        </w:numPr>
        <w:rPr>
          <w:noProof/>
        </w:rPr>
      </w:pPr>
      <w:r>
        <w:rPr>
          <w:noProof/>
        </w:rPr>
        <w:t xml:space="preserve">megelőzi a tengeri hulladék globális környezeti problémáját.  </w:t>
      </w:r>
    </w:p>
    <w:p>
      <w:pPr>
        <w:rPr>
          <w:rFonts w:eastAsia="Arial Unicode MS"/>
          <w:noProof/>
        </w:rPr>
      </w:pPr>
      <w:r>
        <w:rPr>
          <w:noProof/>
        </w:rPr>
        <w:t>A 2018. január 16-án elfogadott, műanyagokkal kapcsolatos uniós stratégia</w:t>
      </w:r>
      <w:r>
        <w:rPr>
          <w:rStyle w:val="FootnoteReference"/>
          <w:noProof/>
        </w:rPr>
        <w:footnoteReference w:id="4"/>
      </w:r>
      <w:r>
        <w:rPr>
          <w:noProof/>
        </w:rPr>
        <w:t xml:space="preserve"> kimondja, hogy a nemzetközi fellépés kulcsfontosságú az óceánokba kerülő műanyaghulladék jelentős forrásaival – így többek között a fejlődő országok és a feltörekvő gazdaságok nem megfelelő hulladékgazdálkodási infrastruktúráival – összefüggő kérdések kezeléséhez. A műanyagokkal kapcsolatos stratégia külön utal a Bázeli Egyezmény keretében végzett fellépések támogatásának szükségességére, aminek révén biztosítható, hogy az újrafeldolgozás céljából </w:t>
      </w:r>
      <w:r>
        <w:rPr>
          <w:noProof/>
        </w:rPr>
        <w:lastRenderedPageBreak/>
        <w:t xml:space="preserve">külföldre szállított műanyagok kezelése és feldolgozása hasonló feltételek mellett történjen, mint amelyek az EU-ban érvényesek. Az EU a műanyaghulladék jelentős részét harmadik országokba exportálja (ez 2016-ban 3 millió tonnát tett ki), ahol a hulladék kezelését továbbra is bizonytalanság övezi, és a nemzetközi fejlemények miatt – többek között Kínának a bizonyos típusú műanyaghulladékok importkorlátozásáról meghozott közelmúltbeli döntése okán – a határokon átnyúló problémák is súlyosbodnak.     </w:t>
      </w:r>
    </w:p>
    <w:p>
      <w:pPr>
        <w:rPr>
          <w:noProof/>
        </w:rPr>
      </w:pPr>
      <w:r>
        <w:rPr>
          <w:noProof/>
        </w:rPr>
        <w:t>Az egyezmény rendelkezéseinek Unión belüli végrehajtását az 1013/2006/EK rendelet biztosítja. Az említett rendelet az Unióból származó kivitelre és az Unióba irányuló behozatalra, valamint a tagállamok közötti szállításra vonatkozik (1. cikk). A rendelet az Európai Gazdasági Térség (EGT) egészén belül alkalmazandó</w:t>
      </w:r>
      <w:r>
        <w:rPr>
          <w:rStyle w:val="FootnoteReference"/>
          <w:noProof/>
        </w:rPr>
        <w:footnoteReference w:id="5"/>
      </w:r>
      <w:r>
        <w:rPr>
          <w:noProof/>
        </w:rPr>
        <w:t xml:space="preserve">. </w:t>
      </w:r>
    </w:p>
    <w:p>
      <w:pPr>
        <w:rPr>
          <w:noProof/>
        </w:rPr>
      </w:pPr>
      <w:r>
        <w:rPr>
          <w:noProof/>
        </w:rPr>
        <w:t>Elfogadását és hatálybalépését követően a tervezett jogi aktust át kell ültetni az uniós jogba, azaz rendelkezéseit be kell építeni az 1013/2006/EK rendeletbe. Ez azt jelentené, hogy a II. és a VIII. mellékletbe újonnan felvett műanyaghulladékok EU-n és EGT-n belüli szállítmányaira új ellenőrzési intézkedések vonatkoznának (és tilos lenne e hulladékoknak nem OECD-országokba történő kivitele). Bár ez a fenti okokból kívánatos lenne az EU-ból származó kivitel tekintetében, adott esetben nemkívánatos és problémás hatással lenne az újrafeldolgozásra szánt műanyaghulladék EU-n és EGT-n belüli szállítmányaira, mivel azokra új bejelentési eljárásokat terjesztene ki. Ezek a szállítmányok már tárgyát képezik a hulladékokról szóló uniós jogszabályok bizonyos környezetvédelmi követelményeinek, és új adminisztratív eljárások bevezetése csak bonyolultabbá és költségesebbé tenné a műanyagok újrahasznosítását az EU-ban, miközben környezetvédelmi szempontból csak korlátozott előnyökkel járna.</w:t>
      </w:r>
    </w:p>
    <w:p>
      <w:pPr>
        <w:rPr>
          <w:noProof/>
        </w:rPr>
      </w:pPr>
      <w:r>
        <w:rPr>
          <w:noProof/>
        </w:rPr>
        <w:t>Az Unión és az EGT-n belüli jelenlegi helyzet fenntartása érdekében (vagyis annak érdekében, hogy az egyezmény ellenőrzési rendszere ne terjedjen ki az új műanyaghulladékok szállítására), az egyezmény 11. cikkének értelmében az érintett rendelkezésekről tájékoztatni kell az egyezmény titkárságát. Ez a cikk lehetővé teszi a részes felek számára, hogy két- és többoldalú, illetve regionális megállapodásokat vagy megegyezéseket kössenek a hulladékok országhatárokat átlépő szállítása tekintetében, feltéve hogy az ilyen megállapodások vagy megegyezések összeegyeztethetőek a hulladékoknak az egyezményben előírt, környezetvédelmi szempontból megfelelő kezelésével. Ezeknek a megállapodásoknak vagy megegyezéseknek olyan előírásokat kell tartalmazniuk, amelyek környezetvédelmi szempontból legalább ugyanannyira megfelelőek, mint az egyezményben előírtak, és különös hangsúlyt helyeznek a fejlődő országok érdekeinek figyelembevételére. 11. cikk szerinti bejelentésekre került sor például egy OECD tanácsi határozattal</w:t>
      </w:r>
      <w:r>
        <w:rPr>
          <w:rStyle w:val="FootnoteReference"/>
          <w:noProof/>
        </w:rPr>
        <w:footnoteReference w:id="6"/>
      </w:r>
      <w:r>
        <w:rPr>
          <w:noProof/>
        </w:rPr>
        <w:t xml:space="preserve"> kapcsolatban. </w:t>
      </w:r>
    </w:p>
    <w:p>
      <w:pPr>
        <w:rPr>
          <w:noProof/>
        </w:rPr>
      </w:pPr>
      <w:r>
        <w:rPr>
          <w:noProof/>
        </w:rPr>
        <w:t>Következésképpen a tanácsi határozatra irányuló javaslat előirányozza az Unió számára, hogy az egyezmény 11. cikkének megfelelően tegyen bejelentést a titkárságnak az érintett műanyaghulladékoknak az EU-n és az EGT-n belüli szállítmányaira vonatkozó rendelkezésekről, amennyiben ezek a rendelkezések eltérnek a tervezett jogi aktustól, és abban jelentse ki, hogy rendelkezései az egyezménnyel összeegyeztethető, környezetvédelmi szempontból megfelelő irányítási rendszeren alapulnak. Mivel az egyezmény mellékleteinek módosítása és az említett OECD-határozat között kapcsolat áll fenn, lépéseket kell tenni az OECD titkárságának a fenti helyzetről való tájékoztatása érdekében is.</w:t>
      </w:r>
    </w:p>
    <w:p>
      <w:pPr>
        <w:pStyle w:val="ManualNumPar1"/>
        <w:rPr>
          <w:bCs/>
          <w:noProof/>
        </w:rPr>
      </w:pPr>
      <w:r>
        <w:t>4.</w:t>
      </w:r>
      <w:r>
        <w:tab/>
      </w:r>
      <w:r>
        <w:rPr>
          <w:noProof/>
        </w:rPr>
        <w:t>JOGALAP</w:t>
      </w:r>
    </w:p>
    <w:p>
      <w:pPr>
        <w:pStyle w:val="ManualNumPar2"/>
        <w:rPr>
          <w:bCs/>
          <w:noProof/>
        </w:rPr>
      </w:pPr>
      <w:r>
        <w:lastRenderedPageBreak/>
        <w:t>4.1.</w:t>
      </w:r>
      <w:r>
        <w:tab/>
      </w:r>
      <w:r>
        <w:rPr>
          <w:noProof/>
        </w:rPr>
        <w:t>Eljárási jogalap</w:t>
      </w:r>
    </w:p>
    <w:p>
      <w:pPr>
        <w:pStyle w:val="ManualNumPar3"/>
        <w:rPr>
          <w:noProof/>
        </w:rPr>
      </w:pPr>
      <w:r>
        <w:t>4.1.1.</w:t>
      </w:r>
      <w:r>
        <w:tab/>
      </w:r>
      <w:r>
        <w:rPr>
          <w:noProof/>
        </w:rPr>
        <w:t>Általános elvek</w:t>
      </w:r>
    </w:p>
    <w:p>
      <w:pPr>
        <w:rPr>
          <w:noProof/>
        </w:rPr>
      </w:pPr>
      <w:r>
        <w:rPr>
          <w:noProof/>
        </w:rPr>
        <w:t xml:space="preserve">Az Európai Unió működéséről szóló szerződés (a továbbiakban: EUMSZ) 218. cikkének (9) bekezdése határozatok elfogadásáról rendelkezik </w:t>
      </w:r>
      <w:r>
        <w:rPr>
          <w:i/>
          <w:noProof/>
        </w:rPr>
        <w:t>„a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 xml:space="preserve">A </w:t>
      </w:r>
      <w:r>
        <w:rPr>
          <w:i/>
          <w:noProof/>
        </w:rPr>
        <w:t>„joghatással bíró jogi aktus”</w:t>
      </w:r>
      <w:r>
        <w:rPr>
          <w:noProof/>
        </w:rPr>
        <w:t xml:space="preserve"> fogalmába beletartoznak a nemzetközi jognak a kérdéses szervet szabályozó szabályai szerint joghatással bíró jogi aktusok. Ezenfelül a fogalom magában foglalja azokat az eszközöket is, amelyek a nemzetközi jog szerint nem bírnak kötelező erővel, de </w:t>
      </w:r>
      <w:r>
        <w:rPr>
          <w:i/>
          <w:noProof/>
        </w:rPr>
        <w:t>„meghatározó módon befolyásolják az uniós jogalkotó által [...] elfogadott szabályozás tartalmát”</w:t>
      </w:r>
      <w:r>
        <w:rPr>
          <w:rStyle w:val="FootnoteReference"/>
          <w:noProof/>
        </w:rPr>
        <w:footnoteReference w:id="7"/>
      </w:r>
      <w:r>
        <w:rPr>
          <w:i/>
          <w:noProof/>
        </w:rPr>
        <w:t>.</w:t>
      </w:r>
    </w:p>
    <w:p>
      <w:pPr>
        <w:pStyle w:val="ManualNumPar3"/>
        <w:rPr>
          <w:noProof/>
        </w:rPr>
      </w:pPr>
      <w:r>
        <w:t>4.1.2.</w:t>
      </w:r>
      <w:r>
        <w:tab/>
      </w:r>
      <w:r>
        <w:rPr>
          <w:noProof/>
        </w:rPr>
        <w:t>A jelen esetre történő alkalmazás</w:t>
      </w:r>
    </w:p>
    <w:p>
      <w:pPr>
        <w:rPr>
          <w:noProof/>
        </w:rPr>
      </w:pPr>
      <w:r>
        <w:rPr>
          <w:noProof/>
        </w:rPr>
        <w:t>A Bázeli Egyezmény Részes Feleinek Konferenciája az egyezmény által létrehozott szerv</w:t>
      </w:r>
      <w:r>
        <w:t>.</w:t>
      </w:r>
    </w:p>
    <w:p>
      <w:pPr>
        <w:rPr>
          <w:noProof/>
        </w:rPr>
      </w:pPr>
      <w:r>
        <w:rPr>
          <w:noProof/>
        </w:rPr>
        <w:t>A Részes Felek Konferenciája által elfogadandó jogi aktus joghatással bíró jogi aktus. A tervezett jogi aktus az egyezmény 18. cikkének megfelelően a nemzetközi jog szerint kötelező érvényű lesz. Meghatározó módon képes befolyásolni az uniós szabályozás – ebben az esetben a hulladékszállításról szóló, 2006. június 14-i 1013/2006/EK európai parlamenti és tanácsi rendelet – tartalmát. Az említett rendelet átülteti az egyezmény rendelkezéseit, meghatározva többek között az Unióból származó kivitelre és az Unióba irányuló behozatalra, valamint a tagállamok közötti szállításra vonatkozó eljárásokat. A rendelet az EGT egészén belül alkalmazandó.</w:t>
      </w:r>
    </w:p>
    <w:p>
      <w:r>
        <w:rPr>
          <w:noProof/>
        </w:rPr>
        <w:t xml:space="preserve">Az egyezmény mellékleteinek módosítását követően ezeket a módosításokat az 1013/2006/EK rendeletbe is fel kell venni (adott esetben az EU-n belüli hulladékszállításra vonatkozó rendelkezések kivételével, a fentiekben kifejtettek szerint). </w:t>
      </w:r>
    </w:p>
    <w:p>
      <w:pPr>
        <w:rPr>
          <w:noProof/>
        </w:rPr>
      </w:pPr>
      <w:r>
        <w:rPr>
          <w:noProof/>
        </w:rPr>
        <w:t>A tervezett jogi aktus nem egészíti ki és nem módosítja a megállapodás intézményi keretét.</w:t>
      </w:r>
    </w:p>
    <w:p>
      <w:pPr>
        <w:rPr>
          <w:noProof/>
        </w:rPr>
      </w:pPr>
      <w:r>
        <w:rPr>
          <w:noProof/>
        </w:rPr>
        <w:t>Ezért a javasolt határozat eljárási jogalapja az EUMSZ 218. cikkének (9) bekezdése.</w:t>
      </w:r>
    </w:p>
    <w:p>
      <w:pPr>
        <w:pStyle w:val="ManualNumPar2"/>
        <w:rPr>
          <w:bCs/>
          <w:noProof/>
        </w:rPr>
      </w:pPr>
      <w:r>
        <w:t>4.2.</w:t>
      </w:r>
      <w:r>
        <w:tab/>
      </w:r>
      <w:r>
        <w:rPr>
          <w:noProof/>
        </w:rPr>
        <w:t>Anyagi jogalap</w:t>
      </w:r>
    </w:p>
    <w:p>
      <w:pPr>
        <w:pStyle w:val="ManualNumPar3"/>
        <w:rPr>
          <w:noProof/>
        </w:rPr>
      </w:pPr>
      <w:r>
        <w:t>4.2.1.</w:t>
      </w:r>
      <w:r>
        <w:tab/>
      </w:r>
      <w:r>
        <w:rPr>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pStyle w:val="ManualNumPar3"/>
        <w:rPr>
          <w:noProof/>
        </w:rPr>
      </w:pPr>
      <w:r>
        <w:t>4.2.2.</w:t>
      </w:r>
      <w:r>
        <w:tab/>
      </w:r>
      <w:r>
        <w:rPr>
          <w:noProof/>
        </w:rPr>
        <w:t>A jelen esetre történő alkalmazás</w:t>
      </w:r>
    </w:p>
    <w:p>
      <w:r>
        <w:rPr>
          <w:noProof/>
        </w:rPr>
        <w:t>A tervezett jogi aktus elsődleges célkitűzése és tartalma a környezetvédelemmel kapcsolatos.</w:t>
      </w:r>
    </w:p>
    <w:p>
      <w:pPr>
        <w:rPr>
          <w:noProof/>
        </w:rPr>
      </w:pPr>
      <w:r>
        <w:rPr>
          <w:noProof/>
        </w:rPr>
        <w:t>Ezért a javasolt határozat anyagi jogalapja az EUMSZ 192. cikkének (1) bekezdése.</w:t>
      </w:r>
    </w:p>
    <w:p>
      <w:pPr>
        <w:pStyle w:val="ManualNumPar2"/>
        <w:rPr>
          <w:bCs/>
          <w:noProof/>
        </w:rPr>
      </w:pPr>
      <w:r>
        <w:t>4.3.</w:t>
      </w:r>
      <w:r>
        <w:tab/>
      </w:r>
      <w:r>
        <w:rPr>
          <w:noProof/>
        </w:rPr>
        <w:t>Következtetés</w:t>
      </w:r>
    </w:p>
    <w:p>
      <w:pPr>
        <w:rPr>
          <w:noProof/>
        </w:rPr>
      </w:pPr>
      <w:r>
        <w:rPr>
          <w:noProof/>
        </w:rPr>
        <w:lastRenderedPageBreak/>
        <w:t xml:space="preserve">A javasolt határozat jogalapja az EUMSZ 192. cikkének (1) bekezdése, összefüggésben 218. cikkének (9) bekezdésével. </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2019/0008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 veszélyes hulladékok országhatárokat átlépő szállításának ellenőrzéséről és ártalmatlanításáról szóló bázeli egyezmény részes feleinek 14. konferenciáján az egyezmény II., VIII. és IX. mellékletének bizonyos módosításai tekintetében az Unió által képviselendő álláspontról</w:t>
      </w:r>
    </w:p>
    <w:p>
      <w:pPr>
        <w:pStyle w:val="Institutionquiagit"/>
        <w:rPr>
          <w:b/>
          <w:noProof/>
        </w:rPr>
      </w:pPr>
      <w:r>
        <w:rPr>
          <w:b/>
          <w:noProof/>
        </w:rPr>
        <w:t>AZ EURÓPAI UNIÓ TANÁCSA,</w:t>
      </w:r>
    </w:p>
    <w:p>
      <w:pPr>
        <w:rPr>
          <w:noProof/>
        </w:rPr>
      </w:pPr>
      <w:r>
        <w:rPr>
          <w:noProof/>
        </w:rPr>
        <w:t>tekintettel az Európai Unió működéséről szóló szerződésre és különösen annak 192. cikke (1) bekezdésére</w:t>
      </w:r>
      <w:r>
        <w:t xml:space="preserve">, </w:t>
      </w:r>
      <w:r>
        <w:rPr>
          <w:noProof/>
        </w:rPr>
        <w:t>összefüggésben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 veszélyes hulladékok országhatárokat átlépő szállításának ellenőrzéséről és ártalmatlanításáról szóló bázeli egyezményt (a továbbiakban: az egyezmény) az Unió a veszélyes hulladékok országhatárokat átlépő szállításának és ártalmatlanításának ellenőrzéséről szóló 1989. március 22-i egyezménynek (bázeli egyezmény) a Közösség részéről történő megkötéséről szóló 93/98/EGK tanácsi határozattal</w:t>
      </w:r>
      <w:r>
        <w:rPr>
          <w:rStyle w:val="FootnoteReference"/>
          <w:noProof/>
        </w:rPr>
        <w:footnoteReference w:id="8"/>
      </w:r>
      <w:r>
        <w:rPr>
          <w:noProof/>
        </w:rPr>
        <w:t xml:space="preserve"> kötötte meg, és az 1992-ben lépett hatályba. </w:t>
      </w:r>
    </w:p>
    <w:p>
      <w:pPr>
        <w:pStyle w:val="ManualConsidrant"/>
        <w:rPr>
          <w:noProof/>
        </w:rPr>
      </w:pPr>
      <w:r>
        <w:t>(2)</w:t>
      </w:r>
      <w:r>
        <w:tab/>
      </w:r>
      <w:r>
        <w:rPr>
          <w:noProof/>
        </w:rPr>
        <w:t>Az egyezmény 15. cikke értelmében a Részes Felek Konferenciája az igényeknek megfelelően megfontolja és elfogadja az egyezménynek és mellékleteinek módosításait</w:t>
      </w:r>
      <w:r>
        <w:t>.</w:t>
      </w:r>
    </w:p>
    <w:p>
      <w:pPr>
        <w:pStyle w:val="ManualConsidrant"/>
        <w:rPr>
          <w:noProof/>
        </w:rPr>
      </w:pPr>
      <w:r>
        <w:t>(3)</w:t>
      </w:r>
      <w:r>
        <w:tab/>
      </w:r>
      <w:r>
        <w:rPr>
          <w:noProof/>
        </w:rPr>
        <w:t>A 2019 áprilisában és májusában megrendezendő 14</w:t>
      </w:r>
      <w:r>
        <w:t>.</w:t>
      </w:r>
      <w:r>
        <w:rPr>
          <w:noProof/>
        </w:rPr>
        <w:t> ülésén a Részes Felek Konferenciájának meg kell fontolnia az egyezmény mellékleteinek módosítását az alábbi mellékleteknek a műanyaghulladékokra vonatkozó bejegyzések tekintetében történő módosítása vagy kiegészítése tekintetében:</w:t>
      </w:r>
    </w:p>
    <w:p>
      <w:pPr>
        <w:pStyle w:val="Tiret0"/>
        <w:numPr>
          <w:ilvl w:val="0"/>
          <w:numId w:val="12"/>
        </w:numPr>
        <w:rPr>
          <w:noProof/>
        </w:rPr>
      </w:pPr>
      <w:r>
        <w:rPr>
          <w:noProof/>
        </w:rPr>
        <w:t>II. melléklet az olyan nem veszélyes műanyaghulladék tekintetében, amelyet az egyezmény ellenőrzési rendszerének hatálya alá kell vonni,</w:t>
      </w:r>
    </w:p>
    <w:p>
      <w:pPr>
        <w:pStyle w:val="Tiret0"/>
        <w:numPr>
          <w:ilvl w:val="0"/>
          <w:numId w:val="12"/>
        </w:numPr>
        <w:rPr>
          <w:noProof/>
        </w:rPr>
      </w:pPr>
      <w:r>
        <w:rPr>
          <w:noProof/>
        </w:rPr>
        <w:t>VIII. melléklet az olyan veszélyes műanyaghulladék tekintetében, amelyet szintén az ellenőrzési rendszer hatálya alá kell vonni,</w:t>
      </w:r>
    </w:p>
    <w:p>
      <w:pPr>
        <w:pStyle w:val="Tiret0"/>
        <w:numPr>
          <w:ilvl w:val="0"/>
          <w:numId w:val="12"/>
        </w:numPr>
        <w:rPr>
          <w:noProof/>
        </w:rPr>
      </w:pPr>
      <w:r>
        <w:rPr>
          <w:noProof/>
        </w:rPr>
        <w:t xml:space="preserve">IX. melléklet az olyan nem veszélyes műanyaghulladék tekintetében, amelyet nem kell az egyezmény ellenőrzési rendszerének hatálya alá vonni, hacsak az említett hulladék nem tartalmaz az egyezmény I. melléklete szerinti anyagot olyan mértékben, hogy a III. melléklet szerinti veszélyességi jellemzőket mutassa.  </w:t>
      </w:r>
    </w:p>
    <w:p>
      <w:pPr>
        <w:pStyle w:val="ManualConsidrant"/>
        <w:rPr>
          <w:noProof/>
        </w:rPr>
      </w:pPr>
      <w:r>
        <w:t>(4)</w:t>
      </w:r>
      <w:r>
        <w:tab/>
      </w:r>
      <w:r>
        <w:rPr>
          <w:noProof/>
        </w:rPr>
        <w:t xml:space="preserve">A Norvégia által benyújtott, az egyezmény II., VIII. és IX. mellékletének módosítására irányuló javaslatot 2018. október 26-án továbbították a részes feleknek. A javaslat értelmében a IX. melléklet egyik, felülvizsgált bejegyzésébe besorolt nem veszélyes műanyaghulladékokkal továbbra is az egyezményben meghatározott feltételek mellett </w:t>
      </w:r>
      <w:r>
        <w:rPr>
          <w:noProof/>
        </w:rPr>
        <w:lastRenderedPageBreak/>
        <w:t>kereskedhetnek az egyes országok, míg a II. és a VIII. mellékletbe újonnan felvett különleges figyelmet igénylő, illetve veszélyes műanyaghulladékok az egyezmény ellenőrzési rendszerének hatálya alá kerülnek.</w:t>
      </w:r>
    </w:p>
    <w:p>
      <w:pPr>
        <w:pStyle w:val="ManualConsidrant"/>
        <w:rPr>
          <w:noProof/>
        </w:rPr>
      </w:pPr>
      <w:r>
        <w:t>(5)</w:t>
      </w:r>
      <w:r>
        <w:tab/>
      </w:r>
      <w:r>
        <w:rPr>
          <w:noProof/>
        </w:rPr>
        <w:t>Helyénvaló meghatározni az Unió által a Részes Felek Konferenciáján képviselendő álláspontot</w:t>
      </w:r>
      <w:r>
        <w:t>,</w:t>
      </w:r>
      <w:r>
        <w:rPr>
          <w:noProof/>
        </w:rPr>
        <w:t xml:space="preserve"> mivel a tervezett jogi aktus meghatározó módon befolyásolja majd az uniós szabályozás, nevezetesen a hulladékszállításról szóló, 2006. június 14-i 1013/2006/EK európai parlamenti és tanácsi rendelet</w:t>
      </w:r>
      <w:r>
        <w:rPr>
          <w:rStyle w:val="FootnoteReference"/>
          <w:noProof/>
        </w:rPr>
        <w:footnoteReference w:id="9"/>
      </w:r>
      <w:r>
        <w:rPr>
          <w:noProof/>
        </w:rPr>
        <w:t xml:space="preserve"> tartalmát.</w:t>
      </w:r>
    </w:p>
    <w:p>
      <w:pPr>
        <w:pStyle w:val="ManualConsidrant"/>
        <w:rPr>
          <w:noProof/>
        </w:rPr>
      </w:pPr>
      <w:r>
        <w:t>(6)</w:t>
      </w:r>
      <w:r>
        <w:tab/>
      </w:r>
      <w:r>
        <w:rPr>
          <w:noProof/>
        </w:rPr>
        <w:t>Az Uniónak támogatnia kell az egyezmény mellékleteinek említett módosításait, mivel e módosítások hozzá fognak járulni a műanyaghulladék-kivitel ellenőrzésének javításához, megakadályozzák a műanyaghulladék olyan országokba történő kivitelét, amelyek nem rendelkeznek a hulladék hatékony gyűjtését és környezetkímélő kezelését biztosító megfelelő infrastruktúrával, hozzájárulnak a környezetvédelmi szempontból megfelelő műanyaghulladék-gazdálkodáshoz, csökkentik annak kockázatát, hogy a műanyaghulladék a környezetbe jusson, továbbá megelőzik a tengeri hulladék globális környezeti problémáját.</w:t>
      </w:r>
    </w:p>
    <w:p>
      <w:pPr>
        <w:pStyle w:val="ManualConsidrant"/>
        <w:rPr>
          <w:noProof/>
        </w:rPr>
      </w:pPr>
      <w:r>
        <w:t>(7)</w:t>
      </w:r>
      <w:r>
        <w:tab/>
      </w:r>
      <w:r>
        <w:rPr>
          <w:noProof/>
        </w:rPr>
        <w:t>Helyénvaló fenntartani a műanyaghulladékok Unión és EGT-n belüli szállításával kapcsolatos jelenlegi helyzetet, és nem alkalmazni a Bázeli Egyezmény ellenőrzési rendszerét azon hulladékok esetében, amelyek a Bázeli Egyezmény részes feleinek 14. konferenciáján adott esetben felvételre kerülnek a II. és a VIII. mellékletbe. Ezért az Uniónak bejelentést kell tennie az érintett műanyaghulladékoknak az EU-n és az EGT-n belüli szállítmányaira vonatkozó uniós rendelkezésekről, amennyiben ezek a rendelkezések eltérnek a tervezett jogi aktustól, és abban ki kell jelentenie, hogy rendelkezései az egyezménnyel összeegyeztethető, környezetvédelmi szempontból megfelelő irányítási rendszeren alapulnak. Ezt a bejelentést az egyezmény 11. cikkének megfelelően az egyezmény titkárságának kell benyújtani,</w:t>
      </w:r>
    </w:p>
    <w:p>
      <w:pPr>
        <w:pStyle w:val="Formuledadoption"/>
        <w:rPr>
          <w:noProof/>
        </w:rPr>
      </w:pPr>
      <w:r>
        <w:rPr>
          <w:noProof/>
        </w:rPr>
        <w:t>ELFOGADTA EZT A HATÁROZATOT:</w:t>
      </w:r>
    </w:p>
    <w:p>
      <w:pPr>
        <w:pStyle w:val="Titrearticle"/>
        <w:rPr>
          <w:noProof/>
        </w:rPr>
      </w:pPr>
      <w:r>
        <w:rPr>
          <w:noProof/>
        </w:rPr>
        <w:t>1. cikk</w:t>
      </w:r>
    </w:p>
    <w:p>
      <w:pPr>
        <w:pStyle w:val="Point0number"/>
        <w:numPr>
          <w:ilvl w:val="0"/>
          <w:numId w:val="43"/>
        </w:numPr>
        <w:rPr>
          <w:noProof/>
        </w:rPr>
      </w:pPr>
      <w:r>
        <w:rPr>
          <w:noProof/>
        </w:rPr>
        <w:t>A Bázeli Egyezmény részes feleinek 14. konferenciáján az Unió által képviselendő álláspont a (2) bekezdésre is figyelemmel a következő:</w:t>
      </w:r>
    </w:p>
    <w:p>
      <w:pPr>
        <w:rPr>
          <w:noProof/>
        </w:rPr>
      </w:pPr>
      <w:r>
        <w:rPr>
          <w:noProof/>
        </w:rPr>
        <w:t>Az Unió támogatja az alábbi mellékleteknek a műanyaghulladékokra vonatkozó bejegyzések tekintetében történő módosítását vagy kiegészítését:</w:t>
      </w:r>
    </w:p>
    <w:p>
      <w:pPr>
        <w:pStyle w:val="Tiret0"/>
        <w:numPr>
          <w:ilvl w:val="0"/>
          <w:numId w:val="12"/>
        </w:numPr>
        <w:rPr>
          <w:noProof/>
        </w:rPr>
      </w:pPr>
      <w:r>
        <w:rPr>
          <w:noProof/>
        </w:rPr>
        <w:t>II. melléklet az olyan nem veszélyes műanyaghulladék tekintetében, amelyet az egyezmény ellenőrzési rendszerének hatálya alá kell vonni,</w:t>
      </w:r>
    </w:p>
    <w:p>
      <w:pPr>
        <w:pStyle w:val="Tiret0"/>
        <w:numPr>
          <w:ilvl w:val="0"/>
          <w:numId w:val="12"/>
        </w:numPr>
        <w:rPr>
          <w:noProof/>
        </w:rPr>
      </w:pPr>
      <w:r>
        <w:rPr>
          <w:noProof/>
        </w:rPr>
        <w:t>VIII. melléklet az olyan veszélyes műanyaghulladék tekintetében, amelyet szintén az ellenőrzési rendszer hatálya alá kell vonni,</w:t>
      </w:r>
    </w:p>
    <w:p>
      <w:pPr>
        <w:pStyle w:val="Tiret0"/>
        <w:numPr>
          <w:ilvl w:val="0"/>
          <w:numId w:val="12"/>
        </w:numPr>
        <w:rPr>
          <w:noProof/>
        </w:rPr>
      </w:pPr>
      <w:r>
        <w:rPr>
          <w:noProof/>
        </w:rPr>
        <w:t>IX. melléklet az olyan nem veszélyes műanyaghulladék tekintetében, amelyet nem kell az egyezmény ellenőrzési rendszerének hatálya alá vonni, hacsak az említett hulladék nem tartalmaz az egyezmény I. melléklete szerinti anyagot olyan mértékben, hogy a III. melléklet szerinti veszélyességi jellemzőket mutassa.</w:t>
      </w:r>
    </w:p>
    <w:p>
      <w:pPr>
        <w:pStyle w:val="Point0number"/>
        <w:rPr>
          <w:noProof/>
        </w:rPr>
      </w:pPr>
      <w:r>
        <w:rPr>
          <w:noProof/>
        </w:rPr>
        <w:t xml:space="preserve">A tervezett jogi aktusnak a Bázeli Egyezmény részes feleinek konferenciája által történő elfogadását követően az Unió az egyezmény 11. cikkének megfelelően bejelenti az egyezmény titkárságának a tervezett jogi aktus hatálya alá tartozó </w:t>
      </w:r>
      <w:r>
        <w:rPr>
          <w:noProof/>
        </w:rPr>
        <w:lastRenderedPageBreak/>
        <w:t xml:space="preserve">műanyaghulladékoknak az EU-n és az EGT-n belüli szállítmányaira vonatkozó uniós rendelkezéseket, amennyiben ezek a rendelkezések eltérnek a tervezett jogi aktustól. </w:t>
      </w:r>
    </w:p>
    <w:p>
      <w:pPr>
        <w:pStyle w:val="Text1"/>
        <w:rPr>
          <w:noProof/>
        </w:rPr>
      </w:pPr>
    </w:p>
    <w:p>
      <w:pPr>
        <w:pStyle w:val="Titrearticle"/>
        <w:rPr>
          <w:noProof/>
        </w:rPr>
      </w:pPr>
      <w:r>
        <w:rPr>
          <w:noProof/>
        </w:rPr>
        <w:t>2. cikk</w:t>
      </w:r>
    </w:p>
    <w:p>
      <w:pPr>
        <w:rPr>
          <w:noProof/>
        </w:rPr>
      </w:pPr>
      <w:r>
        <w:rPr>
          <w:noProof/>
        </w:rPr>
        <w:t>Ennek a határozatnak a Bizottság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code="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A Tanács 93/98/EGK határozata (1993. február 1.) a veszélyes hulladékok országhatárokat átlépő szállításának és ártalmatlanításának ellenőrzéséről szóló egyezménynek (bázeli egyezmény) a Közösség részéről történő megkötéséről (HL L 39., 1993.2.16., 1. o.).</w:t>
      </w:r>
    </w:p>
  </w:footnote>
  <w:footnote w:id="2">
    <w:p>
      <w:pPr>
        <w:pStyle w:val="FootnoteText"/>
      </w:pPr>
      <w:r>
        <w:rPr>
          <w:rStyle w:val="FootnoteReference"/>
        </w:rPr>
        <w:footnoteRef/>
      </w:r>
      <w:r>
        <w:tab/>
        <w:t>A javaslat szövege a Bázeli Egyezmény honlapján érhető el, lásd: http://www.basel.int/TheConvention/Communications/tabid/1596/Default.aspx</w:t>
      </w:r>
    </w:p>
  </w:footnote>
  <w:footnote w:id="3">
    <w:p>
      <w:pPr>
        <w:pStyle w:val="FootnoteText"/>
      </w:pPr>
      <w:r>
        <w:rPr>
          <w:rStyle w:val="FootnoteReference"/>
        </w:rPr>
        <w:footnoteRef/>
      </w:r>
      <w:r>
        <w:tab/>
        <w:t>HL L 190., 2006.7.12., 1. o.</w:t>
      </w:r>
    </w:p>
  </w:footnote>
  <w:footnote w:id="4">
    <w:p>
      <w:pPr>
        <w:pStyle w:val="FootnoteText"/>
      </w:pPr>
      <w:r>
        <w:rPr>
          <w:rStyle w:val="FootnoteReference"/>
        </w:rPr>
        <w:footnoteRef/>
      </w:r>
      <w:r>
        <w:tab/>
        <w:t xml:space="preserve">A Bizottság közleménye az Európai Parlamentnek, a Tanácsnak, az Európai Gazdasági és Szociális Bizottságnak és a Régiók Bizottságának: A műanyagok körforgásos gazdaságban betöltött szerepével kapcsolatos európai stratégia (COM(2018) 28 final).  </w:t>
      </w:r>
    </w:p>
  </w:footnote>
  <w:footnote w:id="5">
    <w:p>
      <w:pPr>
        <w:pStyle w:val="FootnoteText"/>
      </w:pPr>
      <w:r>
        <w:rPr>
          <w:rStyle w:val="FootnoteReference"/>
        </w:rPr>
        <w:footnoteRef/>
      </w:r>
      <w:r>
        <w:tab/>
        <w:t>Az EGT Vegyes Bizottság 73/2008 határozata (2008. június 6.).</w:t>
      </w:r>
    </w:p>
  </w:footnote>
  <w:footnote w:id="6">
    <w:p>
      <w:pPr>
        <w:pStyle w:val="FootnoteText"/>
      </w:pPr>
      <w:r>
        <w:rPr>
          <w:rStyle w:val="FootnoteReference"/>
        </w:rPr>
        <w:footnoteRef/>
      </w:r>
      <w:r>
        <w:tab/>
        <w:t xml:space="preserve">C (2001)107/final határozat a hulladékok hasznosítási célú, határokat átlépő szállításának felügyeletéről (on the Control of Transboundary Movements of Wastes Destined for Recovery Operations, </w:t>
      </w:r>
      <w:hyperlink r:id="rId1">
        <w:r>
          <w:rPr>
            <w:rStyle w:val="Hyperlink"/>
          </w:rPr>
          <w:t>http://www.basel.int/Countries/Agreements/tabid/1482/Default.aspx</w:t>
        </w:r>
      </w:hyperlink>
      <w:r>
        <w:t>)</w:t>
      </w:r>
      <w:r>
        <w:tab/>
      </w:r>
    </w:p>
  </w:footnote>
  <w:footnote w:id="7">
    <w:p>
      <w:pPr>
        <w:pStyle w:val="FootnoteText"/>
      </w:pPr>
      <w:r>
        <w:rPr>
          <w:rStyle w:val="FootnoteReference"/>
        </w:rPr>
        <w:footnoteRef/>
      </w:r>
      <w:r>
        <w:tab/>
        <w:t xml:space="preserve">A Bíróság 2014. október 7-i ítélete, Németország kontra Tanács, C-399/12, ECLI:EU:C:2014:2258, 61–64. pont. </w:t>
      </w:r>
    </w:p>
  </w:footnote>
  <w:footnote w:id="8">
    <w:p>
      <w:pPr>
        <w:pStyle w:val="FootnoteText"/>
      </w:pPr>
      <w:r>
        <w:rPr>
          <w:rStyle w:val="FootnoteReference"/>
        </w:rPr>
        <w:footnoteRef/>
      </w:r>
      <w:r>
        <w:tab/>
        <w:t>HL L 39., 1993.2.16., 1. o.</w:t>
      </w:r>
    </w:p>
  </w:footnote>
  <w:footnote w:id="9">
    <w:p>
      <w:pPr>
        <w:pStyle w:val="FootnoteText"/>
      </w:pPr>
      <w:r>
        <w:rPr>
          <w:rStyle w:val="FootnoteReference"/>
        </w:rPr>
        <w:footnoteRef/>
      </w:r>
      <w:r>
        <w:tab/>
        <w:t>HL L 190., 2006.7.12.,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1"/>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1:14: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2"/>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5DEB3E0-2A72-44BD-942E-33197D2027B7"/>
    <w:docVar w:name="LW_COVERPAGE_TYPE" w:val="1"/>
    <w:docVar w:name="LW_CROSSREFERENCE" w:val="&lt;UNUSED&gt;"/>
    <w:docVar w:name="LW_DocType" w:val="COM"/>
    <w:docVar w:name="LW_EMISSION" w:val="2019.1.23."/>
    <w:docVar w:name="LW_EMISSION_ISODATE" w:val="2019-01-23"/>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08"/>
    <w:docVar w:name="LW_REF.II.NEW.CP_YEAR" w:val="2019"/>
    <w:docVar w:name="LW_REF.INST.NEW" w:val="COM"/>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 veszélyes hulladékok országhatárokat átlép\u337? szállításának ellen\u337?rzésér\u337?l és ártalmatlanításáról szóló bázeli egyezmény részes feleinek 14. konferenciáján az egyezmény II., VIII. és IX. mellékletének bizonyos módosításai tekintetében az Unió által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Countries/Agreements/tabid/1482/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8091C5E0-9B24-49B2-9B14-221EE182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2606</Words>
  <Characters>18405</Characters>
  <Application>Microsoft Office Word</Application>
  <DocSecurity>0</DocSecurity>
  <Lines>296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2019-01-11T13:20:00Z</dcterms:created>
  <dcterms:modified xsi:type="dcterms:W3CDTF">2019-01-14T10:14:00Z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