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D3EE682-DA74-4F92-9F6D-878E5EE3E05D" style="width:451.25pt;height:420.3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Anexă </w:t>
      </w:r>
    </w:p>
    <w:p>
      <w:pPr>
        <w:jc w:val="center"/>
        <w:rPr>
          <w:rFonts w:ascii="Times New Roman" w:eastAsia="Times New Roman" w:hAnsi="Times New Roman" w:cs="Times New Roman"/>
          <w:b/>
          <w:noProof/>
          <w:sz w:val="24"/>
          <w:szCs w:val="24"/>
        </w:rPr>
      </w:pPr>
      <w:r>
        <w:rPr>
          <w:rFonts w:ascii="Times New Roman" w:hAnsi="Times New Roman"/>
          <w:b/>
          <w:noProof/>
          <w:sz w:val="24"/>
        </w:rPr>
        <w:t xml:space="preserve">Informații generale privind raportul în temeiul articolului 16 alineatul (1) din </w:t>
      </w:r>
    </w:p>
    <w:p>
      <w:pPr>
        <w:jc w:val="center"/>
        <w:rPr>
          <w:rFonts w:ascii="Times New Roman" w:eastAsia="Times New Roman" w:hAnsi="Times New Roman" w:cs="Times New Roman"/>
          <w:b/>
          <w:noProof/>
          <w:sz w:val="24"/>
          <w:szCs w:val="24"/>
        </w:rPr>
      </w:pPr>
      <w:r>
        <w:rPr>
          <w:rFonts w:ascii="Times New Roman" w:hAnsi="Times New Roman"/>
          <w:b/>
          <w:noProof/>
          <w:sz w:val="24"/>
        </w:rPr>
        <w:t>Regulamentul (UE) nr. 511/2014</w:t>
      </w:r>
    </w:p>
    <w:p>
      <w:pPr>
        <w:spacing w:after="150"/>
        <w:jc w:val="both"/>
        <w:outlineLvl w:val="0"/>
        <w:rPr>
          <w:rFonts w:ascii="Times New Roman" w:hAnsi="Times New Roman" w:cs="Times New Roman"/>
          <w:i/>
          <w:noProof/>
          <w:sz w:val="24"/>
          <w:szCs w:val="24"/>
          <w:u w:color="12282C"/>
        </w:rPr>
      </w:pPr>
      <w:r>
        <w:rPr>
          <w:rFonts w:ascii="Times New Roman" w:hAnsi="Times New Roman"/>
          <w:i/>
          <w:noProof/>
          <w:sz w:val="24"/>
          <w:u w:color="12282C"/>
        </w:rPr>
        <w:t>Obligații internaționale care decurg din Protocolul de la Nagoya</w:t>
      </w:r>
    </w:p>
    <w:p>
      <w:pPr>
        <w:spacing w:after="150"/>
        <w:jc w:val="both"/>
        <w:rPr>
          <w:rFonts w:ascii="Times New Roman" w:hAnsi="Times New Roman" w:cs="Times New Roman"/>
          <w:noProof/>
          <w:sz w:val="24"/>
          <w:szCs w:val="24"/>
          <w:u w:color="12282C"/>
        </w:rPr>
      </w:pPr>
      <w:r>
        <w:rPr>
          <w:rFonts w:ascii="Times New Roman" w:hAnsi="Times New Roman"/>
          <w:noProof/>
          <w:sz w:val="24"/>
          <w:u w:color="12282C"/>
        </w:rPr>
        <w:t>Protocolul de la Nagoya este un acord internațional adoptat în octombrie 2010</w:t>
      </w:r>
      <w:r>
        <w:rPr>
          <w:rFonts w:ascii="Times New Roman" w:hAnsi="Times New Roman"/>
          <w:noProof/>
          <w:sz w:val="24"/>
          <w:u w:color="12282C"/>
          <w:vertAlign w:val="superscript"/>
        </w:rPr>
        <w:footnoteReference w:id="1"/>
      </w:r>
      <w:r>
        <w:rPr>
          <w:rFonts w:ascii="Times New Roman" w:hAnsi="Times New Roman"/>
          <w:noProof/>
          <w:sz w:val="24"/>
          <w:u w:color="12282C"/>
        </w:rPr>
        <w:t xml:space="preserve"> în vederea punerii în aplicare a celui de al treilea obiectiv al Convenției privind diversitatea biologică (CBD)</w:t>
      </w:r>
      <w:r>
        <w:rPr>
          <w:rFonts w:ascii="Times New Roman" w:hAnsi="Times New Roman"/>
          <w:noProof/>
          <w:sz w:val="24"/>
          <w:u w:color="12282C"/>
          <w:vertAlign w:val="superscript"/>
        </w:rPr>
        <w:footnoteReference w:id="2"/>
      </w:r>
      <w:r>
        <w:rPr>
          <w:rFonts w:ascii="Times New Roman" w:hAnsi="Times New Roman"/>
          <w:noProof/>
          <w:sz w:val="24"/>
          <w:u w:color="12282C"/>
        </w:rPr>
        <w:t xml:space="preserve">, mai exact împărțirea corectă și echitabilă a beneficiilor care rezultă din utilizarea resurselor genetice. Se preconizează ca beneficiile să fie direcționate și să contribuie astfel la îndeplinirea primelor două obiective ale CBD, mai precis conservarea diversității biologice și utilizarea durabilă a componentelor diversității biologice. </w:t>
      </w:r>
    </w:p>
    <w:p>
      <w:pPr>
        <w:spacing w:after="150"/>
        <w:jc w:val="both"/>
        <w:rPr>
          <w:rFonts w:ascii="Times New Roman" w:hAnsi="Times New Roman"/>
          <w:noProof/>
          <w:sz w:val="24"/>
          <w:szCs w:val="24"/>
        </w:rPr>
      </w:pPr>
      <w:r>
        <w:rPr>
          <w:rFonts w:ascii="Times New Roman" w:hAnsi="Times New Roman"/>
          <w:noProof/>
          <w:sz w:val="24"/>
          <w:u w:color="12282C"/>
        </w:rPr>
        <w:t xml:space="preserve">Protocolul stabilește un cadru comun de principii și măsuri privind accesul la resurse genetice și împărțirea beneficiilor care rezultă din utilizarea acestora (denumit, în mod obișnuit, „protocolul privind accesul și împărțirea beneficiilor”). </w:t>
      </w:r>
      <w:r>
        <w:rPr>
          <w:rFonts w:ascii="Times New Roman" w:hAnsi="Times New Roman"/>
          <w:noProof/>
          <w:sz w:val="24"/>
        </w:rPr>
        <w:t xml:space="preserve">Protocolul de la Nagoya vizează trei tipuri de măsuri: accesul, împărțirea beneficiilor și măsurile de conformitate. Toate părțile la protocol pot stabili măsuri privind accesul în exercitarea drepturilor lor suverane asupra resurselor genetice, având în vedere cerințele din protocol referitoare la astfel de măsuri (claritate, transparență, proceduri echitabile și nearbitrare privind accesul etc.). Măsurile privind accesul ar trebui să stabilească anumite condiții cu privire la modul de obținere a consimțământului prealabil în cunoștință de cauză din partea unei țări furnizoare și de stabilire a unor termeni conveniți de comun acord privind împărțirea beneficiilor între furnizorul și utilizatorul de resurse genetice. Cel de al doilea tip de măsuri, mai precis împărțirea beneficiilor, intră sub incidența acordurilor contractuale (termeni conveniți de comun acord) și face obiectul dreptului contractual. Cel de al treilea tip de măsuri se referă la stabilirea măsurilor de conformitate, aceasta fiind una dintre obligațiile stabilite prin protocol. Fiecare parte ia măsuri legislative, administrative sau de politică adecvate, eficace și proporționate pentru a se asigura că resursele genetice utilizate în cadrul jurisdicției sale au fost accesate în conformitate cu procedura de consimțământ prealabil în cunoștință de cauză și că s-au stabilit termeni conveniți de comun acord, în conformitate cu legislația țării furnizoare privind accesul și împărțirea beneficiilor. Pentru a sprijini conformitatea, fiecare parte ia măsuri corespunzătoare, după caz, pentru a monitoriza utilizarea resurselor genetice. În acest context, părțile trebuie să stabilească puncte de control în vederea colectării de informații relevante privind procedura de consimțământ prealabil în cunoștință de cauză și termenii conveniți de comun acord. Aceste informații sunt transmise Centrului pentru schimbul de informații </w:t>
      </w:r>
      <w:r>
        <w:rPr>
          <w:rFonts w:ascii="Times New Roman" w:hAnsi="Times New Roman"/>
          <w:noProof/>
          <w:sz w:val="24"/>
        </w:rPr>
        <w:lastRenderedPageBreak/>
        <w:t>privind accesul și împărțirea beneficiilor (ABSCH)</w:t>
      </w:r>
      <w:r>
        <w:rPr>
          <w:rFonts w:ascii="Times New Roman" w:hAnsi="Times New Roman"/>
          <w:noProof/>
          <w:sz w:val="24"/>
          <w:vertAlign w:val="superscript"/>
        </w:rPr>
        <w:footnoteReference w:id="3"/>
      </w:r>
      <w:r>
        <w:rPr>
          <w:rFonts w:ascii="Times New Roman" w:hAnsi="Times New Roman"/>
          <w:noProof/>
          <w:sz w:val="24"/>
        </w:rPr>
        <w:t xml:space="preserve"> și țării furnizoare. ABSCH este o platformă IT unde părțile încarcă toate măsurile legislative, administrative și de politică relevante; cum ar fi legislația privind accesul, permisele eliberate de țara respectivă (transpuse într-un certificat de conformitate recunoscut pe plan internațional), informații privind monitorizarea utilizării resurselor genetice (transpuse ulterior în comunicate privind punctele de control), informații privind autoritățile naționale competente etc. ABSCH permite schimbul de informații relevante între toate părțile implicate.</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57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color w:val="333333"/>
          <w:sz w:val="20"/>
          <w:shd w:val="clear" w:color="auto" w:fill="FFFFFF"/>
        </w:rPr>
        <w:t>Protocolul de la Nagoya privind accesul la resursele genetice și împărțirea corectă și echitabilă a beneficiilor care rezultă din utilizarea acestora la Convenția privind diversitatea biologică</w:t>
      </w:r>
      <w:r>
        <w:rPr>
          <w:rStyle w:val="apple-converted-space"/>
          <w:rFonts w:ascii="Times New Roman" w:hAnsi="Times New Roman"/>
          <w:color w:val="333333"/>
          <w:sz w:val="20"/>
          <w:shd w:val="clear" w:color="auto" w:fill="FFFFFF"/>
        </w:rPr>
        <w:t> </w:t>
      </w:r>
      <w:r>
        <w:rPr>
          <w:rFonts w:ascii="Times New Roman" w:hAnsi="Times New Roman"/>
          <w:color w:val="333333"/>
          <w:sz w:val="20"/>
          <w:shd w:val="clear" w:color="auto" w:fill="FFFFFF"/>
        </w:rPr>
        <w:t>a fost adoptat la 29 octombrie 2010 la Nagoya, Japonia, de către a zecea reuniune a Conferinței părților</w:t>
      </w:r>
      <w:r>
        <w:rPr>
          <w:rFonts w:ascii="Times New Roman" w:hAnsi="Times New Roman"/>
          <w:sz w:val="20"/>
        </w:rPr>
        <w:t xml:space="preserve"> la </w:t>
      </w:r>
      <w:r>
        <w:rPr>
          <w:rFonts w:ascii="Times New Roman" w:hAnsi="Times New Roman"/>
          <w:color w:val="333333"/>
          <w:sz w:val="20"/>
          <w:shd w:val="clear" w:color="auto" w:fill="FFFFFF"/>
        </w:rPr>
        <w:t>CBD și a intrat în vigoare la 12 octombrie 2014,</w:t>
      </w:r>
      <w:r>
        <w:rPr>
          <w:rFonts w:ascii="Times New Roman" w:hAnsi="Times New Roman"/>
          <w:sz w:val="20"/>
        </w:rPr>
        <w:t xml:space="preserve"> http://www.cbd.int/abs/.</w:t>
      </w:r>
      <w:r>
        <w:rPr>
          <w:rStyle w:val="Hyperlink"/>
          <w:rFonts w:ascii="Times New Roman" w:hAnsi="Times New Roman"/>
          <w:sz w:val="20"/>
          <w:u w:color="12282C"/>
        </w:rPr>
        <w:t xml:space="preserve"> </w:t>
      </w:r>
    </w:p>
  </w:footnote>
  <w:footnote w:id="2">
    <w:p>
      <w:pPr>
        <w:spacing w:after="0" w:line="240" w:lineRule="auto"/>
        <w:jc w:val="both"/>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color w:val="333333"/>
          <w:sz w:val="20"/>
          <w:shd w:val="clear" w:color="auto" w:fill="FFFFFF"/>
        </w:rPr>
        <w:t>Convenția ONU privind diversitatea biologică, adoptată în 1992 la Nairobi și deschisă spre semnare cu ocazia Summitului Pământului de la Rio (5 iunie 1992). CBD a fost aprobată, în numele Uniunii Europene, în cadrul Deciziei Consiliului din 25 octombrie 1993 privind încheierea Convenției privind diversitatea biologică; JO L 309 din 13.12.1993, p. 1 - https://eur-lex.europa.eu/legal-content/RO/TXT/?uri=celex:31993D0626.</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Articolul 14 din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a"/>
    <w:docVar w:name="LW_ANNEX_NBR_FIRST" w:val="1"/>
    <w:docVar w:name="LW_ANNEX_NBR_LAST" w:val="1"/>
    <w:docVar w:name="LW_ANNEX_UNIQUE" w:val="1"/>
    <w:docVar w:name="LW_CORRIGENDUM" w:val="&lt;UNUSED&gt;"/>
    <w:docVar w:name="LW_COVERPAGE_EXISTS" w:val="True"/>
    <w:docVar w:name="LW_COVERPAGE_GUID" w:val="1D3EE682-DA74-4F92-9F6D-878E5EE3E05D"/>
    <w:docVar w:name="LW_COVERPAGE_TYPE" w:val="1"/>
    <w:docVar w:name="LW_CROSSREFERENCE" w:val="&lt;UNUSED&gt;"/>
    <w:docVar w:name="LW_DocType" w:val="NORMAL"/>
    <w:docVar w:name="LW_EMISSION" w:val="24.1.2019"/>
    <w:docVar w:name="LW_EMISSION_ISODATE" w:val="2019-01-24"/>
    <w:docVar w:name="LW_EMISSION_LOCATION" w:val="BRX"/>
    <w:docVar w:name="LW_EMISSION_PREFIX" w:val="Bruxelles, "/>
    <w:docVar w:name="LW_EMISSION_SUFFIX" w:val=" "/>
    <w:docVar w:name="LW_ID_DOCTYPE_NONLW" w:val="CP-039"/>
    <w:docVar w:name="LW_LANGUE" w:val="RO"/>
    <w:docVar w:name="LW_LEVEL_OF_SENSITIVITY" w:val="Standard treatment"/>
    <w:docVar w:name="LW_NOM.INST" w:val="COMISIA EUROPEAN\u258?"/>
    <w:docVar w:name="LW_NOM.INST_JOINTDOC" w:val="&lt;EMPTY&gt;"/>
    <w:docVar w:name="LW_OBJETACTEPRINCIPAL.CP" w:val="Regulamentul (UE) nr. 511/2014 al Parlamentului European \u537?i al Consiliului din_x000b_16 aprilie 2014 privind m\u259?surile de conformitate destinate utilizatorilor prev\u259?zute în Protocolul de la Nagoya privind accesul la resursele genetice \u537?i împ\u259?r\u539?irea corect\u259? \u537?i echitabil\u259? a beneficiilor care rezult\u259? din utilizarea acestora în Uniune _x000b_"/>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u258?_x000b_"/>
    <w:docVar w:name="LW_TYPEACTEPRINCIPAL.CP" w:val="RAPORTU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470</Words>
  <Characters>3019</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CIACCI Mery (ENV)</dc:creator>
  <cp:keywords/>
  <dc:description/>
  <cp:lastModifiedBy>WES PDFC Administrator</cp:lastModifiedBy>
  <cp:revision>14</cp:revision>
  <dcterms:created xsi:type="dcterms:W3CDTF">2019-01-10T18:36:00Z</dcterms:created>
  <dcterms:modified xsi:type="dcterms:W3CDTF">2019-01-23T09:12:00Z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