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2C59B7A-3D62-47DC-8C0C-E9D81C6D7E9C"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ZALECENIA</w:t>
      </w:r>
    </w:p>
    <w:p>
      <w:pPr>
        <w:pStyle w:val="ManualHeading2"/>
        <w:rPr>
          <w:noProof/>
        </w:rPr>
      </w:pPr>
      <w:r>
        <w:rPr>
          <w:noProof/>
        </w:rPr>
        <w:t>•</w:t>
      </w:r>
      <w:r>
        <w:rPr>
          <w:noProof/>
        </w:rPr>
        <w:tab/>
        <w:t>Przyczyny i cele zalecenia</w:t>
      </w:r>
    </w:p>
    <w:p>
      <w:pPr>
        <w:spacing w:before="100" w:beforeAutospacing="1" w:after="100" w:afterAutospacing="1"/>
        <w:rPr>
          <w:noProof/>
        </w:rPr>
      </w:pPr>
      <w:r>
        <w:rPr>
          <w:noProof/>
        </w:rPr>
        <w:t xml:space="preserve">W dniu 25 lipca 2018 r. przewodniczący Komisji Europejskiej i prezydent Stanów Zjednoczonych Ameryki osiągnęli porozumienie w sprawie rozpoczęcia nowego etapu w stosunkach handlowych między Stanami Zjednoczonymi a Unią Europejską w celu ułatwienia wymiany handlowej i uniknięcia eskalacji napięć handlowych. </w:t>
      </w:r>
    </w:p>
    <w:p>
      <w:pPr>
        <w:spacing w:before="100" w:beforeAutospacing="1" w:after="100" w:afterAutospacing="1"/>
        <w:rPr>
          <w:noProof/>
        </w:rPr>
      </w:pPr>
      <w:r>
        <w:rPr>
          <w:noProof/>
        </w:rPr>
        <w:t xml:space="preserve">W dniu 25 lipca 2018 r. przyjęto wspólne oświadczenie, w którym przewidziano: zniesienie taryf celnych na towary przemysłowe; zacieśnienie współpracy w kwestiach regulacyjnych i w kwestii norm; ułatwienie handlu nasionami soi; a także zwiększenie handlu skroplonym gazem ziemnym (LNG), aby umożliwić Unii Europejskiej dywersyfikację dostaw energii. Przewodniczący Komisji Europejskiej i prezydent USA uzgodnili również, że połączą siły w celu lepszej ochrony europejskich i amerykańskich przedsiębiorstw przed nieuczciwymi globalnymi praktykami handlowymi oraz podejmą działania w ścisłej współpracy z partnerami o podobnych poglądach w celu zreformowania Światowej Organizacji Handlu (WTO). </w:t>
      </w:r>
    </w:p>
    <w:p>
      <w:pPr>
        <w:spacing w:before="100" w:beforeAutospacing="1" w:after="100" w:afterAutospacing="1"/>
        <w:rPr>
          <w:noProof/>
        </w:rPr>
      </w:pPr>
      <w:r>
        <w:rPr>
          <w:noProof/>
        </w:rPr>
        <w:t xml:space="preserve">W celu realizacji tego wspólnego programu powołano wykonawczą grupę roboczą, której zlecono między innymi określenie krótkoterminowych środków ułatwiających wymianę handlową. Uzgodniono, że w trakcie realizacji wspólnego oświadczenia Unia Europejska i Stany Zjednoczone będą w pełni szanowały ducha tego porozumienia, chyba że jedna ze stron przerwie rokowania. Obie strony zgodziły się również, że chcą rozwiązać kwestię taryf celnych nałożonych na stal i aluminium. </w:t>
      </w:r>
    </w:p>
    <w:p>
      <w:pPr>
        <w:rPr>
          <w:noProof/>
        </w:rPr>
      </w:pPr>
      <w:r>
        <w:rPr>
          <w:noProof/>
        </w:rPr>
        <w:t>Komisja Europejska jest zaangażowana w dobrej wierze we wdrożenie wspólnego oświadczenia z dnia 25 lipca 2018 r. Komisja podejmie decyzję o zawieszeniu rokowań ze Stanami Zjednoczonymi, jeżeli Stany Zjednoczone nie będą przestrzegały zobowiązania podjętego dnia 25 lipca 2018 r. do powstrzymania się od przyjmowania nowych środków przeciwko UE na podstawie sekcji 232 ustawy o rozwoju handlu. Komisja może również zawiesić rokowania, jeżeli Stany Zjednoczone wprowadzą ograniczenia handlowe w odniesieniu do wywozu z UE na podstawie sekcji 301 ustawy o handlu z 1974 r. lub innych podobnych przepisów obowiązujących w Stanach Zjednoczonych.</w:t>
      </w:r>
    </w:p>
    <w:p>
      <w:pPr>
        <w:rPr>
          <w:noProof/>
        </w:rPr>
      </w:pPr>
      <w:r>
        <w:rPr>
          <w:noProof/>
        </w:rPr>
        <w:t xml:space="preserve">Celem rokowań w sprawie zniesienia taryf celnych będzie zniesienie na zasadzie wzajemności wszystkich ceł na towary przemysłowe, z założeniem bezpośredniego zniesienia znacznej części ceł z chwilą wejścia w życie umowy i stopniowego wycofania pozostałych w krótkim czasie. Towary przemysłowe obejmują wszystkie towary oprócz tych, które zostały wymienione w załączniku I do Porozumienia WTO w sprawie rolnictwa. Może zostać wzięta pod uwagę szczególna wrażliwość niektórych produktów. W związku z tym UE jest gotowa wziąć pod uwagę potencjalną wrażliwość Stanów Zjednoczonych w odniesieniu do niektórych produktów motoryzacyjnych. </w:t>
      </w:r>
    </w:p>
    <w:p>
      <w:pPr>
        <w:spacing w:before="100" w:beforeAutospacing="1" w:after="100" w:afterAutospacing="1"/>
        <w:rPr>
          <w:noProof/>
        </w:rPr>
      </w:pPr>
      <w:r>
        <w:rPr>
          <w:noProof/>
        </w:rPr>
        <w:t>UE i USA to największe i najbardziej zintegrowane gospodarki na świecie o długiej, wspólnej historii handlu oraz podobnym poziomie rozwoju gospodarczego. Stany Zjednoczone są głównym odbiorcą wywozu towarów przemysłowych z UE oraz drugim co do wielkości eksporterem towarów przemysłowych do UE (po Chinach). Wartość handlu towarami między UE a USA wyniosła w 2017 r. 633 mld EUR; większość tego handlu dotyczyła towarów przemysłowych (598 mld EUR, z czego 166 mld EUR to wartość maszyn i urządzeń). Około 4,7 mln miejsc pracy w UE związanych jest z produkcją na wywóz do USA. Towary przemysłowe stanowią zdecydowaną większość naszego handlu towarami z USA (94 % wywozu UE i 95 % przywozu). Handel towarami między UE a USA od 10 lat stale rośnie.</w:t>
      </w:r>
    </w:p>
    <w:p>
      <w:pPr>
        <w:spacing w:before="100" w:beforeAutospacing="1" w:after="100" w:afterAutospacing="1"/>
        <w:rPr>
          <w:noProof/>
        </w:rPr>
      </w:pPr>
      <w:r>
        <w:rPr>
          <w:noProof/>
        </w:rPr>
        <w:t xml:space="preserve">Ogólnie rzecz biorąc, zarówno UE, jak i USA, stosują niskie stawki celne na towary przemysłowe. Średnia arytmetyczna stawek celnych stosowanych z klauzulą największego uprzywilejowania (KNU) wynosi odpowiednio 4,2 % i 3,1 %. Chociaż obowiązujące poziomy ceł są stosunkowo niskie, sama skala naszych stosunków handlowych oznacza, że zniesienie wszystkich ceł na towary przemysłowe będzie miało istotny wpływ na przedsiębiorstwa i konsumentów po obu stronach Atlantyku. </w:t>
      </w:r>
    </w:p>
    <w:p>
      <w:pPr>
        <w:spacing w:before="100" w:beforeAutospacing="1" w:after="100" w:afterAutospacing="1"/>
        <w:rPr>
          <w:noProof/>
        </w:rPr>
      </w:pPr>
      <w:r>
        <w:rPr>
          <w:noProof/>
        </w:rPr>
        <w:t xml:space="preserve">Wewnętrzna analiza wykorzystująca możliwy do obliczenia ogólny model równowagi MIRAGE wykazała, że zniesienie ceł na towary przemysłowe korzystnie wpłynęłoby na obu partnerów pod względem wzrostu handlu dwustronnego. Wywóz towarów z UE do USA wzrósłby o 10 %, a wywóz z USA do UE wzrósłby o 13 %. </w:t>
      </w:r>
    </w:p>
    <w:p>
      <w:pPr>
        <w:spacing w:before="100" w:beforeAutospacing="1" w:after="100" w:afterAutospacing="1"/>
        <w:rPr>
          <w:noProof/>
        </w:rPr>
      </w:pPr>
      <w:r>
        <w:rPr>
          <w:noProof/>
        </w:rPr>
        <w:t>Zniesienie ceł na towary przemysłowe powinno w szczególności przynieść znaczne korzyści gospodarcze małym i średnim przedsiębiorstwom (MŚP), na których ciążą w sposób nieproporcjonalny koszty wprowadzenia produktów do obrotu. Redukcja kosztów, m.in. poprzez zniesienie taryf celnych, może przyczynić się do zwiększenia konkurencyjności wywozu MŚP, a tym samym zwiększyć atrakcyjność wywozu dla MŚP.</w:t>
      </w:r>
    </w:p>
    <w:p>
      <w:pPr>
        <w:pStyle w:val="ManualHeading2"/>
        <w:rPr>
          <w:noProof/>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Zakres niniejszego zalecenia odnosi się wyłącznie do części wspólnego oświadczenia z dnia 25 lipca 2018 r. dotyczącej zniesienia taryf celnych na towary przemysłowe. Wspólne oświadczenie zostało przyjęte w wyjątkowych okolicznościach, aby uniknąć eskalacji napięć handlowych między UE a Stanami Zjednoczonymi. </w:t>
      </w:r>
    </w:p>
    <w:p>
      <w:pPr>
        <w:pBdr>
          <w:top w:val="nil"/>
          <w:left w:val="nil"/>
          <w:bottom w:val="nil"/>
          <w:right w:val="nil"/>
          <w:between w:val="nil"/>
          <w:bar w:val="nil"/>
        </w:pBdr>
        <w:spacing w:before="0" w:after="240"/>
        <w:rPr>
          <w:noProof/>
        </w:rPr>
      </w:pPr>
      <w:r>
        <w:rPr>
          <w:noProof/>
        </w:rPr>
        <w:t xml:space="preserve">Cel, jakim jest załagodzenie napięć handlowych ze Stanami Zjednoczonymi, jest w pełni spójny z Traktatem o Unii Europejskiej (TUE), zgodnie z którym UE powinna zachęcać wszystkie kraje do integracji w ramach gospodarki światowej, między innymi w drodze stopniowego znoszenia ograniczeń w handlu międzynarodowym. </w:t>
      </w:r>
      <w:r>
        <w:rPr>
          <w:rStyle w:val="FootnoteReference"/>
          <w:noProof/>
        </w:rPr>
        <w:footnoteReference w:id="1"/>
      </w:r>
      <w:r>
        <w:rPr>
          <w:noProof/>
        </w:rPr>
        <w:t xml:space="preserve"> </w:t>
      </w:r>
    </w:p>
    <w:p>
      <w:pPr>
        <w:pBdr>
          <w:top w:val="nil"/>
          <w:left w:val="nil"/>
          <w:bottom w:val="nil"/>
          <w:right w:val="nil"/>
          <w:between w:val="nil"/>
          <w:bar w:val="nil"/>
        </w:pBdr>
        <w:spacing w:before="0" w:after="240"/>
        <w:rPr>
          <w:noProof/>
        </w:rPr>
      </w:pPr>
      <w:r>
        <w:rPr>
          <w:noProof/>
        </w:rPr>
        <w:t>Zalecenie dotyczące rozpoczęcia rokowań ze Stanami Zjednoczonymi w sprawie zniesienia ceł nie powinno w żadnym razie być interpretowane jako wskazówka, że Komisja byłaby skłonna odstąpić od obowiązujących zasad polityki handlowej i inwestycyjnej, jak przewidziano w komunikacie Komisji „Handel z korzyścią dla wszystkich: w kierunku bardziej odpowiedzialnej polityki handlowej i inwestycyjnej”.</w:t>
      </w:r>
      <w:r>
        <w:rPr>
          <w:rStyle w:val="FootnoteReference"/>
          <w:noProof/>
        </w:rPr>
        <w:footnoteReference w:id="2"/>
      </w:r>
      <w:r>
        <w:rPr>
          <w:noProof/>
        </w:rPr>
        <w:t xml:space="preserve"> </w:t>
      </w:r>
    </w:p>
    <w:p>
      <w:pPr>
        <w:pStyle w:val="ManualHeading2"/>
        <w:rPr>
          <w:noProof/>
        </w:rPr>
      </w:pPr>
      <w:r>
        <w:rPr>
          <w:noProof/>
        </w:rPr>
        <w:t>•</w:t>
      </w:r>
      <w:r>
        <w:rPr>
          <w:noProof/>
        </w:rPr>
        <w:tab/>
        <w:t>Spójność z innymi obszarami polityki Unii</w:t>
      </w:r>
    </w:p>
    <w:p>
      <w:pPr>
        <w:pBdr>
          <w:top w:val="nil"/>
          <w:left w:val="nil"/>
          <w:bottom w:val="nil"/>
          <w:right w:val="nil"/>
          <w:between w:val="nil"/>
          <w:bar w:val="nil"/>
        </w:pBdr>
        <w:spacing w:before="0" w:after="240"/>
        <w:rPr>
          <w:noProof/>
        </w:rPr>
      </w:pPr>
      <w:r>
        <w:rPr>
          <w:noProof/>
        </w:rPr>
        <w:t xml:space="preserve">Zalecenie to jest spójne z innymi obszarami polityki Unii. </w:t>
      </w:r>
    </w:p>
    <w:p>
      <w:pPr>
        <w:pStyle w:val="ManualHeading1"/>
        <w:rPr>
          <w:noProof/>
        </w:rPr>
      </w:pPr>
      <w:r>
        <w:rPr>
          <w:noProof/>
        </w:rPr>
        <w:t>2.</w:t>
      </w:r>
      <w:r>
        <w:rPr>
          <w:noProof/>
        </w:rPr>
        <w:tab/>
        <w:t>PODSTAWA PRAWNA, POMOCNICZOŚĆ I PROPORCJONALNOŚĆ</w:t>
      </w:r>
    </w:p>
    <w:p>
      <w:pPr>
        <w:pStyle w:val="ManualHeading2"/>
        <w:rPr>
          <w:noProof/>
        </w:rPr>
      </w:pPr>
      <w:r>
        <w:rPr>
          <w:noProof/>
        </w:rPr>
        <w:t>•</w:t>
      </w:r>
      <w:r>
        <w:rPr>
          <w:noProof/>
        </w:rPr>
        <w:tab/>
        <w:t>Podstawa prawna</w:t>
      </w:r>
    </w:p>
    <w:p>
      <w:pPr>
        <w:pBdr>
          <w:top w:val="nil"/>
          <w:left w:val="nil"/>
          <w:bottom w:val="nil"/>
          <w:right w:val="nil"/>
          <w:between w:val="nil"/>
          <w:bar w:val="nil"/>
        </w:pBdr>
        <w:spacing w:before="0" w:after="240"/>
        <w:rPr>
          <w:noProof/>
        </w:rPr>
      </w:pPr>
      <w:r>
        <w:rPr>
          <w:noProof/>
        </w:rPr>
        <w:t>Art. 207 ust. 3 i 4 akapit pierwszy w związku z art. 218 ust. 3 i 4 Traktatu o funkcjonowaniu Unii Europejskiej (TFUE).</w:t>
      </w:r>
    </w:p>
    <w:p>
      <w:pPr>
        <w:pStyle w:val="ManualHeading2"/>
        <w:rPr>
          <w:noProof/>
        </w:rPr>
      </w:pPr>
      <w:r>
        <w:rPr>
          <w:noProof/>
        </w:rPr>
        <w:t xml:space="preserve">Pomocniczość (w przypadku kompetencji niewyłącznych) </w:t>
      </w:r>
    </w:p>
    <w:p>
      <w:pPr>
        <w:pBdr>
          <w:top w:val="nil"/>
          <w:left w:val="nil"/>
          <w:bottom w:val="nil"/>
          <w:right w:val="nil"/>
          <w:between w:val="nil"/>
          <w:bar w:val="nil"/>
        </w:pBdr>
        <w:spacing w:before="0" w:after="240"/>
        <w:rPr>
          <w:noProof/>
        </w:rPr>
      </w:pPr>
      <w:r>
        <w:rPr>
          <w:noProof/>
        </w:rPr>
        <w:t>Zgodnie z art. 5 ust. 3 TUE zasada pomocniczości nie ma zastosowania do obszarów podlegających wyłącznej kompetencji UE. Wspólna polityka handlowa wymieniona jest w art. 3 TFUE jako dziedzina objęta wyłącznymi kompetencjami Unii. Zgodnie m.in. z art. 207 TFUE polityka ta obejmuje rokowania w sprawie umów handlowych.</w:t>
      </w:r>
    </w:p>
    <w:p>
      <w:pPr>
        <w:pStyle w:val="ManualHeading2"/>
        <w:rPr>
          <w:noProof/>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 xml:space="preserve">Zalecenie Komisji jest zgodne z zasadą proporcjonalności i konieczne w świetle celu, jakim jest załagodzenie napięć handlowych ze Stanami Zjednoczonymi. </w:t>
      </w:r>
    </w:p>
    <w:p>
      <w:pPr>
        <w:pStyle w:val="ManualHeading2"/>
        <w:rPr>
          <w:noProof/>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 xml:space="preserve">Decyzja Rady Unii Europejskiej </w:t>
      </w:r>
    </w:p>
    <w:p>
      <w:pPr>
        <w:pStyle w:val="ManualHeading1"/>
        <w:rPr>
          <w:noProof/>
        </w:rPr>
      </w:pPr>
      <w:r>
        <w:rPr>
          <w:noProof/>
        </w:rPr>
        <w:t>3.</w:t>
      </w:r>
      <w:r>
        <w:rPr>
          <w:noProof/>
        </w:rPr>
        <w:tab/>
        <w:t>WYNIKI OCEN EX POST, KONSULTACJI Z ZAINTERESOWANYMI STRONAMI I OCEN SKUTKÓW</w:t>
      </w:r>
    </w:p>
    <w:p>
      <w:pPr>
        <w:pStyle w:val="ManualHeading2"/>
        <w:rPr>
          <w:noProof/>
        </w:rPr>
      </w:pPr>
      <w:r>
        <w:rPr>
          <w:noProof/>
        </w:rPr>
        <w:t>•</w:t>
      </w:r>
      <w:r>
        <w:rPr>
          <w:noProof/>
        </w:rPr>
        <w:tab/>
        <w:t>Oceny ex post/kontrole sprawności obowiązującego prawodawstwa</w:t>
      </w:r>
    </w:p>
    <w:p>
      <w:pPr>
        <w:pBdr>
          <w:top w:val="nil"/>
          <w:left w:val="nil"/>
          <w:bottom w:val="nil"/>
          <w:right w:val="nil"/>
          <w:between w:val="nil"/>
          <w:bar w:val="nil"/>
        </w:pBdr>
        <w:spacing w:before="0" w:after="240"/>
        <w:rPr>
          <w:noProof/>
        </w:rPr>
      </w:pPr>
      <w:r>
        <w:rPr>
          <w:noProof/>
        </w:rPr>
        <w:t>Nie dotyczy</w:t>
      </w:r>
    </w:p>
    <w:p>
      <w:pPr>
        <w:pStyle w:val="ManualHeading2"/>
        <w:outlineLvl w:val="9"/>
        <w:rPr>
          <w:noProof/>
        </w:rPr>
      </w:pPr>
      <w:r>
        <w:rPr>
          <w:noProof/>
        </w:rPr>
        <w:t>•</w:t>
      </w:r>
      <w:r>
        <w:rPr>
          <w:noProof/>
        </w:rPr>
        <w:tab/>
        <w:t>Oceny ex post/kontrole sprawności obowiązującego prawodawstwa</w:t>
      </w:r>
    </w:p>
    <w:p>
      <w:pPr>
        <w:spacing w:after="240"/>
        <w:rPr>
          <w:noProof/>
        </w:rPr>
      </w:pPr>
      <w:r>
        <w:rPr>
          <w:noProof/>
        </w:rPr>
        <w:t>Nie dotyczy</w:t>
      </w:r>
    </w:p>
    <w:p>
      <w:pPr>
        <w:pStyle w:val="ManualHeading2"/>
        <w:rPr>
          <w:noProof/>
        </w:rPr>
      </w:pPr>
      <w:r>
        <w:rPr>
          <w:noProof/>
        </w:rPr>
        <w:t>•</w:t>
      </w:r>
      <w:r>
        <w:rPr>
          <w:noProof/>
        </w:rPr>
        <w:tab/>
        <w:t>Konsultacje z zainteresowanymi stronami</w:t>
      </w:r>
    </w:p>
    <w:p>
      <w:pPr>
        <w:spacing w:after="240"/>
        <w:rPr>
          <w:noProof/>
        </w:rPr>
      </w:pPr>
      <w:r>
        <w:rPr>
          <w:noProof/>
        </w:rPr>
        <w:t xml:space="preserve">Od 2012 r. przeprowadzono wiele konsultacji z zainteresowanymi stronami na temat możliwych korzyści wynikających ze zniesienia taryf celnych. Zorganizowano szereg konsultacji w formie wysłuchań i spotkań w ramach dialogu ze społeczeństwem obywatelskim. Stanowi to uzupełnienie debat publicznych organizowanych przez Parlament Europejski lub na jego terenie oraz w państwach członkowskich UE. </w:t>
      </w:r>
    </w:p>
    <w:p>
      <w:pPr>
        <w:pStyle w:val="ManualHeading2"/>
        <w:rPr>
          <w:noProof/>
        </w:rPr>
      </w:pPr>
      <w:r>
        <w:rPr>
          <w:noProof/>
        </w:rPr>
        <w:t>•</w:t>
      </w:r>
      <w:r>
        <w:rPr>
          <w:noProof/>
        </w:rPr>
        <w:tab/>
        <w:t>Gromadzenie i wykorzystanie wiedzy eksperckiej</w:t>
      </w:r>
    </w:p>
    <w:p>
      <w:pPr>
        <w:spacing w:after="240"/>
        <w:rPr>
          <w:noProof/>
        </w:rPr>
      </w:pPr>
      <w:r>
        <w:rPr>
          <w:noProof/>
        </w:rPr>
        <w:t xml:space="preserve">Znaczną wiedzę fachową na temat możliwych korzyści ze zniesienia taryf celnych między UE a USA zebrano już w ramach poprzednich konsultacji prowadzonych od 2012 r. (zob. linki i dokumenty na stronie internetowej: </w:t>
      </w:r>
    </w:p>
    <w:p>
      <w:pPr>
        <w:spacing w:after="240"/>
        <w:rPr>
          <w:noProof/>
        </w:rPr>
      </w:pPr>
      <w:hyperlink r:id="rId15">
        <w:r>
          <w:rPr>
            <w:rStyle w:val="Hyperlink"/>
            <w:noProof/>
          </w:rPr>
          <w:t>http://trade.ec.europa.eu/doclib/cfm/doclib_section.cfm?sec=146</w:t>
        </w:r>
      </w:hyperlink>
      <w:r>
        <w:rPr>
          <w:noProof/>
        </w:rPr>
        <w:t xml:space="preserve"> . </w:t>
      </w:r>
    </w:p>
    <w:p>
      <w:pPr>
        <w:pStyle w:val="ManualHeading2"/>
        <w:rPr>
          <w:noProof/>
        </w:rPr>
      </w:pPr>
      <w:r>
        <w:rPr>
          <w:noProof/>
        </w:rPr>
        <w:t>•</w:t>
      </w:r>
      <w:r>
        <w:rPr>
          <w:noProof/>
        </w:rPr>
        <w:tab/>
        <w:t>Ocena skutków</w:t>
      </w:r>
    </w:p>
    <w:p>
      <w:pPr>
        <w:spacing w:after="240"/>
        <w:rPr>
          <w:noProof/>
        </w:rPr>
      </w:pPr>
      <w:r>
        <w:rPr>
          <w:noProof/>
        </w:rPr>
        <w:t>W związku z koniecznością podjęcia działań politycznych, które jak najszybciej umożliwią zmniejszenie napięć w handlu między UE a USA, jak to zostało stwierdzone przez przewodniczącego Komisji po spotkaniu z prezydentem Stanów Zjednoczonych i poparte przez Radę Europejską podczas jej nieformalnego posiedzenia w dniu 16 maja 2018 r. w Sofii, zrezygnowano z formalnego procesu oceny skutków. </w:t>
      </w:r>
    </w:p>
    <w:p>
      <w:pPr>
        <w:pStyle w:val="ManualHeading2"/>
        <w:rPr>
          <w:noProof/>
        </w:rPr>
      </w:pPr>
      <w:r>
        <w:rPr>
          <w:noProof/>
        </w:rPr>
        <w:t>•</w:t>
      </w:r>
      <w:r>
        <w:rPr>
          <w:noProof/>
        </w:rPr>
        <w:tab/>
        <w:t>Prawa podstawowe</w:t>
      </w:r>
    </w:p>
    <w:p>
      <w:pPr>
        <w:pBdr>
          <w:top w:val="nil"/>
          <w:left w:val="nil"/>
          <w:bottom w:val="nil"/>
          <w:right w:val="nil"/>
          <w:between w:val="nil"/>
          <w:bar w:val="nil"/>
        </w:pBdr>
        <w:spacing w:before="0" w:after="240"/>
        <w:rPr>
          <w:noProof/>
        </w:rPr>
      </w:pPr>
      <w:r>
        <w:rPr>
          <w:noProof/>
        </w:rPr>
        <w:t xml:space="preserve">Zalecenie jest spójne z traktatami UE i z Kartą praw podstawowych Unii Europejskiej. </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Porozumienie w sprawie zniesienia taryf celnych będzie miało negatywny wpływ na budżet UE w postaci utraconych należności celnych w związku ze zniesieniem taryf na towary przemysłowe w wysokości ok. 2,2 mld EUR (dane za 2017 r.). Przewiduje się pośrednie pozytywne skutki pod względem wzrostu dochodów z tytułu podatku od wartości dodanej i innych podatków, a także wzrostu dochodu narodowego brutto.</w:t>
      </w:r>
    </w:p>
    <w:p>
      <w:pPr>
        <w:pStyle w:val="ManualHeading1"/>
        <w:rPr>
          <w:noProof/>
        </w:rPr>
      </w:pPr>
      <w:r>
        <w:rPr>
          <w:noProof/>
        </w:rPr>
        <w:t>5.</w:t>
      </w:r>
      <w:r>
        <w:rPr>
          <w:noProof/>
        </w:rPr>
        <w:tab/>
        <w:t>ELEMENTY FAKULTATYWNE</w:t>
      </w:r>
    </w:p>
    <w:p>
      <w:pPr>
        <w:pStyle w:val="ManualHeading2"/>
        <w:rPr>
          <w:noProof/>
        </w:rPr>
      </w:pPr>
      <w:r>
        <w:rPr>
          <w:noProof/>
        </w:rPr>
        <w:t>•</w:t>
      </w:r>
      <w:r>
        <w:rPr>
          <w:noProof/>
        </w:rPr>
        <w:tab/>
        <w:t xml:space="preserve">Aspekty proceduralne </w:t>
      </w:r>
    </w:p>
    <w:p>
      <w:pPr>
        <w:rPr>
          <w:noProof/>
        </w:rPr>
      </w:pPr>
      <w:r>
        <w:rPr>
          <w:noProof/>
        </w:rPr>
        <w:t xml:space="preserve">Komisja będzie prowadzić rokowania w imieniu UE. Zgodnie z art. 218 ust. 4 TFUE proponuje się, by Rada Unii Europejskiej wyznaczyła Komitet ds. Polityki Handlowej jako komitet, w konsultacji z którym należy prowadzić rokowania. </w:t>
      </w:r>
    </w:p>
    <w:p>
      <w:pPr>
        <w:rPr>
          <w:noProof/>
        </w:rPr>
      </w:pPr>
      <w:r>
        <w:rPr>
          <w:noProof/>
        </w:rPr>
        <w:t xml:space="preserve">Parlament Europejski będzie informowany na wszystkich etapach procedury zgodnie z art. 218 ust. 10 TFUE. </w:t>
      </w:r>
    </w:p>
    <w:p>
      <w:pPr>
        <w:rPr>
          <w:noProof/>
        </w:rPr>
      </w:pPr>
      <w:r>
        <w:rPr>
          <w:noProof/>
        </w:rPr>
        <w:t xml:space="preserve">Komisja poda niniejsze zalecenie wraz z załącznikiem do wiadomości publicznej natychmiast po jego przyjęciu. </w:t>
      </w:r>
    </w:p>
    <w:p>
      <w:pPr>
        <w:rPr>
          <w:noProof/>
        </w:rPr>
      </w:pPr>
      <w:r>
        <w:rPr>
          <w:noProof/>
        </w:rPr>
        <w:t xml:space="preserve">Komisja zaleca, aby wytyczne negocjacyjne zostały podane do wiadomości publicznej natychmiast po ich przyjęciu przez Radę.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Zalecenie</w:t>
      </w:r>
    </w:p>
    <w:p>
      <w:pPr>
        <w:pStyle w:val="Typedudocument"/>
        <w:rPr>
          <w:noProof/>
        </w:rPr>
      </w:pPr>
      <w:r>
        <w:rPr>
          <w:noProof/>
        </w:rPr>
        <w:t>DECYZJA RADY</w:t>
      </w:r>
    </w:p>
    <w:p>
      <w:pPr>
        <w:pStyle w:val="Titreobjet"/>
        <w:rPr>
          <w:noProof/>
        </w:rPr>
      </w:pPr>
      <w:r>
        <w:rPr>
          <w:noProof/>
        </w:rPr>
        <w:t xml:space="preserve">upoważniająca do rozpoczęcia rokowań w sprawie umowy ze Stanami Zjednoczonymi Ameryki w sprawie zniesienia taryf celnych na towary przemysłowe </w:t>
      </w:r>
    </w:p>
    <w:p>
      <w:pPr>
        <w:keepNext/>
        <w:spacing w:before="600"/>
        <w:rPr>
          <w:noProof/>
        </w:rPr>
      </w:pPr>
      <w:r>
        <w:rPr>
          <w:noProof/>
        </w:rPr>
        <w:t>RADA UNII EUROPEJSKIEJ,</w:t>
      </w:r>
    </w:p>
    <w:p>
      <w:pPr>
        <w:rPr>
          <w:noProof/>
        </w:rPr>
      </w:pPr>
      <w:r>
        <w:rPr>
          <w:noProof/>
        </w:rPr>
        <w:t>uwzględniając Traktat o funkcjonowaniu Unii Europejskiej, w szczególności jego art. art. 207 ust. 3 i 4 akapit pierwszy w związku z art. 218 ust. 3 i 4,</w:t>
      </w:r>
    </w:p>
    <w:p>
      <w:pPr>
        <w:rPr>
          <w:noProof/>
        </w:rPr>
      </w:pPr>
      <w:r>
        <w:rPr>
          <w:noProof/>
        </w:rPr>
        <w:t>uwzględniając zalecenie Komisji Europejskiej,</w:t>
      </w:r>
    </w:p>
    <w:p>
      <w:pPr>
        <w:rPr>
          <w:noProof/>
        </w:rPr>
      </w:pPr>
      <w:r>
        <w:rPr>
          <w:noProof/>
        </w:rPr>
        <w:t xml:space="preserve">PRZYJMUJE NINIEJSZĄ DECYZJĘ: </w:t>
      </w:r>
    </w:p>
    <w:p>
      <w:pPr>
        <w:pStyle w:val="Titrearticle"/>
        <w:rPr>
          <w:noProof/>
        </w:rPr>
      </w:pPr>
      <w:r>
        <w:rPr>
          <w:noProof/>
        </w:rPr>
        <w:t>Artykuł 1</w:t>
      </w:r>
    </w:p>
    <w:p>
      <w:pPr>
        <w:rPr>
          <w:noProof/>
        </w:rPr>
      </w:pPr>
      <w:r>
        <w:rPr>
          <w:noProof/>
        </w:rPr>
        <w:t xml:space="preserve">Niniejszym upoważnia się Komisję do rozpoczęcia, w imieniu Unii Europejskiej, rokowań ze Stanami Zjednoczonymi Ameryki dotyczących umowy w sprawie zniesienia taryf celnych na towary przemysłowe. </w:t>
      </w:r>
    </w:p>
    <w:p>
      <w:pPr>
        <w:pStyle w:val="Titrearticle"/>
        <w:rPr>
          <w:noProof/>
        </w:rPr>
      </w:pPr>
      <w:r>
        <w:rPr>
          <w:noProof/>
        </w:rPr>
        <w:t>Artykuł 2</w:t>
      </w:r>
    </w:p>
    <w:p>
      <w:pPr>
        <w:rPr>
          <w:noProof/>
        </w:rPr>
      </w:pPr>
      <w:r>
        <w:rPr>
          <w:noProof/>
        </w:rPr>
        <w:t xml:space="preserve">Rokowania są prowadzone na podstawie wytycznych negocjacyjnych Rady określonych w załączniku. </w:t>
      </w:r>
    </w:p>
    <w:p>
      <w:pPr>
        <w:pStyle w:val="Titrearticle"/>
        <w:rPr>
          <w:noProof/>
        </w:rPr>
      </w:pPr>
      <w:r>
        <w:rPr>
          <w:noProof/>
        </w:rPr>
        <w:t>Artykuł 3</w:t>
      </w:r>
    </w:p>
    <w:p>
      <w:pPr>
        <w:rPr>
          <w:noProof/>
        </w:rPr>
      </w:pPr>
      <w:r>
        <w:rPr>
          <w:noProof/>
        </w:rPr>
        <w:t xml:space="preserve">Komisja prowadzi rokowania w konsultacji z [nazwa komitetu specjalnego do uzupełnienia przez Radę]. </w:t>
      </w:r>
    </w:p>
    <w:p>
      <w:pPr>
        <w:pStyle w:val="Titrearticle"/>
        <w:rPr>
          <w:noProof/>
        </w:rPr>
      </w:pPr>
      <w:r>
        <w:rPr>
          <w:noProof/>
        </w:rPr>
        <w:t>Artykuł 4</w:t>
      </w:r>
    </w:p>
    <w:p>
      <w:pPr>
        <w:keepNext/>
        <w:spacing w:before="360"/>
        <w:rPr>
          <w:noProof/>
        </w:rPr>
      </w:pPr>
      <w:r>
        <w:rPr>
          <w:noProof/>
        </w:rPr>
        <w:t>Niniejsza decyzja wraz z załącznikiem zostanie podana do wiadomości publicznej bezzwłocznie po jej przyjęciu.</w:t>
      </w:r>
    </w:p>
    <w:p>
      <w:pPr>
        <w:keepNext/>
        <w:spacing w:before="360"/>
        <w:jc w:val="center"/>
        <w:rPr>
          <w:noProof/>
        </w:rPr>
      </w:pPr>
      <w:r>
        <w:rPr>
          <w:noProof/>
        </w:rPr>
        <w:t>Artykuł 5</w:t>
      </w:r>
    </w:p>
    <w:p>
      <w:pPr>
        <w:rPr>
          <w:noProof/>
        </w:rPr>
      </w:pPr>
      <w:r>
        <w:rPr>
          <w:noProof/>
        </w:rPr>
        <w:t xml:space="preserve">Niniejsza decyzja skierowana jest do Komisji. </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r>
        <w:rPr>
          <w:noProof/>
        </w:rPr>
        <w:tab/>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rPr>
          <w:lang w:val="de-DE"/>
        </w:rPr>
        <w:tab/>
        <w:t>Art. 21 ust. 2 lit. e) TUE.</w:t>
      </w:r>
    </w:p>
  </w:footnote>
  <w:footnote w:id="2">
    <w:p>
      <w:pPr>
        <w:pStyle w:val="FootnoteText"/>
        <w:rPr>
          <w:lang w:val="de-DE"/>
        </w:rPr>
      </w:pPr>
      <w:r>
        <w:rPr>
          <w:rStyle w:val="FootnoteReference"/>
        </w:rPr>
        <w:footnoteRef/>
      </w:r>
      <w:r>
        <w:rPr>
          <w:lang w:val="de-DE"/>
        </w:rPr>
        <w:tab/>
      </w:r>
      <w:hyperlink r:id="rId1">
        <w:r>
          <w:rPr>
            <w:rStyle w:val="Hyperlink"/>
            <w:lang w:val="de-DE"/>
          </w:rPr>
          <w:t>http://trade.ec.europa.eu/doclib/docs/2015/october/tradoc_153846.pdf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A2E4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6AC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3A69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C45A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F0C8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6CE9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827F08"/>
    <w:lvl w:ilvl="0">
      <w:start w:val="1"/>
      <w:numFmt w:val="decimal"/>
      <w:pStyle w:val="ListNumber"/>
      <w:lvlText w:val="%1."/>
      <w:lvlJc w:val="left"/>
      <w:pPr>
        <w:tabs>
          <w:tab w:val="num" w:pos="360"/>
        </w:tabs>
        <w:ind w:left="360" w:hanging="360"/>
      </w:pPr>
    </w:lvl>
  </w:abstractNum>
  <w:abstractNum w:abstractNumId="7">
    <w:nsid w:val="FFFFFF89"/>
    <w:multiLevelType w:val="singleLevel"/>
    <w:tmpl w:val="2F5895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08:37: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02C59B7A-3D62-47DC-8C0C-E9D81C6D7E9C"/>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ksela, dnia "/>
    <w:docVar w:name="LW_EMISSION_SUFFIX" w:val=" r."/>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Zalecenie"/>
    <w:docVar w:name="LW_SUPERTITRE" w:val="&lt;UNUSED&gt;"/>
    <w:docVar w:name="LW_TITRE.OBJ.CP" w:val="upowa\u380?niaj\u261?ca do rozpocz\u281?cia rokowa\u324? w sprawie umowy ze Stanami Zjednoczonymi Ameryki w sprawie zniesienia taryf celnych na towary przemys\u322?owe "/>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5/october/tradoc_15384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1429</Words>
  <Characters>8992</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2019-01-25T08:59:00Z</dcterms:created>
  <dcterms:modified xsi:type="dcterms:W3CDTF">2019-01-28T07:37:00Z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