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AD900C3-44EA-4222-8834-D49802B58041" style="width:450.4pt;height:383.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ANEXĂ </w:t>
      </w:r>
    </w:p>
    <w:p>
      <w:pPr>
        <w:spacing w:after="360"/>
        <w:jc w:val="center"/>
        <w:rPr>
          <w:b/>
          <w:noProof/>
        </w:rPr>
      </w:pPr>
      <w:r>
        <w:rPr>
          <w:b/>
          <w:noProof/>
        </w:rPr>
        <w:t xml:space="preserve">DIRECTIVE DE NEGOCIERE A UNUI ACORD CU STATELE UNITE ALE AMERICII PRIVIND ELIMINAREA TARIFELOR PENTRU MĂRFURILE INDUSTRIALE </w:t>
      </w:r>
    </w:p>
    <w:p>
      <w:pPr>
        <w:rPr>
          <w:b/>
          <w:noProof/>
          <w:szCs w:val="24"/>
        </w:rPr>
      </w:pPr>
      <w:r>
        <w:rPr>
          <w:b/>
          <w:noProof/>
        </w:rPr>
        <w:t xml:space="preserve">Natura și domeniul de aplicare ale acordului </w:t>
      </w:r>
    </w:p>
    <w:p>
      <w:pPr>
        <w:pStyle w:val="ManualNumPar1"/>
        <w:rPr>
          <w:noProof/>
        </w:rPr>
      </w:pPr>
      <w:r>
        <w:rPr>
          <w:noProof/>
        </w:rPr>
        <w:t>1.</w:t>
      </w:r>
      <w:r>
        <w:rPr>
          <w:noProof/>
        </w:rPr>
        <w:tab/>
        <w:t>Acordul ar trebui să conțină dispoziții privind eliminarea tarifelor pentru mărfurile industriale</w:t>
      </w:r>
      <w:r>
        <w:rPr>
          <w:rStyle w:val="FootnoteReference"/>
          <w:noProof/>
        </w:rPr>
        <w:footnoteReference w:id="1"/>
      </w:r>
      <w:r>
        <w:rPr>
          <w:noProof/>
        </w:rPr>
        <w:t xml:space="preserve">, între părți, prevăzând astfel eliminarea reciprocă a tarifelor. </w:t>
      </w:r>
    </w:p>
    <w:p>
      <w:pPr>
        <w:pStyle w:val="ManualNumPar1"/>
        <w:rPr>
          <w:noProof/>
        </w:rPr>
      </w:pPr>
      <w:r>
        <w:rPr>
          <w:noProof/>
        </w:rPr>
        <w:t>2.</w:t>
      </w:r>
      <w:r>
        <w:rPr>
          <w:noProof/>
        </w:rPr>
        <w:tab/>
        <w:t xml:space="preserve">Acordul ar trebui să fie în deplină conformitate cu normele și obligațiile Organizației Mondiale a Comerțului (OMC). </w:t>
      </w:r>
    </w:p>
    <w:p>
      <w:pPr>
        <w:rPr>
          <w:b/>
          <w:noProof/>
        </w:rPr>
      </w:pPr>
      <w:r>
        <w:rPr>
          <w:b/>
          <w:noProof/>
        </w:rPr>
        <w:t>Obiective</w:t>
      </w:r>
    </w:p>
    <w:p>
      <w:pPr>
        <w:pStyle w:val="ManualNumPar1"/>
        <w:rPr>
          <w:noProof/>
        </w:rPr>
      </w:pPr>
      <w:r>
        <w:rPr>
          <w:noProof/>
        </w:rPr>
        <w:t>3.</w:t>
      </w:r>
      <w:r>
        <w:rPr>
          <w:noProof/>
        </w:rPr>
        <w:tab/>
        <w:t>Obiectivul acordului este de a intensifica schimburile comerciale dintre Uniunea Europeană și Statele Unite în scopul de a genera noi oportunități economice care să creeze locuri de muncă și creștere economică drept rezultat al unui acces sporit la piețe, ca urmare a eliminării tarifare reciproce pentru mărfurile industriale.</w:t>
      </w:r>
    </w:p>
    <w:p>
      <w:pPr>
        <w:rPr>
          <w:b/>
          <w:noProof/>
        </w:rPr>
      </w:pPr>
      <w:r>
        <w:rPr>
          <w:b/>
          <w:noProof/>
        </w:rPr>
        <w:t xml:space="preserve">Conținutul acordului </w:t>
      </w:r>
    </w:p>
    <w:p>
      <w:pPr>
        <w:rPr>
          <w:noProof/>
        </w:rPr>
      </w:pPr>
      <w:r>
        <w:rPr>
          <w:i/>
          <w:noProof/>
        </w:rPr>
        <w:t>Taxe și alte cerințe privind importurile și exporturile</w:t>
      </w:r>
      <w:r>
        <w:rPr>
          <w:noProof/>
        </w:rPr>
        <w:t xml:space="preserve"> </w:t>
      </w:r>
    </w:p>
    <w:p>
      <w:pPr>
        <w:pStyle w:val="ManualNumPar1"/>
        <w:rPr>
          <w:noProof/>
          <w:sz w:val="22"/>
        </w:rPr>
      </w:pPr>
      <w:r>
        <w:rPr>
          <w:noProof/>
        </w:rPr>
        <w:t>4.</w:t>
      </w:r>
      <w:r>
        <w:rPr>
          <w:noProof/>
        </w:rPr>
        <w:tab/>
        <w:t xml:space="preserve">Scopul acordului ar trebui să fie eliminarea tuturor taxelor pentru mărfurile industriale pe o bază reciprocă, având drept obiectiv obținerea unei eliminări substanțiale a tarifelor de la intrarea în vigoare și o eliminare treptată a acestor tarife în cadrul unei perioade de timp scurte. Ar trebui să se țină seama de sensibilitățile deosebite pentru anumite mărfuri în conformitate cu declarația comună din 25 iulie 2018. Toate taxele vamale, impozitele, comisioanele sau cheltuielile aferente exporturilor și restricțiile cantitative sau cerințele de autorizare privind exporturile către cealaltă parte care nu sunt justificate de excepții în temeiul acordului ar trebui să fie suprimate odată cu aplicarea acordului. Acordul ar trebui să nu aducă atingere dreptului oricăreia dintre părți de a lua măsuri adecvate de salvgardare, antidumping sau compensatorii în conformitate cu Acordul OMC. </w:t>
      </w:r>
    </w:p>
    <w:p>
      <w:pPr>
        <w:rPr>
          <w:noProof/>
        </w:rPr>
      </w:pPr>
      <w:r>
        <w:rPr>
          <w:i/>
          <w:noProof/>
        </w:rPr>
        <w:t>Reguli de origine</w:t>
      </w:r>
      <w:r>
        <w:rPr>
          <w:noProof/>
        </w:rPr>
        <w:t xml:space="preserve"> </w:t>
      </w:r>
    </w:p>
    <w:p>
      <w:pPr>
        <w:pStyle w:val="ManualNumPar1"/>
        <w:rPr>
          <w:noProof/>
        </w:rPr>
      </w:pPr>
      <w:r>
        <w:rPr>
          <w:noProof/>
        </w:rPr>
        <w:t>5.</w:t>
      </w:r>
      <w:r>
        <w:rPr>
          <w:noProof/>
        </w:rPr>
        <w:tab/>
        <w:t>Negocierile ar trebui să vizeze reconcilierea abordării Uniunii Europene și a Statelor Unite cu privire la regulile de origine, inclusiv procedurile de determinare a originii, într-un mod care să faciliteze schimburile comerciale dintre părți și care să ia în considerare cele mai recente evoluții ale regulilor de origine preferențiale ale Uniunii Europene, precum și interesele operatorilor economici din Uniunea Europeană.</w:t>
      </w:r>
    </w:p>
    <w:p>
      <w:pPr>
        <w:rPr>
          <w:noProof/>
        </w:rPr>
      </w:pPr>
      <w:r>
        <w:rPr>
          <w:i/>
          <w:noProof/>
        </w:rPr>
        <w:t>Cadrul instituțional</w:t>
      </w:r>
      <w:r>
        <w:rPr>
          <w:noProof/>
        </w:rPr>
        <w:t xml:space="preserve"> </w:t>
      </w:r>
    </w:p>
    <w:p>
      <w:pPr>
        <w:pStyle w:val="ManualNumPar1"/>
        <w:rPr>
          <w:noProof/>
        </w:rPr>
      </w:pPr>
      <w:r>
        <w:rPr>
          <w:noProof/>
        </w:rPr>
        <w:t>6.</w:t>
      </w:r>
      <w:r>
        <w:rPr>
          <w:noProof/>
        </w:rPr>
        <w:tab/>
        <w:t xml:space="preserve">Acordul ar trebui să instituie o structură care să monitorizeze punerea în aplicare a acordului. </w:t>
      </w:r>
    </w:p>
    <w:p>
      <w:pPr>
        <w:rPr>
          <w:noProof/>
        </w:rPr>
      </w:pPr>
      <w:r>
        <w:rPr>
          <w:i/>
          <w:noProof/>
        </w:rPr>
        <w:t>Soluționarea litigiilor</w:t>
      </w:r>
      <w:r>
        <w:rPr>
          <w:noProof/>
        </w:rPr>
        <w:t xml:space="preserve"> </w:t>
      </w:r>
    </w:p>
    <w:p>
      <w:pPr>
        <w:pStyle w:val="ManualNumPar1"/>
        <w:rPr>
          <w:noProof/>
        </w:rPr>
      </w:pPr>
      <w:r>
        <w:rPr>
          <w:noProof/>
        </w:rPr>
        <w:t>7.</w:t>
      </w:r>
      <w:r>
        <w:rPr>
          <w:noProof/>
        </w:rPr>
        <w:tab/>
        <w:t xml:space="preserve">Acordul ar trebui să includă un mecanism adecvat de soluționare a litigiilor pentru a se asigura de faptul că părțile respectă normele convenite de comun acord. </w:t>
      </w:r>
    </w:p>
    <w:p>
      <w:pPr>
        <w:rPr>
          <w:i/>
          <w:noProof/>
        </w:rPr>
      </w:pPr>
      <w:r>
        <w:rPr>
          <w:i/>
          <w:noProof/>
        </w:rPr>
        <w:t>Dispoziții finale</w:t>
      </w:r>
    </w:p>
    <w:p>
      <w:pPr>
        <w:pStyle w:val="ManualNumPar1"/>
        <w:rPr>
          <w:noProof/>
        </w:rPr>
      </w:pPr>
      <w:r>
        <w:rPr>
          <w:noProof/>
        </w:rPr>
        <w:t>8.</w:t>
      </w:r>
      <w:r>
        <w:rPr>
          <w:noProof/>
        </w:rPr>
        <w:tab/>
        <w:t>Acordul ar trebui să includă o dispoziție care să permită Uniunii Europene să suspende în mod unilateral aplicarea unor concesii sau obligații substanțial echivalente, în cazul în care Statele Unite adoptă împotriva Uniunii Europene oricare dintre măsurile prevăzute în secțiunea 232 din Legea privind extinderea comerțului (</w:t>
      </w:r>
      <w:r>
        <w:rPr>
          <w:i/>
          <w:noProof/>
        </w:rPr>
        <w:t>Trade Expansion Act</w:t>
      </w:r>
      <w:r>
        <w:rPr>
          <w:noProof/>
        </w:rPr>
        <w:t>), în secțiunea 301 din Legea privind comerțul din 1974 (</w:t>
      </w:r>
      <w:r>
        <w:rPr>
          <w:i/>
          <w:noProof/>
        </w:rPr>
        <w:t>Trade Act</w:t>
      </w:r>
      <w:r>
        <w:rPr>
          <w:noProof/>
        </w:rPr>
        <w:t>) sau în temeiul oricărei alte legi similare a Statelor Unite.</w:t>
      </w:r>
    </w:p>
    <w:p>
      <w:pPr>
        <w:pStyle w:val="ManualNumPar1"/>
        <w:rPr>
          <w:noProof/>
        </w:rPr>
      </w:pPr>
      <w:r>
        <w:rPr>
          <w:noProof/>
        </w:rPr>
        <w:t>9.</w:t>
      </w:r>
      <w:r>
        <w:rPr>
          <w:noProof/>
        </w:rPr>
        <w:tab/>
        <w:t>Acordul ar trebui să fie la fel de autentic în toate limbile oficiale ale Uniunii Europene și va include o clauză lingvistică în acest sens.</w:t>
      </w:r>
    </w:p>
    <w:p>
      <w:pPr>
        <w:rPr>
          <w:b/>
          <w:noProof/>
        </w:rPr>
      </w:pPr>
      <w:r>
        <w:rPr>
          <w:b/>
          <w:noProof/>
        </w:rPr>
        <w:t xml:space="preserve">Desfășurarea negocierilor </w:t>
      </w:r>
    </w:p>
    <w:p>
      <w:pPr>
        <w:pStyle w:val="ManualNumPar1"/>
        <w:rPr>
          <w:noProof/>
        </w:rPr>
      </w:pPr>
      <w:r>
        <w:rPr>
          <w:noProof/>
        </w:rPr>
        <w:t>10.</w:t>
      </w:r>
      <w:r>
        <w:rPr>
          <w:noProof/>
        </w:rPr>
        <w:tab/>
        <w:t>Comisia va suspenda negocierile cu Statele Unite în cazul în care Statele Unite nu respectă angajamentul asumat la 25 iulie 2018 de a se abține, pe parcursul desfășurării negocierilor, de la adoptarea de noi măsuri împotriva Uniunii Europene în temeiul secțiunii 232 din Legea Privind extinderea comerțului din 1962. Comisia poate suspenda, de asemenea, negocierile în cazul în care Statele Unite adoptă restricții comerciale împotriva exporturilor Uniunii Europene pe baza secțiunii 301 din Legea privind comerțul din 1974 sau în temeiul oricărei alte legi similare a Statelor Unite.</w:t>
      </w:r>
    </w:p>
    <w:p>
      <w:pPr>
        <w:pStyle w:val="ManualNumPar1"/>
        <w:rPr>
          <w:noProof/>
        </w:rPr>
      </w:pPr>
      <w:r>
        <w:rPr>
          <w:noProof/>
        </w:rPr>
        <w:t>11.</w:t>
      </w:r>
      <w:r>
        <w:rPr>
          <w:noProof/>
        </w:rPr>
        <w:tab/>
        <w:t>Înainte de încheierea negocierilor, Comisia va confirma că Statele Unite au eliminat orice măsuri privind exporturile de oțel și aluminiu originare din Uniunea Europeană în temeiul secțiunii 232 din Legea privind extinderea comerțului din 1962 a SUA.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Mărfurile industriale cuprind toate mărfurile cu excepția celor incluse în anexa I la Acordul OMC privind agricultura.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106A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A023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20A9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BBA69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9CE1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F2B3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16A03E"/>
    <w:lvl w:ilvl="0">
      <w:start w:val="1"/>
      <w:numFmt w:val="decimal"/>
      <w:pStyle w:val="ListNumber"/>
      <w:lvlText w:val="%1."/>
      <w:lvlJc w:val="left"/>
      <w:pPr>
        <w:tabs>
          <w:tab w:val="num" w:pos="360"/>
        </w:tabs>
        <w:ind w:left="360" w:hanging="360"/>
      </w:pPr>
    </w:lvl>
  </w:abstractNum>
  <w:abstractNum w:abstractNumId="7">
    <w:nsid w:val="FFFFFF89"/>
    <w:multiLevelType w:val="singleLevel"/>
    <w:tmpl w:val="22AED5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08:37: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8AD900C3-44EA-4222-8834-D49802B58041"/>
    <w:docVar w:name="LW_COVERPAGE_TYPE" w:val="1"/>
    <w:docVar w:name="LW_CROSSREFERENCE" w:val="&lt;UNUSED&gt;"/>
    <w:docVar w:name="LW_DocType" w:val="ANNEX"/>
    <w:docVar w:name="LW_EMISSION" w:val="18.1.2019"/>
    <w:docVar w:name="LW_EMISSION_ISODATE" w:val="2019-01-18"/>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de autorizare a deschiderii negocierilor unui acord cu Statele Unite ale Americii privind eliminarea tarifelor pentru m\u259?rfurile industriale "/>
    <w:docVar w:name="LW_OBJETACTEPRINCIPAL.CP" w:val="de autorizare a deschiderii negocierilor unui acord cu Statele Unite ale Americii privind eliminarea tarifelor pentru m\u259?rfurile industriale "/>
    <w:docVar w:name="LW_PART_NBR" w:val="1"/>
    <w:docVar w:name="LW_PART_NBR_TOTAL" w:val="1"/>
    <w:docVar w:name="LW_REF.INST.NEW" w:val="COM"/>
    <w:docVar w:name="LW_REF.INST.NEW_ADOPTED" w:val="final"/>
    <w:docVar w:name="LW_REF.INST.NEW_TEXT" w:val="(2019)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Recomandarea de decizie a Consiliului"/>
    <w:docVar w:name="LW_TYPEACTEPRINCIPAL.CP" w:val="Recomanda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597</Words>
  <Characters>3463</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Birgit (TRADE)</dc:creator>
  <cp:lastModifiedBy>DIGIT/C6</cp:lastModifiedBy>
  <cp:revision>10</cp:revision>
  <cp:lastPrinted>2019-01-14T07:18:00Z</cp:lastPrinted>
  <dcterms:created xsi:type="dcterms:W3CDTF">2019-01-25T13:24:00Z</dcterms:created>
  <dcterms:modified xsi:type="dcterms:W3CDTF">2019-01-28T07:37:00Z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