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2386F76-EFE7-4374-BE18-6DECFCF610E8" style="width:451.25pt;height:379.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AIŠKINAMASIS MEMORANDUMAS</w:t>
      </w:r>
    </w:p>
    <w:p>
      <w:pPr>
        <w:pStyle w:val="ManualHeading1"/>
        <w:rPr>
          <w:rFonts w:eastAsia="Arial Unicode MS"/>
          <w:noProof/>
        </w:rPr>
      </w:pPr>
      <w:r>
        <w:rPr>
          <w:noProof/>
        </w:rPr>
        <w:t>1.</w:t>
      </w:r>
      <w:r>
        <w:rPr>
          <w:noProof/>
        </w:rPr>
        <w:tab/>
        <w:t>PASIŪLYMO DALYKAS</w:t>
      </w:r>
    </w:p>
    <w:p>
      <w:pPr>
        <w:autoSpaceDE w:val="0"/>
        <w:autoSpaceDN w:val="0"/>
        <w:adjustRightInd w:val="0"/>
        <w:spacing w:after="240"/>
        <w:rPr>
          <w:noProof/>
          <w:szCs w:val="24"/>
        </w:rPr>
      </w:pPr>
      <w:r>
        <w:rPr>
          <w:noProof/>
        </w:rPr>
        <w:t>Šis pasiūlymas yra susijęs su sprendimu, kuriuo nustatoma pozicija, kurios Europos Sąjungos vardu turi būti laikomasi 62-ojoje Narkotinių medžiagų komisijos sesijoje, dėl cheminių medžiagų įtraukimo į sąrašą pagal 1961 m. Bendrąją narkotinių medžiagų konvenciją su pakeitimais, padarytais 1972 m. protokolu, ir 1971 m. Konvenciją dėl psichotropinių medžiagų.</w:t>
      </w:r>
    </w:p>
    <w:p>
      <w:pPr>
        <w:pStyle w:val="ManualHeading1"/>
        <w:rPr>
          <w:noProof/>
          <w:szCs w:val="24"/>
        </w:rPr>
      </w:pPr>
      <w:r>
        <w:rPr>
          <w:noProof/>
        </w:rPr>
        <w:t>2.</w:t>
      </w:r>
      <w:r>
        <w:rPr>
          <w:noProof/>
        </w:rPr>
        <w:tab/>
        <w:t>PASIŪLYMO APLINKYBĖS</w:t>
      </w:r>
    </w:p>
    <w:p>
      <w:pPr>
        <w:pStyle w:val="ManualHeading2"/>
        <w:rPr>
          <w:noProof/>
          <w:u w:color="000000"/>
          <w:bdr w:val="nil"/>
        </w:rPr>
      </w:pPr>
      <w:r>
        <w:rPr>
          <w:noProof/>
        </w:rPr>
        <w:t xml:space="preserve">2.1. </w:t>
      </w:r>
      <w:r>
        <w:rPr>
          <w:noProof/>
        </w:rPr>
        <w:tab/>
        <w:t>1961 m. JT bendroji narkotinių medžiagų konvencija su pakeitimais, padarytais 1972 m. protokolu, ir 1971 m. JT psichotropinių medžiagų konvencija</w:t>
      </w:r>
    </w:p>
    <w:p>
      <w:pPr>
        <w:autoSpaceDE w:val="0"/>
        <w:autoSpaceDN w:val="0"/>
        <w:adjustRightInd w:val="0"/>
        <w:spacing w:after="240"/>
        <w:rPr>
          <w:noProof/>
          <w:szCs w:val="24"/>
        </w:rPr>
      </w:pPr>
      <w:r>
        <w:rPr>
          <w:noProof/>
        </w:rPr>
        <w:t>1961 m. Jungtinių Tautų (toliau – JT) bendrąja narkotinių medžiagų konvencija su pakeitimais, padarytais 1972 m. protokolu (toliau – Narkotinių medžiagų konvencija)</w:t>
      </w:r>
      <w:r>
        <w:rPr>
          <w:rStyle w:val="FootnoteReference"/>
          <w:noProof/>
        </w:rPr>
        <w:footnoteReference w:id="1"/>
      </w:r>
      <w:r>
        <w:rPr>
          <w:noProof/>
        </w:rPr>
        <w:t>, siekiama koordinuotais tarptautiniais veiksmais kovoti su piktnaudžiavimu narkotikais. Yra dvi intervencijos ir kontrolės rūšys, kurios taikomos kartu. Pirma, siekiama narkotikų turėjimą, vartojimą, prekybą, platinimą, importą, eksportą ir gamybą apriboti tik medicinos ir mokslo tikslais. Antra, su narkotikų kontrabanda kovojama tarptautiniu bendradarbiavimu, stabdant ir atgrasant narkotikų prekeivius.</w:t>
      </w:r>
    </w:p>
    <w:p>
      <w:pPr>
        <w:autoSpaceDE w:val="0"/>
        <w:autoSpaceDN w:val="0"/>
        <w:adjustRightInd w:val="0"/>
        <w:spacing w:after="240"/>
        <w:rPr>
          <w:noProof/>
          <w:szCs w:val="24"/>
        </w:rPr>
      </w:pPr>
      <w:r>
        <w:rPr>
          <w:noProof/>
        </w:rPr>
        <w:t>1971 m. JT psichotropinių medžiagų konvencija (toliau – Psichotropinių medžiagų konvencija)</w:t>
      </w:r>
      <w:r>
        <w:rPr>
          <w:rStyle w:val="FootnoteReference"/>
          <w:noProof/>
        </w:rPr>
        <w:footnoteReference w:id="2"/>
      </w:r>
      <w:r>
        <w:rPr>
          <w:noProof/>
        </w:rPr>
        <w:t xml:space="preserve"> nustatoma tarptautinė psichotropinių medžiagų kontrolės sistema. Tai buvo atsakas į piktnaudžiavimo narkotikais įvairovę ir plėtrą įvedant kai kurių sintetinių narkotikų kontrolę, atsižvelgiant, viena vertus, į piktnaudžiavimo jais tikimybę, kita vertus – į jų terapinę vertę.</w:t>
      </w:r>
    </w:p>
    <w:p>
      <w:pPr>
        <w:autoSpaceDE w:val="0"/>
        <w:autoSpaceDN w:val="0"/>
        <w:adjustRightInd w:val="0"/>
        <w:spacing w:after="240"/>
        <w:rPr>
          <w:noProof/>
          <w:szCs w:val="24"/>
        </w:rPr>
      </w:pPr>
      <w:r>
        <w:rPr>
          <w:noProof/>
        </w:rPr>
        <w:t xml:space="preserve">Visos ES valstybės narės yra pasirašiusios Narkotinių medžiagų konvenciją ir Psichotropinių medžiagų konvenciją. Sąjunga šių konvencijų nėra pasirašiusi. </w:t>
      </w:r>
    </w:p>
    <w:p>
      <w:pPr>
        <w:pStyle w:val="ManualHeading2"/>
        <w:rPr>
          <w:noProof/>
        </w:rPr>
      </w:pPr>
      <w:r>
        <w:rPr>
          <w:noProof/>
        </w:rPr>
        <w:t>2.2.</w:t>
      </w:r>
      <w:r>
        <w:rPr>
          <w:noProof/>
        </w:rPr>
        <w:tab/>
        <w:t xml:space="preserve">Narkotinių medžiagų komisija </w:t>
      </w:r>
    </w:p>
    <w:p>
      <w:pPr>
        <w:autoSpaceDE w:val="0"/>
        <w:autoSpaceDN w:val="0"/>
        <w:adjustRightInd w:val="0"/>
        <w:spacing w:after="240"/>
        <w:rPr>
          <w:noProof/>
          <w:szCs w:val="24"/>
        </w:rPr>
      </w:pPr>
      <w:r>
        <w:rPr>
          <w:noProof/>
        </w:rPr>
        <w:t xml:space="preserve">Narkotinių medžiagų komisija (toliau – CND) yra JT Ekonomikos ir socialinių reikalų tarybos (toliau – ECOSOC) komisija, o jos funkcijos ir įgaliojimai išdėstyti, </w:t>
      </w:r>
      <w:r>
        <w:rPr>
          <w:i/>
          <w:noProof/>
        </w:rPr>
        <w:t>inter alia</w:t>
      </w:r>
      <w:r>
        <w:rPr>
          <w:noProof/>
        </w:rPr>
        <w:t>, Narkotinių medžiagų konvencijoje ir Psichotropinių medžiagų konvencijoje. Ją sudaro 53 JT valstybės narės, kurias išrenka ECOSOC. Šiuo metu CND balsavimo teisę turinčių valstybių narių yra 11</w:t>
      </w:r>
      <w:r>
        <w:rPr>
          <w:rStyle w:val="FootnoteReference"/>
          <w:noProof/>
        </w:rPr>
        <w:footnoteReference w:id="3"/>
      </w:r>
      <w:r>
        <w:rPr>
          <w:noProof/>
        </w:rPr>
        <w:t xml:space="preserve">. Sąjunga CND turi stebėtojos statusą. </w:t>
      </w:r>
    </w:p>
    <w:p>
      <w:pPr>
        <w:pStyle w:val="ManualHeading2"/>
        <w:rPr>
          <w:noProof/>
        </w:rPr>
      </w:pPr>
      <w:r>
        <w:rPr>
          <w:noProof/>
        </w:rPr>
        <w:t>2.3.</w:t>
      </w:r>
      <w:r>
        <w:rPr>
          <w:noProof/>
        </w:rPr>
        <w:tab/>
        <w:t>Numatomas Narkotinių medžiagų komisijos teisės aktas</w:t>
      </w:r>
    </w:p>
    <w:p>
      <w:pPr>
        <w:autoSpaceDE w:val="0"/>
        <w:autoSpaceDN w:val="0"/>
        <w:adjustRightInd w:val="0"/>
        <w:spacing w:after="240"/>
        <w:rPr>
          <w:noProof/>
          <w:szCs w:val="24"/>
        </w:rPr>
      </w:pPr>
      <w:r>
        <w:rPr>
          <w:noProof/>
        </w:rPr>
        <w:t xml:space="preserve">CND, remdamasi Pasaulio sveikatos organizacijos (toliau – PSO), kuriai pataria Narkomanijos ekspertų komitetas, rekomendacijomis, reguliariai iš dalies keičia prie Narkotinių medžiagų konvencijos ir Psichotropinių medžiagų konvencijos pridedamą medžiagų sąrašą. </w:t>
      </w:r>
    </w:p>
    <w:p>
      <w:pPr>
        <w:autoSpaceDE w:val="0"/>
        <w:autoSpaceDN w:val="0"/>
        <w:adjustRightInd w:val="0"/>
        <w:spacing w:after="240"/>
        <w:rPr>
          <w:noProof/>
          <w:szCs w:val="24"/>
        </w:rPr>
      </w:pPr>
      <w:r>
        <w:rPr>
          <w:noProof/>
        </w:rPr>
        <w:t>2018 m. gruodžio 7 d. PSO Jungtinių Tautų generaliniam sekretoriui rekomendavo</w:t>
      </w:r>
      <w:r>
        <w:rPr>
          <w:rStyle w:val="FootnoteReference"/>
          <w:noProof/>
        </w:rPr>
        <w:footnoteReference w:id="4"/>
      </w:r>
      <w:r>
        <w:rPr>
          <w:noProof/>
        </w:rPr>
        <w:t xml:space="preserve"> įtraukti į konvencijų sąrašus 10 medžiagų, kurių kritinę apžvalgą paskelbė PSO narkomanijos ekspertų komitetas. Dėl kitų medžiagų, kurių apžvalgą paskelbė PSO narkomanijos ekspertų komitetas, įtraukimo į sąrašus rekomendacijų pateikta nebus. </w:t>
      </w:r>
    </w:p>
    <w:p>
      <w:pPr>
        <w:autoSpaceDE w:val="0"/>
        <w:autoSpaceDN w:val="0"/>
        <w:adjustRightInd w:val="0"/>
        <w:spacing w:after="240"/>
        <w:rPr>
          <w:noProof/>
          <w:szCs w:val="24"/>
        </w:rPr>
      </w:pPr>
      <w:r>
        <w:rPr>
          <w:noProof/>
        </w:rPr>
        <w:t xml:space="preserve">Šešiasdešimt antrojoje sesijoje, kuri vyks 2019 m. kovo 18–22 d. Vienoje, CND priims sprendimus dėl šių 10 medžiagų įtraukimo į atitinkamus Narkotinių medžiagų konvencijos ir Psichotropinių medžiagų konvencijos sąrašus. </w:t>
      </w:r>
    </w:p>
    <w:p>
      <w:pPr>
        <w:pStyle w:val="ManualHeading1"/>
        <w:rPr>
          <w:noProof/>
        </w:rPr>
      </w:pPr>
      <w:r>
        <w:rPr>
          <w:noProof/>
        </w:rPr>
        <w:t>3.</w:t>
      </w:r>
      <w:r>
        <w:rPr>
          <w:noProof/>
        </w:rPr>
        <w:tab/>
        <w:t>POZICIJA, KURIOS TURI BŪTI LAIKOMASI SĄJUNGOS VARDU</w:t>
      </w:r>
    </w:p>
    <w:p>
      <w:pPr>
        <w:autoSpaceDE w:val="0"/>
        <w:autoSpaceDN w:val="0"/>
        <w:adjustRightInd w:val="0"/>
        <w:spacing w:after="240"/>
        <w:rPr>
          <w:noProof/>
          <w:szCs w:val="24"/>
        </w:rPr>
      </w:pPr>
      <w:r>
        <w:rPr>
          <w:noProof/>
        </w:rPr>
        <w:t>Narkotinių medžiagų konvencijos ir Psichotropinių medžiagų konvencijos sąrašų pakeitimai turi tiesioginių padarinių Sąjungos teisės narkotikų kontrolės srityje taikymo sričiai visose valstybėse narėse. 2004 m. spalio 25 d. Tarybos pamatinio sprendimo 2004/757/TVR, nustatančio būtiniausias nuostatas dėl nusikalstamų veikų sudėties požymių ir bausmių neteisėtos prekybos narkotikais srityje</w:t>
      </w:r>
      <w:r>
        <w:rPr>
          <w:rStyle w:val="FootnoteReference"/>
          <w:noProof/>
        </w:rPr>
        <w:footnoteReference w:id="5"/>
      </w:r>
      <w:r>
        <w:rPr>
          <w:noProof/>
        </w:rPr>
        <w:t>, 1 straipsnio 1 dalies a punkte nustatyta, kad tame pamatiniame sprendime „narkotikai“ yra bet kuri iš medžiagų, kurioms taikoma Narkotinių medžiagų konvencija arba Psichotropinių medžiagų konvencija, ir bet kuri iš medžiagų, išvardytų Pamatinio sprendimo priede. Todėl Tarybos pamatinis sprendimas 2004/757/TVR taikomas medžiagoms, įtrauktoms į Narkotinių medžiagų konvencijos ir Psichotropinių medžiagų konvencijos sąrašus. Taigi bet kokie šių konvencijų sąrašų pakeitimai turi tiesioginio poveikio bendroms ES taisyklėms ir keičia jų taikymo sritį pagal SESV 3 straipsnio 2 dalį. Taip yra nepriklausomai nuo to, ar atitinkamai medžiagai jau taikomos kontrolės priemonės visoje ES pagal Tarybos sprendimą 2005/387/TVR</w:t>
      </w:r>
      <w:r>
        <w:rPr>
          <w:rStyle w:val="FootnoteReference"/>
          <w:noProof/>
        </w:rPr>
        <w:footnoteReference w:id="6"/>
      </w:r>
      <w:r>
        <w:rPr>
          <w:noProof/>
        </w:rPr>
        <w:t>.</w:t>
      </w:r>
    </w:p>
    <w:p>
      <w:pPr>
        <w:autoSpaceDE w:val="0"/>
        <w:autoSpaceDN w:val="0"/>
        <w:adjustRightInd w:val="0"/>
        <w:spacing w:after="240"/>
        <w:rPr>
          <w:noProof/>
        </w:rPr>
      </w:pPr>
      <w:r>
        <w:rPr>
          <w:noProof/>
        </w:rPr>
        <w:t>Iš 10 medžiagų, kurių kritinę apžvalgą paskelbė PSO narkomanijos ekspertų komitetas ir kurias rekomenduojama įtraukti į sąrašą, tik keturioms – ADB-CHMINACA</w:t>
      </w:r>
      <w:r>
        <w:rPr>
          <w:rStyle w:val="FootnoteReference"/>
          <w:noProof/>
        </w:rPr>
        <w:footnoteReference w:id="7"/>
      </w:r>
      <w:r>
        <w:rPr>
          <w:noProof/>
        </w:rPr>
        <w:t>, CUMYL-4CN-BINACA</w:t>
      </w:r>
      <w:r>
        <w:rPr>
          <w:rStyle w:val="FootnoteReference"/>
          <w:noProof/>
        </w:rPr>
        <w:footnoteReference w:id="8"/>
      </w:r>
      <w:r>
        <w:rPr>
          <w:noProof/>
        </w:rPr>
        <w:t>, metoksiacetilfentaniliui ir ciklopropilfentaniliui</w:t>
      </w:r>
      <w:r>
        <w:rPr>
          <w:rStyle w:val="FootnoteReference"/>
          <w:noProof/>
        </w:rPr>
        <w:footnoteReference w:id="9"/>
      </w:r>
      <w:r>
        <w:rPr>
          <w:noProof/>
        </w:rPr>
        <w:t xml:space="preserve"> – jau taikomos kontrolės priemonės visoje Sąjungoje. Kitoms medžiagoms kontrolės priemonės visoje Sąjungoje dar netaikomos.</w:t>
      </w:r>
    </w:p>
    <w:p>
      <w:pPr>
        <w:autoSpaceDE w:val="0"/>
        <w:autoSpaceDN w:val="0"/>
        <w:adjustRightInd w:val="0"/>
        <w:spacing w:after="240"/>
        <w:rPr>
          <w:noProof/>
          <w:szCs w:val="24"/>
        </w:rPr>
      </w:pPr>
      <w:r>
        <w:rPr>
          <w:noProof/>
        </w:rPr>
        <w:t xml:space="preserve">Komisijos pasiūlyme dėl ES bendrosios pozicijos projekto siūloma remti PSO rekomendacijas, nes jos atitinka dabartinę mokslo žinių padėtį. Naujų psichoaktyviųjų medžiagų įtraukimas į abiejų konvencijų sąrašus taip pat paremtas Europos narkotikų ir narkomanijos stebėsenos centro (ENNSC) Europos duomenų bazėje sukaupta informacija. </w:t>
      </w:r>
    </w:p>
    <w:p>
      <w:pPr>
        <w:autoSpaceDE w:val="0"/>
        <w:autoSpaceDN w:val="0"/>
        <w:adjustRightInd w:val="0"/>
        <w:spacing w:after="240"/>
        <w:rPr>
          <w:noProof/>
          <w:szCs w:val="24"/>
        </w:rPr>
      </w:pPr>
      <w:r>
        <w:rPr>
          <w:noProof/>
        </w:rPr>
        <w:t>Kai CND prašoma priimti sprendimą dėl medžiagų įtraukimo į sąrašą, reikia, kad valstybės narės pasirengtų CND posėdžiui – Taryboje priimtų bendrą poziciją. Dėl Sąjungos stebėtojos statusui būdingų apribojimų šią poziciją turi pateikti valstybės narės, kurios šiuo metu yra CND narės, veikdamos kartu Sąjungos interesų labui CND. Sąjunga, kuri nėra pasirašiusi Narkotinių medžiagų konvencijos ir Psichotropinių medžiagų konvencijos, CND nebalsuoja.</w:t>
      </w:r>
    </w:p>
    <w:p>
      <w:pPr>
        <w:autoSpaceDE w:val="0"/>
        <w:autoSpaceDN w:val="0"/>
        <w:adjustRightInd w:val="0"/>
        <w:spacing w:after="240"/>
        <w:rPr>
          <w:noProof/>
          <w:szCs w:val="24"/>
        </w:rPr>
      </w:pPr>
      <w:r>
        <w:rPr>
          <w:noProof/>
        </w:rPr>
        <w:t>Šiuo tikslu Komisija teikia pasiūlymą dėl bendros pozicijos, kuri turi būti priimta Europos Sąjungos vardu šešiasdešimt antrojoje CND sesijoje dėl medžiagų įtraukimo į Narkotinių medžiagų konvencijos ir Psichotropinių medžiagų konvencijos sąrašus. Komisija jau trečią kartą pateikia tokį pasiūlymo dėl bendros ES pozicijos projektą; pirmieji du buvo priimti 2017 m. kovo mėn. ir 2018 m. CND posėdžiuose</w:t>
      </w:r>
      <w:r>
        <w:rPr>
          <w:rStyle w:val="FootnoteReference"/>
          <w:noProof/>
        </w:rPr>
        <w:footnoteReference w:id="10"/>
      </w:r>
      <w:r>
        <w:rPr>
          <w:noProof/>
        </w:rPr>
        <w:t>. Taryba priėmė bendras pozicijas</w:t>
      </w:r>
      <w:r>
        <w:rPr>
          <w:rStyle w:val="FootnoteReference"/>
          <w:noProof/>
        </w:rPr>
        <w:footnoteReference w:id="11"/>
      </w:r>
      <w:r>
        <w:rPr>
          <w:noProof/>
        </w:rPr>
        <w:t>, dėl to ankstesniuose CND posėdžiuose dėl įtraukimo į tarptautinius sąrašus ES laikėsi vieningai, nes CND dalyvaujančios valstybės narės, laikydamosi priimtos bendros pozicijos, balsavimu pritarė įtraukimui į sąrašus.</w:t>
      </w:r>
    </w:p>
    <w:p>
      <w:pPr>
        <w:pStyle w:val="ManualHeading1"/>
        <w:rPr>
          <w:noProof/>
        </w:rPr>
      </w:pPr>
      <w:r>
        <w:rPr>
          <w:noProof/>
        </w:rPr>
        <w:t>4.</w:t>
      </w:r>
      <w:r>
        <w:rPr>
          <w:noProof/>
        </w:rPr>
        <w:tab/>
        <w:t>TEISINIS PAGRINDAS</w:t>
      </w:r>
    </w:p>
    <w:p>
      <w:pPr>
        <w:pStyle w:val="ManualHeading2"/>
        <w:rPr>
          <w:rFonts w:eastAsia="Arial Unicode MS"/>
          <w:noProof/>
          <w:u w:color="000000"/>
          <w:bdr w:val="nil"/>
        </w:rPr>
      </w:pPr>
      <w:r>
        <w:rPr>
          <w:noProof/>
        </w:rPr>
        <w:t>4.1.</w:t>
      </w:r>
      <w:r>
        <w:rPr>
          <w:noProof/>
        </w:rPr>
        <w:tab/>
        <w:t>Procedūrinis teisinis pagrindas</w:t>
      </w:r>
    </w:p>
    <w:p>
      <w:pPr>
        <w:autoSpaceDE w:val="0"/>
        <w:autoSpaceDN w:val="0"/>
        <w:adjustRightInd w:val="0"/>
        <w:spacing w:after="240"/>
        <w:rPr>
          <w:noProof/>
          <w:szCs w:val="24"/>
        </w:rPr>
      </w:pPr>
      <w:r>
        <w:rPr>
          <w:noProof/>
        </w:rPr>
        <w:t>Sutarties dėl Europos Sąjungos veikimo (SESV) 218 straipsnio 9 dalyje numatyti sprendimai, kuriais „</w:t>
      </w:r>
      <w:r>
        <w:rPr>
          <w:i/>
          <w:noProof/>
        </w:rPr>
        <w:t>nustatomos pozicijos, kurios Sąjungos vardu priimamos susitarimu įsteigtame organe, kai tam organui reikia priimti teisinę galią turinčius aktus, išskyrus aktus, papildančius arba pakeičiančius susitarimo institucinę struktūrą</w:t>
      </w:r>
      <w:r>
        <w:rPr>
          <w:noProof/>
        </w:rPr>
        <w:t>“.</w:t>
      </w:r>
    </w:p>
    <w:p>
      <w:pPr>
        <w:autoSpaceDE w:val="0"/>
        <w:autoSpaceDN w:val="0"/>
        <w:adjustRightInd w:val="0"/>
        <w:spacing w:after="240"/>
        <w:rPr>
          <w:noProof/>
          <w:szCs w:val="24"/>
        </w:rPr>
      </w:pPr>
      <w:r>
        <w:rPr>
          <w:noProof/>
        </w:rPr>
        <w:t xml:space="preserve">SESV 218 straipsnio 9 dalis taikoma neatsižvelgiant į tai, ar Sąjunga yra atitinkamo organo narė ar susitarimo pasirašiusioji šalis. CND yra „susitarimu įsteigtas organas“, kaip apibrėžta šiame straipsnyje, kadangi tai yra organas, kuriam pavestos konkrečios užduotys pagal Narkotinių medžiagų konvenciją ir Psichotropinių medžiagų konvenciją. </w:t>
      </w:r>
    </w:p>
    <w:p>
      <w:pPr>
        <w:autoSpaceDE w:val="0"/>
        <w:autoSpaceDN w:val="0"/>
        <w:adjustRightInd w:val="0"/>
        <w:spacing w:after="240"/>
        <w:rPr>
          <w:noProof/>
          <w:szCs w:val="24"/>
        </w:rPr>
      </w:pPr>
      <w:r>
        <w:rPr>
          <w:noProof/>
        </w:rPr>
        <w:t>Sąvoka „</w:t>
      </w:r>
      <w:r>
        <w:rPr>
          <w:i/>
          <w:noProof/>
        </w:rPr>
        <w:t>teisinę galią turintys aktai</w:t>
      </w:r>
      <w:r>
        <w:rPr>
          <w:noProof/>
        </w:rPr>
        <w:t>“ apima aktus, turinčius teisinę galią pagal aptariamą organą reglamentuojančias tarptautinės teisės normas. Ji taip pat apima priemones, kurios nėra privalomos pagal tarptautinę teisę, tačiau „</w:t>
      </w:r>
      <w:r>
        <w:rPr>
          <w:i/>
          <w:noProof/>
        </w:rPr>
        <w:t>gali stipriai paveikti Sąjungos teisės akto leidėjo priimamų teisės aktų [...] turinį</w:t>
      </w:r>
      <w:r>
        <w:rPr>
          <w:noProof/>
        </w:rPr>
        <w:t>“.</w:t>
      </w:r>
      <w:r>
        <w:rPr>
          <w:rStyle w:val="FootnoteReference"/>
          <w:noProof/>
        </w:rPr>
        <w:footnoteReference w:id="12"/>
      </w:r>
    </w:p>
    <w:p>
      <w:pPr>
        <w:autoSpaceDE w:val="0"/>
        <w:autoSpaceDN w:val="0"/>
        <w:adjustRightInd w:val="0"/>
        <w:spacing w:after="240"/>
        <w:rPr>
          <w:noProof/>
          <w:szCs w:val="24"/>
        </w:rPr>
      </w:pPr>
      <w:r>
        <w:rPr>
          <w:noProof/>
        </w:rPr>
        <w:t>CND sprendimai dėl medžiagų įtraukimo į sąrašą yra „teisinę galią turintys aktai“, kaip apibrėžta SESV 218 straipsnio 9 dalyje. Vadovaujantis Narkotinių medžiagų konvencija ir Psichotropinių medžiagų konvencija, CND sprendimai automatiškai tampa privalomi, nebent per nustatytą laikotarpį viena iš šalių sprendimą pateikia ECOSOC peržiūrėti</w:t>
      </w:r>
      <w:r>
        <w:rPr>
          <w:rStyle w:val="FootnoteReference"/>
          <w:noProof/>
        </w:rPr>
        <w:footnoteReference w:id="13"/>
      </w:r>
      <w:r>
        <w:rPr>
          <w:noProof/>
        </w:rPr>
        <w:t>. ECOSOC sprendimai šiuo klausimu yra galutiniai. CND sprendimai dėl medžiagų įtraukimo į sąrašą taip pat turi teisinį poveikį ES teisės sistemai remiantis Sąjungos teise, visų pirma Tarybos pamatiniu sprendimu 2004/757/TVR. Narkotinių medžiagų konvencijos ir Psichotropinių medžiagų konvencijos sąrašų pakeitimai turi tiesioginių padarinių šios ES teisinės priemonės taikymo sričiai.</w:t>
      </w:r>
    </w:p>
    <w:p>
      <w:pPr>
        <w:pStyle w:val="ManualHeading2"/>
        <w:rPr>
          <w:rFonts w:eastAsia="Arial Unicode MS"/>
          <w:noProof/>
          <w:u w:color="000000"/>
          <w:bdr w:val="nil"/>
        </w:rPr>
      </w:pPr>
      <w:r>
        <w:rPr>
          <w:noProof/>
        </w:rPr>
        <w:t>4.2.</w:t>
      </w:r>
      <w:r>
        <w:rPr>
          <w:noProof/>
        </w:rPr>
        <w:tab/>
        <w:t>Materialinis teisinis pagrindas</w:t>
      </w:r>
    </w:p>
    <w:p>
      <w:pPr>
        <w:autoSpaceDE w:val="0"/>
        <w:autoSpaceDN w:val="0"/>
        <w:adjustRightInd w:val="0"/>
        <w:spacing w:after="240"/>
        <w:rPr>
          <w:noProof/>
          <w:szCs w:val="24"/>
        </w:rPr>
      </w:pPr>
      <w:r>
        <w:rPr>
          <w:noProof/>
        </w:rPr>
        <w:t>Pagrindinis numatomo akto tikslas ir turinys yra susiję su neteisėta prekyba narkotikais.</w:t>
      </w:r>
    </w:p>
    <w:p>
      <w:pPr>
        <w:autoSpaceDE w:val="0"/>
        <w:autoSpaceDN w:val="0"/>
        <w:adjustRightInd w:val="0"/>
        <w:spacing w:after="240"/>
        <w:rPr>
          <w:noProof/>
          <w:szCs w:val="24"/>
        </w:rPr>
      </w:pPr>
      <w:r>
        <w:rPr>
          <w:noProof/>
        </w:rPr>
        <w:t xml:space="preserve">Todėl siūlomo sprendimo materialinis teisinis pagrindas yra Sutarties dėl Europos Sąjungos veikimo (SESV) 83 straipsnio 1 dalis, kurioje neteisėta prekyba narkotikais yra įvardyta kaip viena iš nusikaltimų sričių, turinčių konkretų tarpvalstybinį pobūdį, ir Europos Parlamentui ir Tarybai suteikiami įgaliojimai nustatyti minimalias taisykles dėl nusikalstamų veikų ir sankcijų apibrėžimo neteisėtos prekybos narkotikais srityje. </w:t>
      </w:r>
    </w:p>
    <w:p>
      <w:pPr>
        <w:pStyle w:val="ManualHeading2"/>
        <w:rPr>
          <w:noProof/>
        </w:rPr>
      </w:pPr>
      <w:r>
        <w:rPr>
          <w:noProof/>
        </w:rPr>
        <w:t>4.3.</w:t>
      </w:r>
      <w:r>
        <w:rPr>
          <w:noProof/>
        </w:rPr>
        <w:tab/>
        <w:t>Kintamoji geometrija</w:t>
      </w:r>
    </w:p>
    <w:p>
      <w:pPr>
        <w:autoSpaceDE w:val="0"/>
        <w:autoSpaceDN w:val="0"/>
        <w:adjustRightInd w:val="0"/>
        <w:spacing w:after="240"/>
        <w:rPr>
          <w:noProof/>
          <w:szCs w:val="24"/>
        </w:rPr>
      </w:pPr>
      <w:r>
        <w:rPr>
          <w:noProof/>
        </w:rPr>
        <w:t>Remiantis prie Sutarčių pridėto Protokolo (Nr. 36) dėl pereinamojo laikotarpio priemonių 10 straipsnio 4 dalimi, Jungtinė Karalystė pranešė, kad ji nepritaria visapusiškiems Komisijos ir Teisingumo Teismo įgaliojimams, susijusiems su policijos ir teisminio bendradarbiavimo baudžiamosiose bylose srities aktais, priimtais iki Lisabonos sutarties įsigaliojimo. Todėl Tarybos pamatinis sprendimas 2004/757/TVR Jungtinei Karalystei netaikomas nuo 2014 m. gruodžio 1 d.</w:t>
      </w:r>
      <w:r>
        <w:rPr>
          <w:rStyle w:val="FootnoteReference"/>
          <w:noProof/>
        </w:rPr>
        <w:footnoteReference w:id="14"/>
      </w:r>
      <w:r>
        <w:rPr>
          <w:noProof/>
          <w:vertAlign w:val="superscript"/>
        </w:rPr>
        <w:t xml:space="preserve"> </w:t>
      </w:r>
    </w:p>
    <w:p>
      <w:pPr>
        <w:autoSpaceDE w:val="0"/>
        <w:autoSpaceDN w:val="0"/>
        <w:adjustRightInd w:val="0"/>
        <w:spacing w:after="240"/>
        <w:rPr>
          <w:noProof/>
          <w:szCs w:val="24"/>
        </w:rPr>
      </w:pPr>
      <w:r>
        <w:rPr>
          <w:noProof/>
        </w:rPr>
        <w:t xml:space="preserve">Kadangi CND sprendimai dėl medžiagų įtraukimo į sąrašą neturi poveikio bendroms taisyklėms neteisėtos prekybos narkotikais srityje, kurios Jungtinei Karalystei yra privalomos, Jungtinė Karalystė nedalyvauja priimant Tarybos sprendimą, kuriuo nustatoma pozicija, kurios Sąjungos vardu turi būti laikomasi priimant tokius sprendimus dėl medžiagų įtraukimo į sąrašą. </w:t>
      </w:r>
    </w:p>
    <w:p>
      <w:pPr>
        <w:autoSpaceDE w:val="0"/>
        <w:autoSpaceDN w:val="0"/>
        <w:adjustRightInd w:val="0"/>
        <w:spacing w:after="240"/>
        <w:rPr>
          <w:noProof/>
          <w:szCs w:val="24"/>
        </w:rPr>
      </w:pPr>
      <w:r>
        <w:rPr>
          <w:noProof/>
        </w:rPr>
        <w:t xml:space="preserve">Danijai yra privalomas iki 2018 m. lapkričio 22 d. taikomas Tarybos pamatinis sprendimas 2004/757/TVR, kurio 1 straipsnyje teigiama, kad „narkotikai“ yra bet kuri iš medžiagų, kurioms taikoma Narkotinių medžiagų konvencija arba Psichotropinių medžiagų konvencija. </w:t>
      </w:r>
    </w:p>
    <w:p>
      <w:pPr>
        <w:autoSpaceDE w:val="0"/>
        <w:autoSpaceDN w:val="0"/>
        <w:adjustRightInd w:val="0"/>
        <w:spacing w:after="240"/>
        <w:rPr>
          <w:noProof/>
          <w:szCs w:val="24"/>
        </w:rPr>
      </w:pPr>
      <w:r>
        <w:rPr>
          <w:noProof/>
        </w:rPr>
        <w:t>Kadangi CND sprendimai dėl medžiagų įtraukimo į sąrašą daro poveikį bendroms taisyklėms neteisėtos prekybos narkotikais srityje, kurios Danijai yra privalomos, Danija dalyvauja priimant Tarybos sprendimą, kuriuo nustatoma pozicija, kurios Sąjungos vardu turi būti laikomasi priimant tokius sprendimus dėl medžiagų įtraukimo į sąrašą.</w:t>
      </w:r>
    </w:p>
    <w:p>
      <w:pPr>
        <w:pStyle w:val="ManualHeading2"/>
        <w:rPr>
          <w:noProof/>
        </w:rPr>
      </w:pPr>
      <w:r>
        <w:rPr>
          <w:noProof/>
        </w:rPr>
        <w:t>4.4.</w:t>
      </w:r>
      <w:r>
        <w:rPr>
          <w:noProof/>
        </w:rPr>
        <w:tab/>
        <w:t>Išvada</w:t>
      </w:r>
    </w:p>
    <w:p>
      <w:pPr>
        <w:autoSpaceDE w:val="0"/>
        <w:autoSpaceDN w:val="0"/>
        <w:adjustRightInd w:val="0"/>
        <w:spacing w:after="240"/>
        <w:rPr>
          <w:noProof/>
          <w:szCs w:val="24"/>
        </w:rPr>
      </w:pPr>
      <w:r>
        <w:rPr>
          <w:noProof/>
        </w:rPr>
        <w:t>Šio pasiūlymo teisinis pagrindas yra Sutarties dėl Europos Sąjungos veikimo (toliau – SESV) 83 straipsnio 1 dalis kartu su 218 straipsnio 9 dalimi.</w:t>
      </w:r>
    </w:p>
    <w:p>
      <w:pPr>
        <w:pStyle w:val="ManualHeading1"/>
        <w:rPr>
          <w:noProof/>
        </w:rPr>
      </w:pPr>
      <w:r>
        <w:rPr>
          <w:noProof/>
        </w:rPr>
        <w:t>5.</w:t>
      </w:r>
      <w:r>
        <w:rPr>
          <w:noProof/>
        </w:rPr>
        <w:tab/>
        <w:t>POVEIKIS BIUDŽETUI</w:t>
      </w:r>
    </w:p>
    <w:p>
      <w:pPr>
        <w:autoSpaceDE w:val="0"/>
        <w:autoSpaceDN w:val="0"/>
        <w:adjustRightInd w:val="0"/>
        <w:spacing w:after="240"/>
        <w:rPr>
          <w:noProof/>
          <w:szCs w:val="24"/>
        </w:rPr>
      </w:pPr>
      <w:r>
        <w:rPr>
          <w:noProof/>
        </w:rPr>
        <w:t>Poveikio biudžetui nėra.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2018/0437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turi būti laikomasi Europos Sąjungos vardu šešiasdešimt antrojoje Narkotinių medžiagų komisijos sesijoje dėl medžiagų įtraukimo į sąrašą pagal 1961 m. Bendrąją narkotinių medžiagų konvenciją su pakeitimais, padarytais 1972 m. protokolu, ir 1971 m. Psichotropinių medžiagų konvenciją</w:t>
      </w:r>
    </w:p>
    <w:p>
      <w:pPr>
        <w:pStyle w:val="Institutionquiagit"/>
        <w:rPr>
          <w:noProof/>
        </w:rPr>
      </w:pPr>
      <w:r>
        <w:rPr>
          <w:noProof/>
        </w:rPr>
        <w:t>EUROPOS SĄJUNGOS TARYBA,</w:t>
      </w:r>
    </w:p>
    <w:p>
      <w:pPr>
        <w:rPr>
          <w:noProof/>
        </w:rPr>
      </w:pPr>
      <w:r>
        <w:rPr>
          <w:noProof/>
        </w:rPr>
        <w:t>atsižvelgdama į Sutartį dėl Europos Sąjungos veikimo, ypač į jos 83 straipsnio 1 dalį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1961 m. Jungtinių Tautų (toliau – JT) bendroji narkotinių medžiagų konvencija su pakeitimais, padarytais 1972 m. protokolu</w:t>
      </w:r>
      <w:r>
        <w:rPr>
          <w:rStyle w:val="FootnoteReference"/>
          <w:noProof/>
        </w:rPr>
        <w:footnoteReference w:id="15"/>
      </w:r>
      <w:r>
        <w:rPr>
          <w:noProof/>
        </w:rPr>
        <w:t xml:space="preserve"> (toliau – Narkotinių medžiagų konvencija), įsigaliojo 1975 m. rugpjūčio 8 d.; </w:t>
      </w:r>
    </w:p>
    <w:p>
      <w:pPr>
        <w:pStyle w:val="ManualConsidrant"/>
        <w:rPr>
          <w:noProof/>
        </w:rPr>
      </w:pPr>
      <w:r>
        <w:t>(2)</w:t>
      </w:r>
      <w:r>
        <w:tab/>
      </w:r>
      <w:r>
        <w:rPr>
          <w:noProof/>
        </w:rPr>
        <w:t>vadovaujantis Narkotinių medžiagų konvencijos 3 straipsniu Narkotinių medžiagų komisija gali priimti sprendimą į tos konvencijos sąrašus įtraukti medžiagas. Pakeitimus prieduose ji gali daryti tik vadovaudamasi Pasaulio sveikatos organizacijos (toliau – PSO) rekomendacijomis, tačiau ji taip pat gali nuspręsti nedaryti PSO rekomenduojamų pakeitimų;</w:t>
      </w:r>
    </w:p>
    <w:p>
      <w:pPr>
        <w:pStyle w:val="ManualConsidrant"/>
        <w:rPr>
          <w:noProof/>
        </w:rPr>
      </w:pPr>
      <w:r>
        <w:t>(3)</w:t>
      </w:r>
      <w:r>
        <w:tab/>
      </w:r>
      <w:r>
        <w:rPr>
          <w:noProof/>
        </w:rPr>
        <w:t>1971 m. JT psichotropinių medžiagų konvencija (toliau – Psichotropinių medžiagų konvencija)</w:t>
      </w:r>
      <w:r>
        <w:rPr>
          <w:rStyle w:val="FootnoteReference"/>
          <w:noProof/>
        </w:rPr>
        <w:footnoteReference w:id="16"/>
      </w:r>
      <w:r>
        <w:rPr>
          <w:noProof/>
        </w:rPr>
        <w:t xml:space="preserve"> įsigaliojo 1976 m. rugpjūčio 16 d.;</w:t>
      </w:r>
    </w:p>
    <w:p>
      <w:pPr>
        <w:pStyle w:val="ManualConsidrant"/>
        <w:rPr>
          <w:noProof/>
        </w:rPr>
      </w:pPr>
      <w:r>
        <w:t>(4)</w:t>
      </w:r>
      <w:r>
        <w:tab/>
      </w:r>
      <w:r>
        <w:rPr>
          <w:noProof/>
        </w:rPr>
        <w:t xml:space="preserve">vadovaujantis Psichotropinių medžiagų konvencijos 2 straipsniu Narkotinių medžiagų komisija, remdamasi PSO rekomendacijomis, gali priimti sprendimą į tos konvencijos sąrašus įtraukti medžiagas arba jas iš jų išbraukti. Ji turi didelę veiksmų laisvę atsižvelgti į ekonominius, socialinius, teisinius, administracinius ir kitus veiksnius, tačiau negali imtis savavališkų veiksmų; </w:t>
      </w:r>
    </w:p>
    <w:p>
      <w:pPr>
        <w:pStyle w:val="ManualConsidrant"/>
        <w:rPr>
          <w:noProof/>
        </w:rPr>
      </w:pPr>
      <w:r>
        <w:t>(5)</w:t>
      </w:r>
      <w:r>
        <w:tab/>
      </w:r>
      <w:r>
        <w:rPr>
          <w:noProof/>
        </w:rPr>
        <w:t>abiejų konvencijų sąrašų pakeitimai turi tiesioginių padarinių Sąjungos teisės narkotikų kontrolės srityje taikymo sričiai. Tarybos pamatinis sprendimas 2004/757/TVR</w:t>
      </w:r>
      <w:r>
        <w:rPr>
          <w:rStyle w:val="FootnoteReference"/>
          <w:noProof/>
        </w:rPr>
        <w:footnoteReference w:id="17"/>
      </w:r>
      <w:r>
        <w:rPr>
          <w:noProof/>
        </w:rPr>
        <w:t xml:space="preserve"> taikomas medžiagoms, įtrauktoms į Narkotinių medžiagų konvencijos ir Psichotropinių medžiagų konvencijos sąrašus. Taigi bet kokie šių konvencijų sąrašų pakeitimai turi tiesioginio poveikio bendroms Sąjungos taisyklėms ir keičia jų taikymo sritį, pagal Sutarties dėl Europos Sąjungos veikimo (SESV) 3 straipsnio 2 dalį;</w:t>
      </w:r>
    </w:p>
    <w:p>
      <w:pPr>
        <w:pStyle w:val="ManualConsidrant"/>
        <w:rPr>
          <w:noProof/>
        </w:rPr>
      </w:pPr>
      <w:r>
        <w:t>(6)</w:t>
      </w:r>
      <w:r>
        <w:tab/>
      </w:r>
      <w:r>
        <w:rPr>
          <w:noProof/>
        </w:rPr>
        <w:t xml:space="preserve">Narkotinių medžiagų komisija 2019 m. kovo 18–22 d. Vienoje vyksiančioje šešiasdešimt antrojoje sesijoje turėtų priimti sprendimus dėl 10 naujų cheminių medžiagų įtraukimo į konvencijų sąrašus; </w:t>
      </w:r>
    </w:p>
    <w:p>
      <w:pPr>
        <w:pStyle w:val="ManualConsidrant"/>
        <w:rPr>
          <w:noProof/>
        </w:rPr>
      </w:pPr>
      <w:r>
        <w:t>(7)</w:t>
      </w:r>
      <w:r>
        <w:tab/>
      </w:r>
      <w:r>
        <w:rPr>
          <w:noProof/>
        </w:rPr>
        <w:t xml:space="preserve">Sąjunga nėra pasirašiusi atitinkamų JT konvencijų. Narkotinių medžiagų komisijoje, kurioje šiuo metu vienuolika valstybių narių yra teisę balsuoti turinčios narės, ji turi stebėtojos statusą. Todėl būtina, kad Taryba įgaliotų valstybes nares pareikšti Sąjungos poziciją dėl cheminių medžiagų įtraukimo į sąrašą pagal Narkotinių medžiagų konvenciją ir Psichotropinių medžiagų konvenciją, kadangi sprendimai dėl naujų cheminių medžiagų įtraukimo į konvencijų sąrašus priklauso išimtinei Sąjungos kompetencijai; </w:t>
      </w:r>
    </w:p>
    <w:p>
      <w:pPr>
        <w:pStyle w:val="ManualConsidrant"/>
        <w:rPr>
          <w:noProof/>
        </w:rPr>
      </w:pPr>
      <w:r>
        <w:t>(8)</w:t>
      </w:r>
      <w:r>
        <w:tab/>
      </w:r>
      <w:r>
        <w:rPr>
          <w:noProof/>
        </w:rPr>
        <w:t>PSO rekomendavo įtraukti penkias naujas medžiagas į Narkotinių medžiagų konvencijos I sąrašą, ir penkias naujas medžiagas – į Psichotropinių medžiagų konvencijos II sąrašą</w:t>
      </w:r>
      <w:r>
        <w:rPr>
          <w:rStyle w:val="FootnoteReference"/>
          <w:noProof/>
        </w:rPr>
        <w:footnoteReference w:id="18"/>
      </w:r>
      <w:r>
        <w:rPr>
          <w:noProof/>
        </w:rPr>
        <w:t xml:space="preserve">; </w:t>
      </w:r>
    </w:p>
    <w:p>
      <w:pPr>
        <w:pStyle w:val="ManualConsidrant"/>
        <w:rPr>
          <w:noProof/>
        </w:rPr>
      </w:pPr>
      <w:r>
        <w:t>(9)</w:t>
      </w:r>
      <w:r>
        <w:tab/>
      </w:r>
      <w:r>
        <w:rPr>
          <w:noProof/>
        </w:rPr>
        <w:t xml:space="preserve">remiantis PSO Narkomanijos ekspertų komiteto (toliau – Ekspertų komitetas) vertinimu, ADB-FUBINACA (cheminis pavadinimas: </w:t>
      </w:r>
      <w:r>
        <w:rPr>
          <w:i/>
          <w:noProof/>
        </w:rPr>
        <w:t>N</w:t>
      </w:r>
      <w:r>
        <w:rPr>
          <w:noProof/>
        </w:rPr>
        <w:t>-(1-amino-3,3-dimetil-1-oksobutan-2-il)-1-(4-fluorobenzil)-</w:t>
      </w:r>
      <w:r>
        <w:rPr>
          <w:i/>
          <w:noProof/>
        </w:rPr>
        <w:t>1</w:t>
      </w:r>
      <w:r>
        <w:rPr>
          <w:noProof/>
        </w:rPr>
        <w:t>H-indazol-3-karboksamidas) yra sintetinių kanabinoidų receptorių agonistas, kurio poveikis panašus į tetrahidrokanabinolio (THC), kuris yra pagrindinė kanapių psichoaktyvioji medžiaga. ADB-FUBINACA nėra naudojama gydymui, jai nėra suteiktas vaisto rinkodaros leidimas. Yra pakankamai įrodymų, kad ADB-FUBINACA yra piktnaudžiaujama arba gali būti piktnaudžiaujama ir kad tai gali tapti visuomenės sveikatos ir socialine problema, todėl yra pateisinama šiai medžiagai taikytina tarptautinė kontrolė. Todėl PSO rekomenduoja ADB-FUBINACA įtraukti į Psichotropinių medžiagų konvencijos II sąrašą;</w:t>
      </w:r>
    </w:p>
    <w:p>
      <w:pPr>
        <w:pStyle w:val="ManualConsidrant"/>
        <w:rPr>
          <w:noProof/>
        </w:rPr>
      </w:pPr>
      <w:r>
        <w:t>(10)</w:t>
      </w:r>
      <w:r>
        <w:tab/>
      </w:r>
      <w:r>
        <w:rPr>
          <w:noProof/>
        </w:rPr>
        <w:t>Europos narkotikų ir narkomanijos stebėsenos centras (ENNSC) vykdo ADB-FUBINACA, kaip naujos psichoaktyviosios medžiagos, stebėseną, kaip numatyta Europos Parlamento ir Tarybos reglamente (EB) Nr. 1920/2006</w:t>
      </w:r>
      <w:r>
        <w:rPr>
          <w:rStyle w:val="FootnoteReference"/>
          <w:noProof/>
        </w:rPr>
        <w:footnoteReference w:id="19"/>
      </w:r>
      <w:r>
        <w:rPr>
          <w:noProof/>
        </w:rPr>
        <w:t>. ADB-FUBINACA aptikta 19 valstybių narių ir bent dešimtyje valstybių narių jai taikomos kontrolės priemonės. Ji yra siejama su bent dviem mirties ir keturiais ūmaus apsinuodijimo atvejais ir dėl jos Europos Sąjungos ankstyvojo perspėjimo sistemoje skelbiamas pranešimas apie pavojų visuomenės sveikatai;</w:t>
      </w:r>
    </w:p>
    <w:p>
      <w:pPr>
        <w:pStyle w:val="ManualConsidrant"/>
        <w:rPr>
          <w:noProof/>
        </w:rPr>
      </w:pPr>
      <w:r>
        <w:t>(11)</w:t>
      </w:r>
      <w:r>
        <w:tab/>
      </w:r>
      <w:r>
        <w:rPr>
          <w:noProof/>
        </w:rPr>
        <w:t>todėl valstybės narės turėtų laikytis pozicijos įtraukti ADB-FUBINACA į Psichotropinių medžiagų konvencijos II sąrašą;</w:t>
      </w:r>
    </w:p>
    <w:p>
      <w:pPr>
        <w:pStyle w:val="ManualConsidrant"/>
        <w:rPr>
          <w:noProof/>
        </w:rPr>
      </w:pPr>
      <w:r>
        <w:t>(12)</w:t>
      </w:r>
      <w:r>
        <w:tab/>
      </w:r>
      <w:r>
        <w:rPr>
          <w:noProof/>
        </w:rPr>
        <w:t>remiantis Ekspertų komiteto vertinimu, FUB-AMB (dar vadinama MMB-FUBINACA arba AMB-FUBINACA), cheminis pavadinimas: metilo (2S)-2-[[1-[(4-fluorfenilio)metil] indazol-3-karbonil]amino]-3-metilbutanoatas; metilo-2-(1-(4-fluorobenzil)-1</w:t>
      </w:r>
      <w:r>
        <w:rPr>
          <w:i/>
          <w:noProof/>
        </w:rPr>
        <w:t>H</w:t>
      </w:r>
      <w:r>
        <w:rPr>
          <w:noProof/>
        </w:rPr>
        <w:t>-indazol-3-karboksamido)-3-metilbutanoatas yra sintetinių kanabinoidų receptorių agonistas, kurio poveikis panašus į tetrahidrokanabinolio (THC), kuris yra pagrindinė kanapių psichoaktyvioji medžiaga. FUB-AMB nėra naudojama gydymui, jai nėra suteiktas vaisto rinkodaros leidimas. Yra pakankamai įrodymų, kad FUB-AMB yra piktnaudžiaujama arba gali būti piktnaudžiaujama ir kad tai gali tapti visuomenės sveikatos ir socialine problema, todėl yra pateisinama šiai medžiagai taikytina tarptautinė kontrolė. Todėl PSO rekomenduoja FUB-AMB įtraukti į Psichotropinių medžiagų konvencijos II sąrašą;</w:t>
      </w:r>
    </w:p>
    <w:p>
      <w:pPr>
        <w:pStyle w:val="ManualConsidrant"/>
        <w:rPr>
          <w:noProof/>
        </w:rPr>
      </w:pPr>
      <w:r>
        <w:t>(13)</w:t>
      </w:r>
      <w:r>
        <w:tab/>
      </w:r>
      <w:r>
        <w:rPr>
          <w:noProof/>
        </w:rPr>
        <w:t>ENNSC vykdo FUB-AMB, kaip naujos psichoaktyviosios medžiagos, stebėseną, kaip numatyta Reglamente (EB) Nr. 1920/2006. FUB-AMB aptikta 23 valstybėse narėse ir bent keturiose valstybėse narėse jai taikomos kontrolės priemonės. Ji yra siejama su bent dviem mirties atvejais ir dviem ūmaus apsinuodijimo atvejais;</w:t>
      </w:r>
    </w:p>
    <w:p>
      <w:pPr>
        <w:pStyle w:val="ManualConsidrant"/>
        <w:rPr>
          <w:noProof/>
        </w:rPr>
      </w:pPr>
      <w:r>
        <w:t>(14)</w:t>
      </w:r>
      <w:r>
        <w:tab/>
      </w:r>
      <w:r>
        <w:rPr>
          <w:noProof/>
        </w:rPr>
        <w:t>todėl valstybės narės turėtų laikytis pozicijos įtraukti FUB-AMB į Psichotropinių medžiagų konvencijos II sąrašą;</w:t>
      </w:r>
    </w:p>
    <w:p>
      <w:pPr>
        <w:pStyle w:val="ManualConsidrant"/>
        <w:rPr>
          <w:noProof/>
        </w:rPr>
      </w:pPr>
      <w:r>
        <w:t>(15)</w:t>
      </w:r>
      <w:r>
        <w:tab/>
      </w:r>
      <w:r>
        <w:rPr>
          <w:noProof/>
        </w:rPr>
        <w:t xml:space="preserve">remiantis Ekspertų komiteto vertinimu, ADB-CHMINACA (cheminis pavadinimas: N-[(2S)-1-amino-3,3- dimetil-1-oksobutan-2-il]-1- (cikloheksilmetil)indazol-3-karboksamidas; </w:t>
      </w:r>
      <w:r>
        <w:rPr>
          <w:i/>
          <w:noProof/>
        </w:rPr>
        <w:t>N</w:t>
      </w:r>
      <w:r>
        <w:rPr>
          <w:noProof/>
        </w:rPr>
        <w:t>-(1-amino-3,3-dimetil-1-oksobutan-2-il)-1-(cikloheksilmetil)-1</w:t>
      </w:r>
      <w:r>
        <w:rPr>
          <w:i/>
          <w:noProof/>
        </w:rPr>
        <w:t>H</w:t>
      </w:r>
      <w:r>
        <w:rPr>
          <w:noProof/>
        </w:rPr>
        <w:t>-indazol-3-karboksamidas) yra sintetinių kanabinoidų receptorių agonistas, kurio poveikis panašus į THC, kuris yra pagrindinė kanapių psichoaktyvioji medžiaga. ADB-CHMINACA nėra naudojama gydymui, jai nėra suteiktas vaisto rinkodaros leidimas. Yra pakankamai įrodymų, kad ADB-CHMINACA yra piktnaudžiaujama arba gali būti piktnaudžiaujama ir kad tai gali tapti visuomenės sveikatos ir socialine problema, todėl yra pateisinama šiai medžiagai taikytina tarptautinė kontrolė. Todėl PSO rekomenduoja AB-CHMINACA įtraukti į Psichotropinių medžiagų konvencijos II sąrašą;</w:t>
      </w:r>
    </w:p>
    <w:p>
      <w:pPr>
        <w:pStyle w:val="ManualConsidrant"/>
        <w:rPr>
          <w:noProof/>
        </w:rPr>
      </w:pPr>
      <w:r>
        <w:t>(16)</w:t>
      </w:r>
      <w:r>
        <w:tab/>
      </w:r>
      <w:r>
        <w:rPr>
          <w:noProof/>
        </w:rPr>
        <w:t>ADB-CHMINACA Sąjungos lygmeniu jau buvo taikomos kontrolės priemonės pagal Tarybos įgyvendinimo sprendimą (ES) 2018/747</w:t>
      </w:r>
      <w:r>
        <w:rPr>
          <w:rStyle w:val="FootnoteReference"/>
          <w:noProof/>
        </w:rPr>
        <w:footnoteReference w:id="20"/>
      </w:r>
      <w:r>
        <w:rPr>
          <w:noProof/>
        </w:rPr>
        <w:t>;</w:t>
      </w:r>
    </w:p>
    <w:p>
      <w:pPr>
        <w:pStyle w:val="ManualConsidrant"/>
        <w:rPr>
          <w:noProof/>
        </w:rPr>
      </w:pPr>
      <w:r>
        <w:t>(17)</w:t>
      </w:r>
      <w:r>
        <w:tab/>
      </w:r>
      <w:r>
        <w:rPr>
          <w:noProof/>
        </w:rPr>
        <w:t>todėl valstybės narės turėtų laikytis pozicijos įtraukti ADB-CHMINACA į Psichotropinių medžiagų konvencijos II sąrašą;</w:t>
      </w:r>
    </w:p>
    <w:p>
      <w:pPr>
        <w:pStyle w:val="ManualConsidrant"/>
        <w:rPr>
          <w:noProof/>
        </w:rPr>
      </w:pPr>
      <w:r>
        <w:t>(18)</w:t>
      </w:r>
      <w:r>
        <w:tab/>
      </w:r>
      <w:r>
        <w:rPr>
          <w:noProof/>
        </w:rPr>
        <w:t>remiantis Ekspertų komiteto vertinimu, CUMYL-4CN-BINACA (cheminis pavadinimas: 1-(4-cianobutil)-</w:t>
      </w:r>
      <w:r>
        <w:rPr>
          <w:i/>
          <w:noProof/>
        </w:rPr>
        <w:t>N</w:t>
      </w:r>
      <w:r>
        <w:rPr>
          <w:noProof/>
        </w:rPr>
        <w:t>-(1-metil-1-feniletil)-1-</w:t>
      </w:r>
      <w:r>
        <w:rPr>
          <w:i/>
          <w:noProof/>
        </w:rPr>
        <w:t>H</w:t>
      </w:r>
      <w:r>
        <w:rPr>
          <w:noProof/>
        </w:rPr>
        <w:t>-indazol-3-karboksamidas) yra sintetinių kanabinoidų receptorių agonistas, kurio poveikis panašus į THC, kuris yra pagrindinė kanapių psichoaktyvioji medžiaga. CUMYL-4CN-BINACA nėra naudojama gydymui, jai nėra suteiktas vaisto rinkodaros leidimas. Yra pakankamai įrodymų, kad CUMYL-4CN-BINACA yra piktnaudžiaujama arba gali būti piktnaudžiaujama ir kad tai gali tapti visuomenės sveikatos ir socialine problema, todėl yra pateisinama šiai medžiagai taikytina tarptautinė kontrolė. Todėl PSO rekomenduoja CUMYL-4CN-BINACA įtraukti į Psichotropinių medžiagų konvencijos II sąrašą;</w:t>
      </w:r>
    </w:p>
    <w:p>
      <w:pPr>
        <w:pStyle w:val="ManualConsidrant"/>
        <w:rPr>
          <w:noProof/>
        </w:rPr>
      </w:pPr>
      <w:r>
        <w:t>(19)</w:t>
      </w:r>
      <w:r>
        <w:tab/>
      </w:r>
      <w:r>
        <w:rPr>
          <w:noProof/>
        </w:rPr>
        <w:t>CUMYL-4CN-BINACA Sąjungos lygmeniu jau buvo taikomos kontrolės priemonės pagal Tarybos įgyvendinimo sprendimą (ES) 2018/748</w:t>
      </w:r>
      <w:r>
        <w:rPr>
          <w:rStyle w:val="FootnoteReference"/>
          <w:noProof/>
        </w:rPr>
        <w:footnoteReference w:id="21"/>
      </w:r>
      <w:r>
        <w:rPr>
          <w:noProof/>
        </w:rPr>
        <w:t>;</w:t>
      </w:r>
    </w:p>
    <w:p>
      <w:pPr>
        <w:pStyle w:val="ManualConsidrant"/>
        <w:rPr>
          <w:noProof/>
        </w:rPr>
      </w:pPr>
      <w:r>
        <w:t>(20)</w:t>
      </w:r>
      <w:r>
        <w:tab/>
      </w:r>
      <w:r>
        <w:rPr>
          <w:noProof/>
        </w:rPr>
        <w:t>todėl valstybės narės turėtų laikytis pozicijos įtraukti CUMYL-4CN-BINACA į Psichotropinių medžiagų konvencijos II sąrašą;</w:t>
      </w:r>
    </w:p>
    <w:p>
      <w:pPr>
        <w:pStyle w:val="ManualConsidrant"/>
        <w:rPr>
          <w:noProof/>
        </w:rPr>
      </w:pPr>
      <w:r>
        <w:t>(21)</w:t>
      </w:r>
      <w:r>
        <w:tab/>
      </w:r>
      <w:r>
        <w:rPr>
          <w:noProof/>
        </w:rPr>
        <w:t xml:space="preserve">remiantis Ekspertų komiteto vertinimu, ciklopropilfentanilis (cheminis pavadinimas: </w:t>
      </w:r>
      <w:r>
        <w:rPr>
          <w:i/>
          <w:noProof/>
        </w:rPr>
        <w:t>N</w:t>
      </w:r>
      <w:r>
        <w:rPr>
          <w:noProof/>
        </w:rPr>
        <w:t>-fenil-</w:t>
      </w:r>
      <w:r>
        <w:rPr>
          <w:i/>
          <w:noProof/>
        </w:rPr>
        <w:t>N</w:t>
      </w:r>
      <w:r>
        <w:rPr>
          <w:noProof/>
        </w:rPr>
        <w:t xml:space="preserve">-[1-(2-feniletil)piperidin-4-il]ciklopropankarboksamidas) yra sintetinis opioidas, struktūriškai panašus į fentanilį – kontroliuojamą medžiagą, plačiai naudojamą medicinoje kaip bendros anestezijos priedą operacijų metu ir skausmo kontrolei. Nėra užregistruota duomenų apie ciklopropilfentanilio naudojimą gydymo tikslais, o jo vartojimas yra pasibaigęs mirties atvejais. Yra pakankamai įrodymų, kad ciklopropilfentaniliu yra piktnaudžiaujama arba gali būti piktnaudžiaujama ir kad tai gali tapti visuomenės sveikatos ir socialine problema, todėl yra pateisinama šiai medžiagai taikytina tarptautinė kontrolė. Todėl PSO rekomenduoja ciklopropilfentanilį įtraukti į Narkotinių medžiagų konvencijos I sąrašą; </w:t>
      </w:r>
    </w:p>
    <w:p>
      <w:pPr>
        <w:pStyle w:val="ManualConsidrant"/>
        <w:rPr>
          <w:noProof/>
        </w:rPr>
      </w:pPr>
      <w:r>
        <w:t>(22)</w:t>
      </w:r>
      <w:r>
        <w:tab/>
      </w:r>
      <w:r>
        <w:rPr>
          <w:noProof/>
        </w:rPr>
        <w:t>ciklopropilfentaniliui Sąjungos lygmeniu jau buvo taikomos kontrolės priemonės pagal Tarybos įgyvendinimo sprendimą (ES) 2018/1463</w:t>
      </w:r>
      <w:r>
        <w:rPr>
          <w:rStyle w:val="FootnoteReference"/>
          <w:noProof/>
        </w:rPr>
        <w:footnoteReference w:id="22"/>
      </w:r>
      <w:r>
        <w:rPr>
          <w:noProof/>
        </w:rPr>
        <w:t>;</w:t>
      </w:r>
    </w:p>
    <w:p>
      <w:pPr>
        <w:pStyle w:val="ManualConsidrant"/>
        <w:rPr>
          <w:noProof/>
        </w:rPr>
      </w:pPr>
      <w:r>
        <w:t>(23)</w:t>
      </w:r>
      <w:r>
        <w:tab/>
      </w:r>
      <w:r>
        <w:rPr>
          <w:noProof/>
        </w:rPr>
        <w:t>todėl valstybės narės turėtų laikytis pozicijos įtraukti ciklopropilfentanilį į Narkotinių medžiagų konvencijos I sąrašą;</w:t>
      </w:r>
    </w:p>
    <w:p>
      <w:pPr>
        <w:pStyle w:val="ManualConsidrant"/>
        <w:rPr>
          <w:noProof/>
        </w:rPr>
      </w:pPr>
      <w:r>
        <w:t>(24)</w:t>
      </w:r>
      <w:r>
        <w:tab/>
      </w:r>
      <w:r>
        <w:rPr>
          <w:noProof/>
        </w:rPr>
        <w:t>remiantis Ekspertų komiteto vertinimu, metoksiacetilfentanilis (cheminis pavadinimas: 2-metoksi-</w:t>
      </w:r>
      <w:r>
        <w:rPr>
          <w:i/>
          <w:noProof/>
        </w:rPr>
        <w:t>N</w:t>
      </w:r>
      <w:r>
        <w:rPr>
          <w:noProof/>
        </w:rPr>
        <w:t>-(1-fenetilpiperidin-4-il)-</w:t>
      </w:r>
      <w:r>
        <w:rPr>
          <w:i/>
          <w:noProof/>
        </w:rPr>
        <w:t>N</w:t>
      </w:r>
      <w:r>
        <w:rPr>
          <w:noProof/>
        </w:rPr>
        <w:t xml:space="preserve">-fenilacetamidas) yra sintetinis opioidas, struktūriškai panašus į fentanilį – kontroliuojamą medžiagą, plačiai naudojamą medicinoje kaip bendros anestezijos priedą operacijų metu ir skausmo kontrolei. Nėra užregistruota duomenų apie metoksiacetilfentanilio naudojimą gydymo tikslais, o jo vartojimas yra pasibaigęs mirties atvejais. Yra pakankamai įrodymų, kad metoksiacetilfentaniliu yra piktnaudžiaujama arba gali būti piktnaudžiaujama ir kad tai gali tapti visuomenės sveikatos ir socialine problema, todėl yra pateisinama šiai medžiagai taikytina tarptautinė kontrolė. Todėl PSO rekomenduoja metoksiacetilfentanilį įtraukti į Narkotinių medžiagų konvencijos I sąrašą; </w:t>
      </w:r>
    </w:p>
    <w:p>
      <w:pPr>
        <w:pStyle w:val="ManualConsidrant"/>
        <w:rPr>
          <w:noProof/>
        </w:rPr>
      </w:pPr>
      <w:r>
        <w:t>(25)</w:t>
      </w:r>
      <w:r>
        <w:tab/>
      </w:r>
      <w:r>
        <w:rPr>
          <w:noProof/>
        </w:rPr>
        <w:t>metoksiacetilfentaniliui Sąjungos lygmeniu jau buvo taikomos kontrolės priemonės pagal Tarybos įgyvendinimo sprendimą (ES) 2018/1463;</w:t>
      </w:r>
    </w:p>
    <w:p>
      <w:pPr>
        <w:pStyle w:val="ManualConsidrant"/>
        <w:rPr>
          <w:noProof/>
        </w:rPr>
      </w:pPr>
      <w:r>
        <w:t>(26)</w:t>
      </w:r>
      <w:r>
        <w:tab/>
      </w:r>
      <w:r>
        <w:rPr>
          <w:noProof/>
        </w:rPr>
        <w:t>todėl valstybės narės turėtų laikytis pozicijos įtraukti metoksiacetilfentanilį į Narkotinių medžiagų konvencijos I sąrašą;</w:t>
      </w:r>
    </w:p>
    <w:p>
      <w:pPr>
        <w:pStyle w:val="ManualConsidrant"/>
        <w:rPr>
          <w:noProof/>
        </w:rPr>
      </w:pPr>
      <w:r>
        <w:t>(27)</w:t>
      </w:r>
      <w:r>
        <w:tab/>
      </w:r>
      <w:r>
        <w:rPr>
          <w:noProof/>
        </w:rPr>
        <w:t xml:space="preserve">remiantis Ekspertų komiteto vertinimu, </w:t>
      </w:r>
      <w:r>
        <w:rPr>
          <w:i/>
          <w:noProof/>
        </w:rPr>
        <w:t>orto</w:t>
      </w:r>
      <w:r>
        <w:rPr>
          <w:noProof/>
        </w:rPr>
        <w:t xml:space="preserve">-fluorofentanilis (cheminis pavadinimas: </w:t>
      </w:r>
      <w:r>
        <w:rPr>
          <w:i/>
          <w:noProof/>
        </w:rPr>
        <w:t>N</w:t>
      </w:r>
      <w:r>
        <w:rPr>
          <w:noProof/>
        </w:rPr>
        <w:t>-(2-fluorofenil-</w:t>
      </w:r>
      <w:r>
        <w:rPr>
          <w:i/>
          <w:noProof/>
        </w:rPr>
        <w:t>N</w:t>
      </w:r>
      <w:r>
        <w:rPr>
          <w:noProof/>
        </w:rPr>
        <w:t xml:space="preserve">-[1-(2-feniletil)-4-piperidinil]-propanamidas) yra sintetinis opioidas, struktūriškai panašus į fentanilį – kontroliuojamą medžiagą, plačiai naudojamą medicinoje kaip bendros anestezijos priedą operacijų metu ir skausmo kontrolei. Nėra užregistruota duomenų apie </w:t>
      </w:r>
      <w:r>
        <w:rPr>
          <w:i/>
          <w:noProof/>
        </w:rPr>
        <w:t>orto</w:t>
      </w:r>
      <w:r>
        <w:rPr>
          <w:noProof/>
        </w:rPr>
        <w:t xml:space="preserve">-fluorofentanilio naudojimą gydymo tikslais, o jo vartojimas yra pasibaigęs mirties atvejais. Yra pakankamai įrodymų, kad </w:t>
      </w:r>
      <w:r>
        <w:rPr>
          <w:i/>
          <w:noProof/>
        </w:rPr>
        <w:t>orto</w:t>
      </w:r>
      <w:r>
        <w:rPr>
          <w:noProof/>
        </w:rPr>
        <w:t xml:space="preserve">-fluorofentaniliu yra piktnaudžiaujama arba gali būti piktnaudžiaujama ir kad tai gali tapti visuomenės sveikatos ir socialine problema, todėl yra pateisinama šiai medžiagai taikytina tarptautinė kontrolė. Todėl PSO rekomenduoja </w:t>
      </w:r>
      <w:r>
        <w:rPr>
          <w:i/>
          <w:noProof/>
        </w:rPr>
        <w:t>orto</w:t>
      </w:r>
      <w:r>
        <w:rPr>
          <w:noProof/>
        </w:rPr>
        <w:t>-fluorofentanilį įtraukti į Narkotinių medžiagų konvencijos I sąrašą;</w:t>
      </w:r>
    </w:p>
    <w:p>
      <w:pPr>
        <w:pStyle w:val="ManualConsidrant"/>
        <w:rPr>
          <w:noProof/>
        </w:rPr>
      </w:pPr>
      <w:r>
        <w:t>(28)</w:t>
      </w:r>
      <w:r>
        <w:tab/>
      </w:r>
      <w:r>
        <w:rPr>
          <w:noProof/>
        </w:rPr>
        <w:t xml:space="preserve">ENNSC vykdo </w:t>
      </w:r>
      <w:r>
        <w:rPr>
          <w:i/>
          <w:noProof/>
        </w:rPr>
        <w:t>orto</w:t>
      </w:r>
      <w:r>
        <w:rPr>
          <w:noProof/>
        </w:rPr>
        <w:t xml:space="preserve">-fluorofentanilio, kaip naujos psichoaktyviosios medžiagos, stebėseną, kaip numatyta Reglamente (EB) Nr. 1920/2006. </w:t>
      </w:r>
      <w:r>
        <w:rPr>
          <w:i/>
          <w:noProof/>
        </w:rPr>
        <w:t>Orto</w:t>
      </w:r>
      <w:r>
        <w:rPr>
          <w:noProof/>
        </w:rPr>
        <w:t>-fluorofentanilio aptikta penkiose valstybėse narėse ir bent keturiose valstybėse narėse jam taikomos kontrolės priemonės. Jis yra siejamas su bent keturiais mirties atvejais ir dviem ūmaus apsinuodijimo atvejais;</w:t>
      </w:r>
    </w:p>
    <w:p>
      <w:pPr>
        <w:pStyle w:val="ManualConsidrant"/>
        <w:rPr>
          <w:noProof/>
        </w:rPr>
      </w:pPr>
      <w:r>
        <w:t>(29)</w:t>
      </w:r>
      <w:r>
        <w:tab/>
      </w:r>
      <w:r>
        <w:rPr>
          <w:noProof/>
        </w:rPr>
        <w:t xml:space="preserve">todėl valstybės narės turėtų laikytis pozicijos įtraukti </w:t>
      </w:r>
      <w:r>
        <w:rPr>
          <w:i/>
          <w:noProof/>
        </w:rPr>
        <w:t>orto</w:t>
      </w:r>
      <w:r>
        <w:rPr>
          <w:noProof/>
        </w:rPr>
        <w:t>-fluorofentanilį į Narkotinių medžiagų konvencijos I sąrašą;</w:t>
      </w:r>
    </w:p>
    <w:p>
      <w:pPr>
        <w:pStyle w:val="ManualConsidrant"/>
        <w:rPr>
          <w:noProof/>
        </w:rPr>
      </w:pPr>
      <w:r>
        <w:t>(30)</w:t>
      </w:r>
      <w:r>
        <w:tab/>
      </w:r>
      <w:r>
        <w:rPr>
          <w:noProof/>
        </w:rPr>
        <w:t xml:space="preserve">remiantis Ekspertų komiteto vertinimu, </w:t>
      </w:r>
      <w:r>
        <w:rPr>
          <w:i/>
          <w:noProof/>
        </w:rPr>
        <w:t>p</w:t>
      </w:r>
      <w:r>
        <w:rPr>
          <w:noProof/>
        </w:rPr>
        <w:t xml:space="preserve">-fluoro-butirilfentanilis (dar vadinamas 4-fluoro-butirilfentaniliu arba 4F-BF,  cheminis pavadinimas: </w:t>
      </w:r>
      <w:r>
        <w:rPr>
          <w:i/>
          <w:noProof/>
        </w:rPr>
        <w:t>N</w:t>
      </w:r>
      <w:r>
        <w:rPr>
          <w:noProof/>
        </w:rPr>
        <w:t>-(4-fluorofenil-</w:t>
      </w:r>
      <w:r>
        <w:rPr>
          <w:i/>
          <w:noProof/>
        </w:rPr>
        <w:t>N</w:t>
      </w:r>
      <w:r>
        <w:rPr>
          <w:noProof/>
        </w:rPr>
        <w:t xml:space="preserve">-[1-(2-feniletil)piperidin-4-il]butanamidas) yra sintetinis opioidas, struktūriškai panašus į fentanilį – kontroliuojamą medžiagą, plačiai naudojamą medicinoje kaip bendros anestezijos priedą operacijų metu ir skausmo kontrolei. </w:t>
      </w:r>
      <w:r>
        <w:rPr>
          <w:i/>
          <w:noProof/>
        </w:rPr>
        <w:t>p</w:t>
      </w:r>
      <w:r>
        <w:rPr>
          <w:noProof/>
        </w:rPr>
        <w:t xml:space="preserve">-Fluoro-butirilfentanilis gali būti paverstas jo izomeru </w:t>
      </w:r>
      <w:r>
        <w:rPr>
          <w:i/>
          <w:noProof/>
        </w:rPr>
        <w:t>p</w:t>
      </w:r>
      <w:r>
        <w:rPr>
          <w:noProof/>
        </w:rPr>
        <w:t xml:space="preserve">-fluor-izobutirilfentaniliu, kuris yra įtrauktas į Narkotinių medžiagų konvencijos I sąrašą; Nėra užregistruota duomenų apie </w:t>
      </w:r>
      <w:r>
        <w:rPr>
          <w:i/>
          <w:noProof/>
        </w:rPr>
        <w:t>p</w:t>
      </w:r>
      <w:r>
        <w:rPr>
          <w:noProof/>
        </w:rPr>
        <w:t xml:space="preserve">-fluoro-butirilfentanilio naudojimą gydymo tikslais, o jo vartojimas yra pasibaigęs mirties atvejais. Yra pakankamai įrodymų, kad </w:t>
      </w:r>
      <w:r>
        <w:rPr>
          <w:i/>
          <w:noProof/>
        </w:rPr>
        <w:t>p</w:t>
      </w:r>
      <w:r>
        <w:rPr>
          <w:noProof/>
        </w:rPr>
        <w:t xml:space="preserve">-fluoro-butirilfentaniliu yra piktnaudžiaujama arba gali būti piktnaudžiaujama ir kad tai gali tapti visuomenės sveikatos ir socialine problema, todėl yra pateisinama šiai medžiagai taikytina tarptautinė kontrolė. Todėl PSO rekomenduoja </w:t>
      </w:r>
      <w:r>
        <w:rPr>
          <w:i/>
          <w:noProof/>
        </w:rPr>
        <w:t>p</w:t>
      </w:r>
      <w:r>
        <w:rPr>
          <w:noProof/>
        </w:rPr>
        <w:t>-fluoro-butirilfentanilį įtraukti į Narkotinių medžiagų konvencijos I sąrašą;</w:t>
      </w:r>
    </w:p>
    <w:p>
      <w:pPr>
        <w:pStyle w:val="ManualConsidrant"/>
        <w:rPr>
          <w:noProof/>
        </w:rPr>
      </w:pPr>
      <w:r>
        <w:t>(31)</w:t>
      </w:r>
      <w:r>
        <w:tab/>
      </w:r>
      <w:r>
        <w:rPr>
          <w:noProof/>
        </w:rPr>
        <w:t xml:space="preserve">ENNSC vykdo </w:t>
      </w:r>
      <w:r>
        <w:rPr>
          <w:i/>
          <w:noProof/>
        </w:rPr>
        <w:t>p</w:t>
      </w:r>
      <w:r>
        <w:rPr>
          <w:noProof/>
        </w:rPr>
        <w:t xml:space="preserve">-fluoro-butirilfentanilio, kaip naujos psichoaktyviosios medžiagos, stebėseną, kaip numatyta Reglamente (EB) Nr. 1920/2006 (taikant medžiagos pavadinimus 4-fluoro-butirilfentanilis arba 4F-BF). </w:t>
      </w:r>
      <w:r>
        <w:rPr>
          <w:i/>
          <w:noProof/>
        </w:rPr>
        <w:t>p</w:t>
      </w:r>
      <w:r>
        <w:rPr>
          <w:noProof/>
        </w:rPr>
        <w:t>-Fluoro-butirilfentanilio aptikta septyniose valstybėse narėse ir bent septyniose valstybėse narėse jam taikomos kontrolės priemonės. Juo atvirai prekiaujama rinkoje. Jis yra siejamas su bent trimis mirties atvejais;</w:t>
      </w:r>
    </w:p>
    <w:p>
      <w:pPr>
        <w:pStyle w:val="ManualConsidrant"/>
        <w:rPr>
          <w:noProof/>
        </w:rPr>
      </w:pPr>
      <w:r>
        <w:t>(32)</w:t>
      </w:r>
      <w:r>
        <w:tab/>
      </w:r>
      <w:r>
        <w:rPr>
          <w:noProof/>
        </w:rPr>
        <w:t xml:space="preserve">todėl valstybės narės turėtų laikytis pozicijos įtraukti </w:t>
      </w:r>
      <w:r>
        <w:rPr>
          <w:i/>
          <w:noProof/>
        </w:rPr>
        <w:t>p</w:t>
      </w:r>
      <w:r>
        <w:rPr>
          <w:noProof/>
        </w:rPr>
        <w:t>-fluoro-butirilfentanilį į Narkotinių medžiagų konvencijos I sąrašą;</w:t>
      </w:r>
    </w:p>
    <w:p>
      <w:pPr>
        <w:pStyle w:val="ManualConsidrant"/>
        <w:rPr>
          <w:noProof/>
        </w:rPr>
      </w:pPr>
      <w:r>
        <w:t>(33)</w:t>
      </w:r>
      <w:r>
        <w:tab/>
      </w:r>
      <w:r>
        <w:rPr>
          <w:noProof/>
        </w:rPr>
        <w:t xml:space="preserve">remiantis Ekspertų komiteto vertinimu, </w:t>
      </w:r>
      <w:r>
        <w:rPr>
          <w:i/>
          <w:noProof/>
        </w:rPr>
        <w:t>p</w:t>
      </w:r>
      <w:r>
        <w:rPr>
          <w:noProof/>
        </w:rPr>
        <w:t xml:space="preserve">-metoksi-butirilfentanilis (cheminis pavadinimas: </w:t>
      </w:r>
      <w:r>
        <w:rPr>
          <w:i/>
          <w:noProof/>
        </w:rPr>
        <w:t>N</w:t>
      </w:r>
      <w:r>
        <w:rPr>
          <w:noProof/>
        </w:rPr>
        <w:t>-(4-metoksifenil-</w:t>
      </w:r>
      <w:r>
        <w:rPr>
          <w:i/>
          <w:noProof/>
        </w:rPr>
        <w:t>N</w:t>
      </w:r>
      <w:r>
        <w:rPr>
          <w:noProof/>
        </w:rPr>
        <w:t xml:space="preserve">-[1-(2-feniletil)piperidin-4-il]butanamidas) yra sintetinis opioidas, struktūriškai panašus į fentanilį – kontroliuojamą medžiagą, plačiai naudojamą medicinoje kaip bendros anestezijos priedą operacijų metu ir skausmo kontrolei. Nėra užregistruota duomenų apie </w:t>
      </w:r>
      <w:r>
        <w:rPr>
          <w:i/>
          <w:noProof/>
        </w:rPr>
        <w:t>p</w:t>
      </w:r>
      <w:r>
        <w:rPr>
          <w:noProof/>
        </w:rPr>
        <w:t xml:space="preserve">-metoksi-butirilfentanilio naudojimą gydymo tikslais, o jo vartojimas yra pasibaigęs mirties atvejais. Yra pakankamai įrodymų, kad </w:t>
      </w:r>
      <w:r>
        <w:rPr>
          <w:i/>
          <w:noProof/>
        </w:rPr>
        <w:t>p</w:t>
      </w:r>
      <w:r>
        <w:rPr>
          <w:noProof/>
        </w:rPr>
        <w:t xml:space="preserve">-metoksi-butirilfentaniliu yra piktnaudžiaujama arba gali būti piktnaudžiaujama ir kad tai gali tapti visuomenės sveikatos ir socialine problema, todėl yra pateisinama šiai medžiagai taikytina tarptautinė kontrolė. Todėl PSO rekomenduoja </w:t>
      </w:r>
      <w:r>
        <w:rPr>
          <w:i/>
          <w:noProof/>
        </w:rPr>
        <w:t>p</w:t>
      </w:r>
      <w:r>
        <w:rPr>
          <w:noProof/>
        </w:rPr>
        <w:t>-metoksi-butirilfentanilį įtraukti į Narkotinių medžiagų konvencijos I sąrašą;</w:t>
      </w:r>
    </w:p>
    <w:p>
      <w:pPr>
        <w:pStyle w:val="ManualConsidrant"/>
        <w:rPr>
          <w:noProof/>
        </w:rPr>
      </w:pPr>
      <w:r>
        <w:t>(34)</w:t>
      </w:r>
      <w:r>
        <w:tab/>
      </w:r>
      <w:r>
        <w:rPr>
          <w:noProof/>
        </w:rPr>
        <w:t xml:space="preserve">ENNSC vykdo </w:t>
      </w:r>
      <w:r>
        <w:rPr>
          <w:i/>
          <w:noProof/>
        </w:rPr>
        <w:t>p</w:t>
      </w:r>
      <w:r>
        <w:rPr>
          <w:noProof/>
        </w:rPr>
        <w:t xml:space="preserve">-metoksi-butirilfentanilio, kaip naujos psichoaktyviosios medžiagos, stebėseną, kaip numatyta Reglamente (EB) Nr. 1920/2006 (taikant medžiagos pavadinimus 4-metoksibutirilfentanilis arba 4MeO-BF). </w:t>
      </w:r>
      <w:r>
        <w:rPr>
          <w:i/>
          <w:noProof/>
        </w:rPr>
        <w:t>p</w:t>
      </w:r>
      <w:r>
        <w:rPr>
          <w:noProof/>
        </w:rPr>
        <w:t>-Metoksibutirilfentanilio aptikta dviejose valstybėse narėse ir bent keturiose valstybėse narėse jam taikomos kontrolės priemonės. Juo atvirai prekiaujama rinkoje. Jis yra siejamas su bent dviem mirties atvejais;</w:t>
      </w:r>
    </w:p>
    <w:p>
      <w:pPr>
        <w:pStyle w:val="ManualConsidrant"/>
        <w:rPr>
          <w:noProof/>
        </w:rPr>
      </w:pPr>
      <w:r>
        <w:t>(35)</w:t>
      </w:r>
      <w:r>
        <w:tab/>
      </w:r>
      <w:r>
        <w:rPr>
          <w:noProof/>
        </w:rPr>
        <w:t xml:space="preserve">todėl valstybės narės turėtų laikytis pozicijos įtraukti </w:t>
      </w:r>
      <w:r>
        <w:rPr>
          <w:i/>
          <w:noProof/>
        </w:rPr>
        <w:t>p</w:t>
      </w:r>
      <w:r>
        <w:rPr>
          <w:noProof/>
        </w:rPr>
        <w:t>-metoksi-butirilfentanilį į Narkotinių medžiagų konvencijos I sąrašą;</w:t>
      </w:r>
    </w:p>
    <w:p>
      <w:pPr>
        <w:pStyle w:val="ManualConsidrant"/>
        <w:rPr>
          <w:noProof/>
        </w:rPr>
      </w:pPr>
      <w:r>
        <w:t>(36)</w:t>
      </w:r>
      <w:r>
        <w:tab/>
      </w:r>
      <w:r>
        <w:rPr>
          <w:noProof/>
        </w:rPr>
        <w:t xml:space="preserve">remiantis Ekspertų komiteto vertinimu, </w:t>
      </w:r>
      <w:r>
        <w:rPr>
          <w:i/>
          <w:noProof/>
        </w:rPr>
        <w:t>N</w:t>
      </w:r>
      <w:r>
        <w:rPr>
          <w:noProof/>
        </w:rPr>
        <w:t>-etilnorpentilonas (cheminis pavadinimas: (1-(2</w:t>
      </w:r>
      <w:r>
        <w:rPr>
          <w:i/>
          <w:noProof/>
        </w:rPr>
        <w:t>H</w:t>
      </w:r>
      <w:r>
        <w:rPr>
          <w:noProof/>
        </w:rPr>
        <w:t xml:space="preserve">-1,3-benzodioksol-5-il)-2-(etilamino)pentan-1-onas) yra sintetinis katinonas. </w:t>
      </w:r>
      <w:r>
        <w:rPr>
          <w:i/>
          <w:noProof/>
        </w:rPr>
        <w:t>N</w:t>
      </w:r>
      <w:r>
        <w:rPr>
          <w:noProof/>
        </w:rPr>
        <w:t xml:space="preserve">-etilnorpentilonas nėra naudojamas gydymui, jam nėra suteiktas vaisto rinkodaros leidimas. Iš konfiskavimo duomenų matyti, kad </w:t>
      </w:r>
      <w:r>
        <w:rPr>
          <w:i/>
          <w:noProof/>
        </w:rPr>
        <w:t>N</w:t>
      </w:r>
      <w:r>
        <w:rPr>
          <w:noProof/>
        </w:rPr>
        <w:t>-etilnorpentilonas gali būti miltelių, kristalų, kapsulių ir tablečių formos. Esama pavyzdžių, kai šis narkotikas buvo apgaulingai parduodamas kaip ekstazis ir (arba) MDMA</w:t>
      </w:r>
      <w:r>
        <w:rPr>
          <w:rStyle w:val="FootnoteReference"/>
          <w:noProof/>
        </w:rPr>
        <w:footnoteReference w:id="23"/>
      </w:r>
      <w:r>
        <w:rPr>
          <w:noProof/>
        </w:rPr>
        <w:t xml:space="preserve">. Yra pakankamai įrodymų, kad </w:t>
      </w:r>
      <w:r>
        <w:rPr>
          <w:i/>
          <w:noProof/>
        </w:rPr>
        <w:t>N</w:t>
      </w:r>
      <w:r>
        <w:rPr>
          <w:noProof/>
        </w:rPr>
        <w:t xml:space="preserve">-etilnorpentilonu yra piktnaudžiaujama arba gali būti piktnaudžiaujama ir kad tai gali tapti visuomenės sveikatos ir socialine problema, todėl yra pateisinama šiai medžiagai taikytina tarptautinė kontrolė. Todėl PSO rekomenduoja </w:t>
      </w:r>
      <w:r>
        <w:rPr>
          <w:i/>
          <w:noProof/>
        </w:rPr>
        <w:t>N</w:t>
      </w:r>
      <w:r>
        <w:rPr>
          <w:noProof/>
        </w:rPr>
        <w:t>-etilnorpentiloną įtraukti į Psichotropinių medžiagų konvencijos II sąrašą;</w:t>
      </w:r>
    </w:p>
    <w:p>
      <w:pPr>
        <w:pStyle w:val="ManualConsidrant"/>
        <w:rPr>
          <w:noProof/>
        </w:rPr>
      </w:pPr>
      <w:r>
        <w:t>(37)</w:t>
      </w:r>
      <w:r>
        <w:tab/>
      </w:r>
      <w:r>
        <w:rPr>
          <w:noProof/>
        </w:rPr>
        <w:t xml:space="preserve">ENNSC vykdo </w:t>
      </w:r>
      <w:r>
        <w:rPr>
          <w:i/>
          <w:noProof/>
        </w:rPr>
        <w:t>N</w:t>
      </w:r>
      <w:r>
        <w:rPr>
          <w:noProof/>
        </w:rPr>
        <w:t xml:space="preserve">-etilnorpentilono, kaip naujos psichoaktyviosios medžiagos, stebėseną, kaip numatyta Reglamente (EB) Nr. 1920/2006 (taikant medžiagos pavadinimą efilonas). </w:t>
      </w:r>
      <w:r>
        <w:rPr>
          <w:i/>
          <w:noProof/>
        </w:rPr>
        <w:t>N</w:t>
      </w:r>
      <w:r>
        <w:rPr>
          <w:noProof/>
        </w:rPr>
        <w:t>-etilnorpentilono aptikta 24 valstybėse narėse ir bent šešiose valstybėse narėse jam taikomos kontrolės priemonės. Juo atvirai prekiaujama rinkoje, taip pat ir sumaišytu su MDMA, kokainu ir ketaminu. Jis yra siejamas su bent septyniais mirties atvejais ir septyniais ūmaus apsinuodijimo atvejais;</w:t>
      </w:r>
    </w:p>
    <w:p>
      <w:pPr>
        <w:pStyle w:val="ManualConsidrant"/>
        <w:rPr>
          <w:noProof/>
        </w:rPr>
      </w:pPr>
      <w:r>
        <w:t>(38)</w:t>
      </w:r>
      <w:r>
        <w:tab/>
      </w:r>
      <w:r>
        <w:rPr>
          <w:noProof/>
        </w:rPr>
        <w:t xml:space="preserve">todėl valstybės narės turėtų laikytis pozicijos įtraukti </w:t>
      </w:r>
      <w:r>
        <w:rPr>
          <w:i/>
          <w:noProof/>
        </w:rPr>
        <w:t>N</w:t>
      </w:r>
      <w:r>
        <w:rPr>
          <w:noProof/>
        </w:rPr>
        <w:t>-etilnorpentiloną į Psichotropinių medžiagų konvencijos II sąrašą;</w:t>
      </w:r>
    </w:p>
    <w:p>
      <w:pPr>
        <w:pStyle w:val="ManualConsidrant"/>
        <w:rPr>
          <w:noProof/>
        </w:rPr>
      </w:pPr>
      <w:r>
        <w:t>(39)</w:t>
      </w:r>
      <w:r>
        <w:tab/>
      </w:r>
      <w:r>
        <w:rPr>
          <w:noProof/>
        </w:rPr>
        <w:t>pravartu nustatyti poziciją, kurios Sąjungos vardu turi būti laikomasi Narkotinių medžiagų komisijoje, kadangi sprendimai dėl 10 medžiagų įtraukimo į įvairius sąrašus gali labai paveikti Sąjungos teisės aktų turinį, visų pirma Pamatinį sprendimą 2004/757/TVR;</w:t>
      </w:r>
    </w:p>
    <w:p>
      <w:pPr>
        <w:pStyle w:val="ManualConsidrant"/>
        <w:rPr>
          <w:noProof/>
        </w:rPr>
      </w:pPr>
      <w:r>
        <w:t>(40)</w:t>
      </w:r>
      <w:r>
        <w:tab/>
      </w:r>
      <w:r>
        <w:rPr>
          <w:noProof/>
        </w:rPr>
        <w:t>Sąjungos poziciją vieningai pareiškia valstybės narės, kurios yra Narkotinių medžiagų komisijos narės;</w:t>
      </w:r>
    </w:p>
    <w:p>
      <w:pPr>
        <w:pStyle w:val="ManualConsidrant"/>
        <w:rPr>
          <w:noProof/>
        </w:rPr>
      </w:pPr>
      <w:r>
        <w:t>(41)</w:t>
      </w:r>
      <w:r>
        <w:tab/>
      </w:r>
      <w:r>
        <w:rPr>
          <w:noProof/>
        </w:rPr>
        <w:t>Danijai pamatinis sprendimas 2004/757/TVR yra privalomas, todėl ji dalyvauja priimant ir taikant šį sprendimą;</w:t>
      </w:r>
    </w:p>
    <w:p>
      <w:pPr>
        <w:pStyle w:val="ManualConsidrant"/>
        <w:rPr>
          <w:noProof/>
        </w:rPr>
      </w:pPr>
      <w:r>
        <w:t>(42)</w:t>
      </w:r>
      <w:r>
        <w:tab/>
      </w:r>
      <w:r>
        <w:rPr>
          <w:noProof/>
        </w:rPr>
        <w:t>Airijai pamatinis sprendimas 2004/757/TVR yra privalomas, todėl ji dalyvauja priimant ir taikant šį sprendimą;</w:t>
      </w:r>
    </w:p>
    <w:p>
      <w:pPr>
        <w:pStyle w:val="ManualConsidrant"/>
        <w:rPr>
          <w:noProof/>
        </w:rPr>
      </w:pPr>
      <w:r>
        <w:t>(43)</w:t>
      </w:r>
      <w:r>
        <w:tab/>
      </w:r>
      <w:r>
        <w:rPr>
          <w:noProof/>
        </w:rPr>
        <w:t>Jungtinei Karalystei Pamatinis sprendimas 2004/757/TVR su pakeitimais nėra privalomas, todėl ji nedalyvauja priimant šį sprendimą ir jis nėra jai privalomas ar taikomas,</w:t>
      </w:r>
    </w:p>
    <w:p>
      <w:pPr>
        <w:pStyle w:val="Formuledadoption"/>
        <w:rPr>
          <w:noProof/>
        </w:rPr>
      </w:pPr>
      <w:r>
        <w:rPr>
          <w:noProof/>
        </w:rPr>
        <w:t xml:space="preserve">PRIĖMĖ ŠĮ SPRENDIMĄ: </w:t>
      </w:r>
    </w:p>
    <w:p>
      <w:pPr>
        <w:pStyle w:val="Titrearticle"/>
        <w:rPr>
          <w:noProof/>
        </w:rPr>
      </w:pPr>
      <w:r>
        <w:rPr>
          <w:noProof/>
        </w:rPr>
        <w:t>1 straipsnis</w:t>
      </w:r>
    </w:p>
    <w:p>
      <w:pPr>
        <w:rPr>
          <w:bCs/>
          <w:noProof/>
          <w:szCs w:val="24"/>
        </w:rPr>
      </w:pPr>
      <w:r>
        <w:rPr>
          <w:noProof/>
        </w:rPr>
        <w:t>Pozicija, kuri turi būti priimta Sąjungos vardu 2018 m. kovo 18–22 d. Narkotinių medžiagų komisijos šešiasdešimt antrojoje sesijoje, kai to organo prašoma priimti sprendimus dėl medžiagų įtraukimo į 1961 m. Jungtinių Tautų bendrosios narkotinių medžiagų konvencijos su pakeitimais, padarytais 1972 m. protokolu, ir 1971 m. Jungtinių Tautų psichotropinių medžiagų konvencijos sąrašus, išdėstyta šio sprendimo priede.</w:t>
      </w:r>
    </w:p>
    <w:p>
      <w:pPr>
        <w:pStyle w:val="Titrearticle"/>
        <w:rPr>
          <w:noProof/>
        </w:rPr>
      </w:pPr>
      <w:r>
        <w:rPr>
          <w:noProof/>
        </w:rPr>
        <w:t>2 straipsnis</w:t>
      </w:r>
    </w:p>
    <w:p>
      <w:pPr>
        <w:rPr>
          <w:bCs/>
          <w:noProof/>
          <w:szCs w:val="24"/>
        </w:rPr>
      </w:pPr>
      <w:r>
        <w:rPr>
          <w:noProof/>
        </w:rPr>
        <w:t>1 straipsnyje nurodytą poziciją vieningai pareiškia valstybės narės, kurios yra Narkotinių medžiagų komisijos narės.</w:t>
      </w:r>
    </w:p>
    <w:p>
      <w:pPr>
        <w:pStyle w:val="Titrearticle"/>
        <w:keepNext w:val="0"/>
        <w:rPr>
          <w:noProof/>
        </w:rPr>
      </w:pPr>
      <w:r>
        <w:rPr>
          <w:noProof/>
        </w:rPr>
        <w:t xml:space="preserve">3 straipsnis </w:t>
      </w:r>
    </w:p>
    <w:p>
      <w:pPr>
        <w:rPr>
          <w:noProof/>
        </w:rPr>
      </w:pPr>
      <w:r>
        <w:rPr>
          <w:noProof/>
        </w:rPr>
        <w:t>Šis sprendimas pagal Sutartis skirtas valstybėms narėms.</w:t>
      </w:r>
    </w:p>
    <w:p>
      <w:pPr>
        <w:keepNext/>
        <w:keepLines/>
        <w:rPr>
          <w:noProof/>
        </w:rPr>
      </w:pP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Jungtinių Tautų sutarčių rinkinys, 978 t., Nr. 14152.</w:t>
      </w:r>
    </w:p>
  </w:footnote>
  <w:footnote w:id="2">
    <w:p>
      <w:pPr>
        <w:pStyle w:val="FootnoteText"/>
      </w:pPr>
      <w:r>
        <w:rPr>
          <w:rStyle w:val="FootnoteReference"/>
        </w:rPr>
        <w:footnoteRef/>
      </w:r>
      <w:r>
        <w:tab/>
        <w:t>Jungtinių Tautų sutarčių rinkinys, 1019 t., Nr. 14956.</w:t>
      </w:r>
    </w:p>
  </w:footnote>
  <w:footnote w:id="3">
    <w:p>
      <w:pPr>
        <w:pStyle w:val="FootnoteText"/>
      </w:pPr>
      <w:r>
        <w:rPr>
          <w:rStyle w:val="FootnoteReference"/>
        </w:rPr>
        <w:footnoteRef/>
      </w:r>
      <w:r>
        <w:tab/>
        <w:t>Austrija, Belgija, Čekija, Italija, Ispanija, Kroatija, Nyderlandai, Prancūzija, Slovakija, Vengrija, Vokietija.</w:t>
      </w:r>
    </w:p>
  </w:footnote>
  <w:footnote w:id="4">
    <w:p>
      <w:pPr>
        <w:pStyle w:val="FootnoteText"/>
      </w:pPr>
      <w:r>
        <w:rPr>
          <w:rStyle w:val="FootnoteReference"/>
        </w:rPr>
        <w:footnoteRef/>
      </w:r>
      <w:r>
        <w:tab/>
        <w:t>2018 m. gruodžio 7 d. vėl sušauktoje Narkotinių medžiagų komisijos 61-oje sesijoje pateiktas žodinis pareiškimas.</w:t>
      </w:r>
    </w:p>
  </w:footnote>
  <w:footnote w:id="5">
    <w:p>
      <w:pPr>
        <w:pStyle w:val="FootnoteText"/>
      </w:pPr>
      <w:r>
        <w:rPr>
          <w:rStyle w:val="FootnoteReference"/>
        </w:rPr>
        <w:footnoteRef/>
      </w:r>
      <w:r>
        <w:tab/>
        <w:t xml:space="preserve">OL L 335, 2004 11 11, p. 8, su pakeitimais, padarytais 2017 m. lapkričio 15 d. Europos Parlamento ir Tarybos direktyvoje (ES) 2017/2103, kuria, siekiant į termino „narkotikas“ apibrėžtį įtraukti naujų psichoaktyviųjų medžiagų, iš dalies keičiamas Tarybos pamatinis sprendimas 2004/757/TVR ir kuria panaikinamas Tarybos sprendimas 2005/387/TVR, OL L305, 2017 11 21, p.12. </w:t>
      </w:r>
    </w:p>
  </w:footnote>
  <w:footnote w:id="6">
    <w:p>
      <w:pPr>
        <w:pStyle w:val="FootnoteText"/>
      </w:pPr>
      <w:r>
        <w:rPr>
          <w:rStyle w:val="FootnoteReference"/>
        </w:rPr>
        <w:footnoteRef/>
      </w:r>
      <w:r>
        <w:tab/>
        <w:t xml:space="preserve">Tarybos sprendimas 2005/387/TVR nuo 2018 m. lapkričio 23 d. panaikintas Direktyva (ES) 2017/2103. Visos medžiagos, kurioms pagal Tarybos sprendimą 2005/387/JHA taikomos kontrolės priemonės ir baudžiamosios sankcijos, Direktyvos (ES) 2017/2103 priėmimo dieną buvo įtrauktos į direktyvos priedą, kuris tapo iš dalies pakeisto Tarybos pamatinio sprendimo 2004/757/TVR priedu. Medžiagos, kurioms buvo taikomos kontrolės priemonės ir baudžiamosios sankcijos pagal Tarybos sprendimą 2005/387/JHA nuo 2017 m. lapkričio mėn., kai buvo priimti nauji teisės aktai, ir kurios 2018 m. lapkričio 23 d. Tarybos sprendimu bus įtrauktos į Pamatinio sprendimo priedą priimant deleguotąjį aktą, kurį šiuo metu nagrinėja Europos Parlamentas ir Taryba (C(2018) 8460). </w:t>
      </w:r>
    </w:p>
  </w:footnote>
  <w:footnote w:id="7">
    <w:p>
      <w:pPr>
        <w:pStyle w:val="FootnoteText"/>
      </w:pPr>
      <w:r>
        <w:rPr>
          <w:rStyle w:val="FootnoteReference"/>
        </w:rPr>
        <w:footnoteRef/>
      </w:r>
      <w:r>
        <w:tab/>
        <w:t xml:space="preserve">2018 m. gegužės 14 d. Tarybos įgyvendinimo sprendimas (ES) 2018/747 dėl kontrolės priemonių taikymo naujai psichoaktyviajai medžiagai </w:t>
      </w:r>
      <w:r>
        <w:rPr>
          <w:i/>
        </w:rPr>
        <w:t>N</w:t>
      </w:r>
      <w:r>
        <w:t>-(1-amino-3,3-dimetil-1-oksobutan-2-il)-1-(cikloheksilmetil)-1</w:t>
      </w:r>
      <w:r>
        <w:rPr>
          <w:i/>
        </w:rPr>
        <w:t>H</w:t>
      </w:r>
      <w:r>
        <w:t>-indazol-3-karboksamidui (ADB-CHMINACA), OL L 125, 2018 5 22, p.8.</w:t>
      </w:r>
    </w:p>
  </w:footnote>
  <w:footnote w:id="8">
    <w:p>
      <w:pPr>
        <w:pStyle w:val="FootnoteText"/>
      </w:pPr>
      <w:r>
        <w:rPr>
          <w:rStyle w:val="FootnoteReference"/>
        </w:rPr>
        <w:footnoteRef/>
      </w:r>
      <w:r>
        <w:tab/>
        <w:t xml:space="preserve">2018 m. gegužės 14 d. Tarybos įgyvendinimo sprendimas (ES) 2018/748 dėl kontrolės priemonių taikymo naujai psichoaktyviajai medžiagai 1-(4-cianobutil)-N-(2-fenilpropan-2-il)-1H-indazol-3-karboksamidui (CUMYL-4CN-BINACA), </w:t>
      </w:r>
      <w:r>
        <w:rPr>
          <w:rStyle w:val="Emphasis"/>
          <w:i w:val="0"/>
        </w:rPr>
        <w:t>OL L 125, 2018 5 22, p.10.</w:t>
      </w:r>
    </w:p>
  </w:footnote>
  <w:footnote w:id="9">
    <w:p>
      <w:pPr>
        <w:pStyle w:val="FootnoteText"/>
      </w:pPr>
      <w:r>
        <w:rPr>
          <w:rStyle w:val="FootnoteReference"/>
        </w:rPr>
        <w:footnoteRef/>
      </w:r>
      <w:r>
        <w:tab/>
        <w:t xml:space="preserve">2018 m. rugsėjo 28 d. Tarybos įgyvendinimo sprendimas (ES) 2018/1463 dėl kontrolės priemonių taikymo naujoms psichoaktyviosioms medžiagoms </w:t>
      </w:r>
      <w:r>
        <w:rPr>
          <w:i/>
          <w:noProof/>
        </w:rPr>
        <w:t>N</w:t>
      </w:r>
      <w:r>
        <w:t>-fenil-</w:t>
      </w:r>
      <w:r>
        <w:rPr>
          <w:i/>
          <w:noProof/>
        </w:rPr>
        <w:t>N</w:t>
      </w:r>
      <w:r>
        <w:t>-[1-(2-feniletil)piperidin-4-il]ciklopropankarboksamidui (ciklopropilfentaniliui) ir 2-metoksi-</w:t>
      </w:r>
      <w:r>
        <w:rPr>
          <w:i/>
          <w:noProof/>
        </w:rPr>
        <w:t>N</w:t>
      </w:r>
      <w:r>
        <w:t>-fenil-</w:t>
      </w:r>
      <w:r>
        <w:rPr>
          <w:i/>
          <w:noProof/>
        </w:rPr>
        <w:t>N</w:t>
      </w:r>
      <w:r>
        <w:t>-[1-(2-feniletil)piperidin-4-il]acetamidui (metoksiacetilfentaniliui), OL L 245, 2018 10 1, p. 9.</w:t>
      </w:r>
    </w:p>
  </w:footnote>
  <w:footnote w:id="10">
    <w:p>
      <w:pPr>
        <w:pStyle w:val="FootnoteText"/>
        <w:rPr>
          <w:lang w:val="pt-PT"/>
        </w:rPr>
      </w:pPr>
      <w:r>
        <w:rPr>
          <w:rStyle w:val="FootnoteReference"/>
        </w:rPr>
        <w:footnoteRef/>
      </w:r>
      <w:r>
        <w:tab/>
        <w:t xml:space="preserve">COM(2017) 72 </w:t>
      </w:r>
      <w:r>
        <w:rPr>
          <w:i/>
        </w:rPr>
        <w:t>final</w:t>
      </w:r>
      <w:r>
        <w:t xml:space="preserve"> ir COM(2018) 31 </w:t>
      </w:r>
      <w:r>
        <w:rPr>
          <w:i/>
        </w:rPr>
        <w:t>final</w:t>
      </w:r>
      <w:r>
        <w:t xml:space="preserve">. </w:t>
      </w:r>
    </w:p>
  </w:footnote>
  <w:footnote w:id="11">
    <w:p>
      <w:pPr>
        <w:pStyle w:val="FootnoteText"/>
      </w:pPr>
      <w:r>
        <w:rPr>
          <w:rStyle w:val="FootnoteReference"/>
        </w:rPr>
        <w:footnoteRef/>
      </w:r>
      <w:r>
        <w:tab/>
        <w:t>Priimta atitinkamai 2017 m. kovo 7 d. ir 2018 m. vasario 27 d. Bendrųjų reikalų taryboje.</w:t>
      </w:r>
    </w:p>
  </w:footnote>
  <w:footnote w:id="12">
    <w:p>
      <w:pPr>
        <w:pStyle w:val="FootnoteText"/>
      </w:pPr>
      <w:r>
        <w:rPr>
          <w:rStyle w:val="FootnoteReference"/>
        </w:rPr>
        <w:footnoteRef/>
      </w:r>
      <w:r>
        <w:tab/>
        <w:t xml:space="preserve">2014 m. spalio 7 d. Teisingumo Teismo sprendimo Vokietija prieš Tarybą, C-399/12, ECLI:EU:C:2014: 2258, 61–64 punktai. </w:t>
      </w:r>
    </w:p>
  </w:footnote>
  <w:footnote w:id="13">
    <w:p>
      <w:pPr>
        <w:pStyle w:val="FootnoteText"/>
      </w:pPr>
      <w:r>
        <w:rPr>
          <w:rStyle w:val="FootnoteReference"/>
        </w:rPr>
        <w:footnoteRef/>
      </w:r>
      <w:r>
        <w:tab/>
        <w:t>Narkotinių medžiagų konvencijos 3 straipsnio 7 dalis; Psichotropinių medžiagų konvencijos 2 straipsnio 7 dalis.</w:t>
      </w:r>
    </w:p>
  </w:footnote>
  <w:footnote w:id="14">
    <w:p>
      <w:pPr>
        <w:pStyle w:val="FootnoteText"/>
      </w:pPr>
      <w:r>
        <w:rPr>
          <w:rStyle w:val="FootnoteReference"/>
        </w:rPr>
        <w:footnoteRef/>
      </w:r>
      <w:r>
        <w:tab/>
        <w:t>Žr. Sąjungos aktų, priimtų policijos ir teisminio bendradarbiavimo baudžiamosiose bylose srityje iki Lisabonos sutarties įsigaliojimo, kurie pagal Protokolo (Nr. 36) dėl pereinamojo laikotarpio nuostatų 10 straipsnio 4 dalies antrą sakinį Jungtinei Karalystei nebetaikomi nuo 2014 m. gruodžio 1 d., sąrašo (OL C 430, 2014 12 1, p. 17) 29 punktą.</w:t>
      </w:r>
    </w:p>
  </w:footnote>
  <w:footnote w:id="15">
    <w:p>
      <w:pPr>
        <w:pStyle w:val="FootnoteText"/>
      </w:pPr>
      <w:r>
        <w:rPr>
          <w:rStyle w:val="FootnoteReference"/>
        </w:rPr>
        <w:footnoteRef/>
      </w:r>
      <w:r>
        <w:tab/>
      </w:r>
      <w:r>
        <w:rPr>
          <w:color w:val="000000" w:themeColor="text1"/>
        </w:rPr>
        <w:t>Jungtinių Tautų sutarčių rinkinys, 978 t., Nr. 14152.</w:t>
      </w:r>
    </w:p>
  </w:footnote>
  <w:footnote w:id="16">
    <w:p>
      <w:pPr>
        <w:pStyle w:val="FootnoteText"/>
      </w:pPr>
      <w:r>
        <w:rPr>
          <w:rStyle w:val="FootnoteReference"/>
        </w:rPr>
        <w:footnoteRef/>
      </w:r>
      <w:r>
        <w:tab/>
      </w:r>
      <w:r>
        <w:rPr>
          <w:color w:val="000000" w:themeColor="text1"/>
        </w:rPr>
        <w:t>Jungtinių Tautų sutarčių rinkinys, 1019 t., Nr. 14956.</w:t>
      </w:r>
    </w:p>
  </w:footnote>
  <w:footnote w:id="17">
    <w:p>
      <w:pPr>
        <w:pStyle w:val="FootnoteText"/>
      </w:pPr>
      <w:r>
        <w:rPr>
          <w:rStyle w:val="FootnoteReference"/>
        </w:rPr>
        <w:footnoteRef/>
      </w:r>
      <w:r>
        <w:tab/>
        <w:t>2004 m. spalio 25 d. Tarybos pamatinis sprendimas 2004/757/TVR, nustatantis būtiniausias nuostatas dėl nusikalstamų veikų sudėties požymių ir bausmių neteisėtos prekybos narkotikais srityje (OL L 335, 2004 11 11, p. 8).</w:t>
      </w:r>
    </w:p>
  </w:footnote>
  <w:footnote w:id="18">
    <w:p>
      <w:pPr>
        <w:pStyle w:val="FootnoteText"/>
      </w:pPr>
      <w:r>
        <w:rPr>
          <w:rStyle w:val="FootnoteReference"/>
        </w:rPr>
        <w:footnoteRef/>
      </w:r>
      <w:r>
        <w:tab/>
        <w:t>2018 m. gruodžio 7 d. vėl sušauktoje Narkotinių medžiagų komisijos 61-oje sesijoje pateiktas žodinis pareiškimas;</w:t>
      </w:r>
    </w:p>
  </w:footnote>
  <w:footnote w:id="19">
    <w:p>
      <w:pPr>
        <w:pStyle w:val="FootnoteText"/>
      </w:pPr>
      <w:r>
        <w:rPr>
          <w:rStyle w:val="FootnoteReference"/>
        </w:rPr>
        <w:footnoteRef/>
      </w:r>
      <w:r>
        <w:tab/>
        <w:t>2006 m. gruodžio 12 d. Europos Parlamento ir Tarybos reglamentas (EB) Nr. 1920/2006 dėl Europos narkotikų ir narkomanijos stebėsenos centro (OL L 376, 2006 12 27, p. 1).</w:t>
      </w:r>
    </w:p>
  </w:footnote>
  <w:footnote w:id="20">
    <w:p>
      <w:pPr>
        <w:pStyle w:val="FootnoteText"/>
        <w:rPr>
          <w:lang w:val="sk-SK"/>
        </w:rPr>
      </w:pPr>
      <w:r>
        <w:rPr>
          <w:rStyle w:val="FootnoteReference"/>
        </w:rPr>
        <w:footnoteRef/>
      </w:r>
      <w:r>
        <w:tab/>
        <w:t xml:space="preserve">2018 m. gegužės 14 d. Tarybos įgyvendinimo sprendimas (ES) 2018/747 dėl kontrolės priemonių taikymo naujai psichoaktyviajai medžiagai </w:t>
      </w:r>
      <w:r>
        <w:rPr>
          <w:i/>
        </w:rPr>
        <w:t>N</w:t>
      </w:r>
      <w:r>
        <w:t>-(1-amino-3,3-dimetil-1-oksobutan-2-il)-1-(cikloheksilmetil)-1</w:t>
      </w:r>
      <w:r>
        <w:rPr>
          <w:i/>
        </w:rPr>
        <w:t>H</w:t>
      </w:r>
      <w:r>
        <w:t>-indazol-3-karboksamidui (ADB-CHMINACA), OL L 125, 2018 5 22, p.8.</w:t>
      </w:r>
    </w:p>
  </w:footnote>
  <w:footnote w:id="21">
    <w:p>
      <w:pPr>
        <w:pStyle w:val="FootnoteText"/>
        <w:rPr>
          <w:i/>
          <w:lang w:val="sk-SK"/>
        </w:rPr>
      </w:pPr>
      <w:r>
        <w:rPr>
          <w:rStyle w:val="FootnoteReference"/>
        </w:rPr>
        <w:footnoteRef/>
      </w:r>
      <w:r>
        <w:tab/>
        <w:t xml:space="preserve">2018 m. gegužės 14 d. Tarybos įgyvendinimo sprendimas (ES) 2018/748 dėl kontrolės priemonių taikymo naujai psichoaktyviajai medžiagai 1-(4-cianobutil)-N-(2-fenilpropan-2-il)-1H-indazol-3-karboksamidui (CUMYL-4CN-BINACA), </w:t>
      </w:r>
      <w:r>
        <w:rPr>
          <w:rStyle w:val="Emphasis"/>
          <w:i w:val="0"/>
        </w:rPr>
        <w:t>OL L 125, 2018 5 22, p.10.</w:t>
      </w:r>
    </w:p>
  </w:footnote>
  <w:footnote w:id="22">
    <w:p>
      <w:pPr>
        <w:pStyle w:val="FootnoteText"/>
        <w:rPr>
          <w:lang w:val="sk-SK"/>
        </w:rPr>
      </w:pPr>
      <w:r>
        <w:rPr>
          <w:rStyle w:val="FootnoteReference"/>
        </w:rPr>
        <w:footnoteRef/>
      </w:r>
      <w:r>
        <w:tab/>
        <w:t xml:space="preserve">2018 m. rugsėjo 28 d. Tarybos įgyvendinimo sprendimas (ES) 2018/1463 dėl kontrolės priemonių taikymo naujoms psichoaktyviosioms medžiagoms </w:t>
      </w:r>
      <w:r>
        <w:rPr>
          <w:i/>
          <w:noProof/>
        </w:rPr>
        <w:t>N</w:t>
      </w:r>
      <w:r>
        <w:t>-fenil-</w:t>
      </w:r>
      <w:r>
        <w:rPr>
          <w:i/>
          <w:noProof/>
        </w:rPr>
        <w:t>N</w:t>
      </w:r>
      <w:r>
        <w:t>-[1-(2-feniletil)piperidin-4-il]ciklopropankarboksamidui (ciklopropilfentaniliui) ir 2-metoksi-</w:t>
      </w:r>
      <w:r>
        <w:rPr>
          <w:i/>
          <w:noProof/>
        </w:rPr>
        <w:t>N</w:t>
      </w:r>
      <w:r>
        <w:t>-fenil-</w:t>
      </w:r>
      <w:r>
        <w:rPr>
          <w:i/>
          <w:noProof/>
        </w:rPr>
        <w:t>N</w:t>
      </w:r>
      <w:r>
        <w:t>-[1-(2-feniletil)piperidin-4-il]acetamidui (metoksiacetilfentaniliui), OL L 245, 2018 10 1, p. 9.</w:t>
      </w:r>
    </w:p>
  </w:footnote>
  <w:footnote w:id="23">
    <w:p>
      <w:pPr>
        <w:pStyle w:val="FootnoteText"/>
      </w:pPr>
      <w:r>
        <w:rPr>
          <w:rStyle w:val="FootnoteReference"/>
        </w:rPr>
        <w:footnoteRef/>
      </w:r>
      <w:r>
        <w:tab/>
        <w:t>MDMA yra 3,4-metilendioksimetamfetaminas, paprastai vadinamas ekstaziu.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DEB2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B0E8E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42C2F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441E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707D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62CEA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42C78FA"/>
    <w:lvl w:ilvl="0">
      <w:start w:val="1"/>
      <w:numFmt w:val="decimal"/>
      <w:pStyle w:val="ListNumber"/>
      <w:lvlText w:val="%1."/>
      <w:lvlJc w:val="left"/>
      <w:pPr>
        <w:tabs>
          <w:tab w:val="num" w:pos="360"/>
        </w:tabs>
        <w:ind w:left="360" w:hanging="360"/>
      </w:pPr>
    </w:lvl>
  </w:abstractNum>
  <w:abstractNum w:abstractNumId="7">
    <w:nsid w:val="FFFFFF89"/>
    <w:multiLevelType w:val="singleLevel"/>
    <w:tmpl w:val="136435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1:59: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2386F76-EFE7-4374-BE18-6DECFCF610E8"/>
    <w:docVar w:name="LW_COVERPAGE_TYPE" w:val="1"/>
    <w:docVar w:name="LW_CROSSREFERENCE" w:val="&lt;UNUSED&gt;"/>
    <w:docVar w:name="LW_DocType" w:val="COM"/>
    <w:docVar w:name="LW_EMISSION" w:val="2019 01 07"/>
    <w:docVar w:name="LW_EMISSION_ISODATE" w:val="2019-01-07"/>
    <w:docVar w:name="LW_EMISSION_LOCATION" w:val="BRX"/>
    <w:docVar w:name="LW_EMISSION_PREFIX" w:val="Briuseli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437"/>
    <w:docVar w:name="LW_REF.II.NEW.CP_YEAR" w:val="2018"/>
    <w:docVar w:name="LW_REF.INST.NEW" w:val="COM"/>
    <w:docVar w:name="LW_REF.INST.NEW_ADOPTED" w:val="final"/>
    <w:docVar w:name="LW_REF.INST.NEW_TEXT" w:val="(2018) 8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pozicijos, kurios turi b\u363?ti laikomasi Europos S\u261?jungos vardu \u353?e\u353?iasde\u353?imt antrojoje Narkotini\u371? med\u382?iag\u371? komisijos sesijoje d\u279?l med\u382?iag\u371? \u303?traukimo \u303? s\u261?ra\u353?\u261? pagal 1961 m. Bendr\u261?j\u261? narkotini\u371? med\u382?iag\u371? konvencij\u261? su pakeitimais, padarytais 1972 m. protokolu, ir 1971 m. Psichotropini\u371? med\u382?iag\u371? konvencij\u261?"/>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5A945FD-F013-41DB-8E69-751653C4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12</Pages>
  <Words>3194</Words>
  <Characters>23767</Characters>
  <Application>Microsoft Office Word</Application>
  <DocSecurity>0</DocSecurity>
  <Lines>383</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2018-12-11T17:32:00Z</cp:lastPrinted>
  <dcterms:created xsi:type="dcterms:W3CDTF">2019-01-18T09:56:00Z</dcterms:created>
  <dcterms:modified xsi:type="dcterms:W3CDTF">2019-01-28T10:59:00Z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