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313F06E-E89A-4A98-B906-3A9C4F89E497" style="width:450.4pt;height:379.1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Fid-29 ta’ Marzu 2017, ir-Renju Unit ressaq in-notifika tal-intenzjoni tiegħu li joħroġ mill-Unjoni skont l-Artikolu 50 tat-Trattat dwar l-Unjoni Ewropea. Dan ifisser li, jekk il-Ftehim dwar il-Ħruġ ma jiġix ratifikat, il-leġiżlazzjoni primarja u sekondarju tal-Unjoni ma tibqax tapplika għar-Renju Unit mit-30 ta’ Marzu 2019 ’il quddiem (“id-data tal-ħruġ”). Ir-Renju Unit imbagħad isir pajjiż terz.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>Il-Komunikazzjoni tal-Kummissjoni “Tħejjija għall-ħruġ tar-Renju Unit mill-Unjoni Ewropea fit-30 ta’ Marzu 2019: “Pjan ta’ Azzjoni ta’ Kontinġenza” tat-13 ta’ Novembru 2018 stabbilixxa l-miżuri ta’ kontinġenza li qed tipprevedi jekk ma jkunx sar ftehim dwar il-ħruġ sad-data tal-ħruġ. F’dik il-Komunikazzjoni, il-Kummissjoni elenkat l-azzjonijiet li fil-fehma tagħha jkunu meħtieġa, filwaqt li fakkret li jista’ jkun hemm ħtieġa ta’ azzjonijiet addizzjonali f’xi stadju aktar ’il quddiem. Il-Komunikazzjoni ppreżentat ukoll is-sitt prinċipji ġenerali li magħhom jeħtieġ li jkunu konformi l-miżuri ta’ kontinġenza fil-livelli kollha. Dawn jinkludu l-prinċipji li jenħtieġ li l-miżuri ma jirreplikawx il-benefiċċji tas-sħubija fl-Unjoni, u lanqas ma jirreplikaw it-termini ta’ xi perjodu ta’ tranżizzjoni, kif hemm stipulat fil-Ftehim dwar il-Ħruġ; jenħtieġ li jkunu ta’ natura temporanja u fil-prinċipju ma jridux jittawlu lil hinn mit-tmiem tal-2019; u jridu jkunu azzjonijiet unilaterali tal-Unjoni Ewropea li trid tfittex l-interessi tagħha, u għaldaqstant l-Unjoni, fil-prinċipju, tista’ tirrevokahom fi kwalunkwe ħin.</w:t>
      </w:r>
    </w:p>
    <w:p>
      <w:pPr>
        <w:spacing w:before="0" w:after="200"/>
        <w:rPr>
          <w:noProof/>
          <w:szCs w:val="24"/>
        </w:rPr>
      </w:pPr>
      <w:r>
        <w:rPr>
          <w:noProof/>
        </w:rPr>
        <w:t xml:space="preserve">Fit-13 ta’ Diċembru 2018 il-Kunsill Ewropew (l-Artikolu 50) tenna l-appell tiegħu biex tkompli tiġi intensifikata l-ħidma dwar it-tħejjija, fil-livelli kollha, għall-konsegwenzi tal-ħruġ tar-Renju Unit, filwaqt li jitqiesu l-eżiti kollha possibbli. Il-Kummissjoni ppreżentat pakkett ta’ miżuri fid-19 ta’ Diċembru 2018 bi tweġiba għal dik is-sejħa. Fis-17 u fit-18 ta’ Diċembru 2018, il-Kunsill tal-Agrikoltura u s-Sajd iffissa l-opportunitajiet tas-sajd għall-2019. Abbażi ta’ dan, u filwaqt li jitqiesu l-kuntatti għaddejjin mal-Istati Membri dwar l-impatt sinifikanti fuq is-settur tas-sajd tal-ħruġ diżordinat mingħajr ftehim dwar il-ħruġ, tar-Renju Unit, u filwaqt li jitqies il-fatt li l-partijiet ikkonċernati ma jistgħux itaffu dawn l-effetti ħżiena waħedhom, il-Kummissjoni kkonkludiet li huma meħtieġa żewġ miżuri ta’ kontinġenza għas-settur tas-sajd. Flimkien ma’ din il-miżura dwar il-ġestjoni sostenibbli tal-flotot tas-sajd esterni, il-Kummissjoni qiegħda tipproponi miżura biex temenda l-Fond għall-Affarijiet Marittimi u s-Sajd. 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Skont ir-Regolament (UE) Nru 1380/2013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(ir-Regolament Bażiku dwar il-Politika Komuni tas-Sajd), il-bastimenti tas-sajd tal-Unjoni għandhom aċċess ugwali għall-ilmijiet u għar-riżorsi tal-Unjoni soġġett għar-regoli tal-Politika Komuni tas-Sajd. Mid-data tal-ħruġ, il-Politika Komuni tas-Sajd ma tibqax tapplika għar-Renju Unit. L-ilmijiet tar-Renju Unit (il-baħar territorjali u ż-żona ekonomika esklussiva ta’ biswit dan il-baħar) ma jibqgħux jiffurmaw parti mill-ilmijiet tal-Unjoni. 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Jekk ma jsirx ftehim dwar il-ħruġ, l-attivitajiet tas-sajd tal-bastimenti tal-Istati Membri fl-ilmijiet tar-Renju Unit, u mill-bastimenti tar-Renju Unit fl-ilmijiet tal-Unjoni ma jibqgħux regolati mir-Regolament Bażiku dwar il-Politika Komuni tas-Sajd ladarba r-Renju Unit joħroġ mill-Unjoni. 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Biex tkun iggarantita s-sostenibbiltà tas-sajd, u fid-dawl tal-importanza tas-sajd għall-għajxien ekonomiku ta’ bosta komunitajiet, huwa importanti li tinżamm miftuħa l-possibbiltà li jsiru arranġamenti dwar l-aċċess reċiproku tal-bastimenti tas-sajd tal-Unjoni u tar-Renju Unit għall-ibħra ta’ xulxin għal perjodu limitat wara d-data tal-ħruġ. L-għan ta’ dan ir-Regolament huwa li joħloq il-qafas legali xieraq għal dan l-aċċess reċiproku.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Kif stipulat fil-Konvenzjoni tan-Nazzjonijiet Uniti dwar id-Dritt tal-Baħar tal-10 ta’ Diċembru 1982 (“UNCLOS”) u fil-Ftehim dwar l-Implimentazzjoni tad-Dispożizzjonijiet tal-Konvenzjoni tan-Nazzjonijiet Uniti dwar il-Liġi tal-Baħar tal-10 ta’ Diċembru 1982 relatati mal-Konservazzjoni u l-Ġestjoni ta’ Stokkijiet ta’ Ħut Transżonali u Stokkijiet ta’ Ħut li Jpassi Ħafna tal-4 ta’ Awwissu 1995 (“UNFSA”), il-ġestjoni ta’ ċerti stokkijiet kondiviżi ta’ ħut transżonali u li jpassi ħafna teħtieġ il-kooperazzjoni tal-pajjiżi kollha fejn jinsabu l-istokkijiet ta’ dan il-ħut fl-ilmijiet tagħhom (l-Istati kostali) u tal-pajjiżi li l-flotot tagħhom jisfruttaw dawk l-istokkijiet (l-Istati sajjieda). Din il-kooperazzjoni tista’ tiġi stabbilita fil-qafas ta’ arranġamenti </w:t>
      </w:r>
      <w:r>
        <w:rPr>
          <w:i/>
          <w:noProof/>
        </w:rPr>
        <w:t>ad hoc</w:t>
      </w:r>
      <w:r>
        <w:rPr>
          <w:noProof/>
        </w:rPr>
        <w:t xml:space="preserve"> fost il-pajjiżi li għandhom interess fis-sajd.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L-opportunitajiet tas-sajd għas-sena 2019 ġew miftehma, anki mir-Renju Unit, meta r-Renju Unit kien membru tal-Unjoni. Dawn l-arranġamenti u l-opportunitajiet tas-sajd stabbiliti fihom jipprovdu sies għall-istabbiltà tal-attivitajiet tas-sajd u ġew stabbiliti b’konformità sħiħa mar-rekwiżiti mniżżlin fl-Artikoli 61 u 62 tal-UNCLOS. Il-mira ta’ dawn l-arranġamenti hija li jkun żgurat sfruttament sostenibbli tar-riżorsi ħajjin tal-baħar u li tkun żgurata l-istabbiltà fl-ilmijiet tal-Unjoni u fl-ilmijiet tar-Renju Unit. 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Ir-Regolament (UE) 2017/2403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(ir-Regolament SMEFF) jistipula r-regoli għall-operazzjonijiet tas-sajd li jwettqu l-bastimenti tas-sajd tal-Unjoni fl-ilmijiet ta’ pajjiż terz u dawk li jwettqu l-bastimenti tas-sajd ta’ pajjiżi terzi fl-ilmijiet tal-Unjoni. 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Dwar l-operazzjonijiet tas-sajd li jitwettqu mill-bastimenti tas-sajd tal-Unjoni fl-ilmijiet ta’ pajjiż terz, l-SMEFF jistipula li Stat Membru tal-bandiera jista’ jagħti l-awtorizzazzjonijiet direttament lill-operatur, u jistabbilixxi l-kondizzjonijiet u l-proċeduri biex jingħataw dawn l-awtorizzazzjonijiet. Minħabba l-għadd ta’ bastimenti tas-sajd tal-Unjoni li jwettqu l-attivitajiet tas-sajd fl-ilmijiet tar-Renju Unit, dawn il-kondizzjonijiet u l-proċeduri jistgħu jwasslu għal dewmien konsiderevoli u għal aktar piż amministrattiv jekk ir-Renju Unit jawtorizza l-bastimenti tal-UE biex jistadu fl-ilmijiet tar-Renju Unit. Jeħtieġ li jiġu stabbiliti kondizzjonijiet u proċeduri speċifiċi li jiffaċilitaw l-awtorizzazzjoni mir-Renju Unit ta’ bastimenti tas-sajd tal-Unjoni għat-tħaddim ta’ attivitajiet tas-sajd fl-ilmijiet tar-Renju Unit. Dawn il-kondizzjonijiet u l-proċeduri jenħtieġ li jkunu ekwivalenti għar-rekwiżiti għall-awtorizzazzjoni li jistabbilixxi l-SMEFF għall-bastimenti ta’ pajjiżi terzi li jwettqu attivitajiet tas-sajd fl-ilmijiet tal-Unjoni. </w:t>
      </w:r>
    </w:p>
    <w:p>
      <w:pPr>
        <w:spacing w:before="0" w:after="240"/>
        <w:rPr>
          <w:noProof/>
        </w:rPr>
      </w:pPr>
      <w:r>
        <w:rPr>
          <w:noProof/>
        </w:rPr>
        <w:t xml:space="preserve">Ir-Regolament Bażiku tal-PKS jagħti s-setgħa lill-Istati Membri li jiskambjaw l-opportunitajiet tas-sajd kollha allokati lilhom, jew partijiet minnhom. Kull sena jsir skambju ta’ madwar 1000 kwota bejn ir-Renju Unit u l-Istati Membri. Mingħajr preġudizzju għall-kompetenza esklussiva tal-Unjoni, hija meħtieġa sistema flessibbli wara d-data tal-ħruġ, li tkun tippermetti lill-UE li tiskambja il-kwoti mar-Renju Unit. Għalhekk, jenħtieġ li l-Istati Membri jkunu jistgħu jiddiskutu mar-Renju Unit u, skont il-bżonn, jistabbilixxu pjan ġenerali possibbli għat-trasferiment jew għall-iskambju maħsub tal-kwoti. L-opportunitajiet tas-sajd mogħtija mir-Renju Unit jew ittrasferiti lilu fil-qafas tat-trasferiment jew tal-iskambju tal-kwoti jitqiesu bħala kwoti allokati lill-Istat Membru kkonċernat, jew imnaqqsa mill-allokazzjoni tiegħu. Din l-allokazzjoni ma tibdilx il-gwida għat-tqassim li għandha l-iskop li talloka l-opportunitajiet tas-sajd fost l-Istati Membri skont il-prinċipju tal-istabbiltà relattiva tal-attivitajiet tas-sajd.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Jenħtieġ li r-regoli speċifiċi previsti f’din il-proposta japplikaw mill-jum ta’ wara dak meta d-dritt tal-Unjoni ma jibqax japplika għar-Renju Unit skont l-Artikolu 50(3) tat-Trattat dwar l-Unjoni Ewropea. L-għotja tal-awtorizzazzjonijiet hija soġġetta għall-prinċipju ta’ “reċiproċità”, </w:t>
      </w:r>
      <w:r>
        <w:rPr>
          <w:i/>
          <w:noProof/>
        </w:rPr>
        <w:t>jiġifieri</w:t>
      </w:r>
      <w:r>
        <w:rPr>
          <w:noProof/>
        </w:rPr>
        <w:t xml:space="preserve"> bil-kondizzjoni li r-Renju Unit jestendi d-drittijiet tal-aċċess attwali għall-bastimenti tal-UE biex ikunu jistgħu jwettqu l-attivitajiet tas-sajd fl-ilmijiet tar-Renju Unit. Għaldaqstant, l-awtorizzazzjonijiet jingħataw biss jekk, u sa fejn, ir-Renju Unit jagħti l-awtorizzazzjonijiet biex il-bastimenti tal-Unjoni jużaw l-opportunitajiet tas-sajd allokati lilhom b’konformità mar-Regolamenti dwar l-opportunitajiet tas-sajd.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tapplikax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tapplikax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hija l-Artikolu 43(2) tat-Trattat dwar il-Funzjonament tal-Unjoni Ewropea.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</w:t>
      </w:r>
    </w:p>
    <w:p>
      <w:pPr>
        <w:rPr>
          <w:noProof/>
        </w:rPr>
      </w:pPr>
      <w:r>
        <w:rPr>
          <w:noProof/>
        </w:rPr>
        <w:t xml:space="preserve">Skont l-Artikolu 3(d) tat-Trattat, il-PKS u l-kontroll tagħha huma fil-kompetenza esklussiva tal-UE u għaldaqstant ma japplikax il-prinċipju tas-sussidjarjetà. </w:t>
      </w:r>
    </w:p>
    <w:p>
      <w:pPr>
        <w:rPr>
          <w:noProof/>
        </w:rPr>
      </w:pPr>
      <w:r>
        <w:rPr>
          <w:noProof/>
        </w:rPr>
        <w:t>L-att propost ikun jemenda r-Regolament tal-Unjoni (UE) Nru 2017/2403, sabiex jipprovdi bażi legali fid-dritt tal-Unjoni li tipprevedi l-possibbiltà li l-bastimenti tar-Renju Unit iwettqu l-attivitajiet tas-sajd fl-ilmijiet tal-Unjoni u l-possibbiltà li jiġu introdotti proċeduri ta’ awtorizzazzjoni aktar sempliċi u effiċjenti għall-bastimenti li jixtiequ jistadu fl-ilmijiet tar-Renju Unit. Għalhekk, l-azzjoni fil-livell tal-Unjoni hija indispensabbli, u ma jistax jinkiseb ir-riżultat permezz ta’ azzjoni fil-livell tal-Istati Membri minħabba l-kompetenza esklussiva tal-Unjoni.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hija konformi mal-prinċipju tal-proporzjonalità. Ir-Regolament propost huwa meqjus proporzjonat peress li l-iskop tiegħu hu li jiżgura li jinżamm l-</w:t>
      </w:r>
      <w:r>
        <w:rPr>
          <w:i/>
          <w:noProof/>
        </w:rPr>
        <w:t>istatus quo</w:t>
      </w:r>
      <w:r>
        <w:rPr>
          <w:noProof/>
        </w:rPr>
        <w:t xml:space="preserve"> rigward it-termini tal-aċċess tal-bastimenti tal-Unjoni għall-ilmijiet tar-Renju Unit billi jistipula kondizzjonijiet reċiproki għall-awtorizzazzjoni. B’hekk jiġu evitati tfixkil u dewmien kbar fil-proċeduri tal-awtorizzazzjoni.  Ir-Regolament propost ikompli l-prattika tal-iskambju tal-kwoti mar-Renju Unit ukoll, kif kien isir meta r-Renju Unit kien membru tal-Unjoni.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Dan l-att huwa emenda għal Regolament.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Dawn ma japplikawx minħabba n-natura eċċezzjonali, temporanja u ta’ darba tal-avveniment li jeħtieġ din il-proposta li mhijiex marbuta mal-objettivi tal-leġiżlazzjoni eżistenti.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L-isfidi li jirriżultaw mill-ħruġ tar-Renju Unit mill-Unjoni u s-soluzzjonijiet possibbli tqajmu minn diversi partijiet ikkonċernati fis-sajd u minn rappreżentanti tal-Istati Membri. L-operaturi, il-partijiet ikkonċernati u l-Istati Membri kkonċernati kollha enfasizzaw il-ħtieġa li jinkisbu attivitajiet tas-sajd sostenibbli reċiproki.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japplikax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rPr>
          <w:noProof/>
          <w:u w:color="000000"/>
          <w:bdr w:val="nil"/>
        </w:rPr>
      </w:pPr>
      <w:r>
        <w:rPr>
          <w:noProof/>
        </w:rPr>
        <w:t>Mhijiex meħtieġa valutazzjoni tal-impatt billi s-sitwazzjoni hija eċċezzjonali u l-ħtiġijiet għall-perjodu li tulu tiġi implimentata l-bidla fl-istatus tar-Renju Unit huma limitati. Ma jeżistux alternattivi ta’ politika li huma differenti materjalment u legalment għajr din li hi proposta</w:t>
      </w:r>
      <w:r>
        <w:rPr>
          <w:noProof/>
        </w:rPr>
        <w:tab/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rPr>
          <w:noProof/>
          <w:u w:color="000000"/>
          <w:bdr w:val="nil"/>
        </w:rPr>
      </w:pPr>
      <w:r>
        <w:rPr>
          <w:noProof/>
        </w:rPr>
        <w:t>Ma tapplikax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ma għandha l-ebda konsegwenza għall-protezzjoni tad-drittijiet fundamentali.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GĦALL-BAĠIT</w:t>
      </w:r>
    </w:p>
    <w:p>
      <w:pPr>
        <w:rPr>
          <w:noProof/>
        </w:rPr>
      </w:pPr>
      <w:r>
        <w:rPr>
          <w:noProof/>
        </w:rPr>
        <w:t>Din il-proposta ma tqajjimx implikazzjonijiet għall-baġit.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rPr>
          <w:noProof/>
        </w:rPr>
      </w:pPr>
      <w:r>
        <w:rPr>
          <w:noProof/>
        </w:rPr>
        <w:t>Ma tapplikax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2019/0010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2017/2403 f’dak li għandu x’jaqsam mal-awtorizzazzjonijiet tas-sajd għall-bastimenti tas-sajd tal-Unjoni fl-ilmijiet tar-Renju Unit u għall-operazzjonijiet tal-bastimenti tas-sajd tar-Renju Unit fl-ilmijiet tal-Unjoni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 43(2)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Fid-29 ta’ Marzu 2017, ir-Renju Unit issottometta n-notifika tal-intenzjoni tiegħu li joħroġ mill-Unjoni, skont l-Artikolu 50 tat-Trattat dwar l-Unjoni Ewropea. It-Trattati ma jibqgħux japplikaw għar-Renju Unit mid-data tad-dħul fis-seħħ ta’ ftehim dwar il-ħruġ jew, fin-nuqqas ta’ dan, sentejn wara li tkun saret in-notifika, jiġifieri mit-30 ta’ Marzu 2019, sakemm il-Kunsill Ewropew, bi ftehim mar-Renju Unit, ma jiddeċidix b’mod unanimu li jestendi dak il-perjodu.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Il-Ftehim ta’ ħruġ fih arranġamenti għall-applikazzjoni ta’ dispożizzjonijiet tad-dritt tal-Unjoni għar-Renju Unit kif ukoll fih wara d-data li fihom it-Trattati ma jibqgħux japplikaw għar-Renju Unit kif ukoll fih. Jekk dak il-ftehim jidħol fis-seħħ, il-Politika Komuni tas-Sajd (il-PKS) tkun tapplika għar-Renju Unit u fih tul il-perjodu tat-tranżizzjoni bi qbil ma’ dak il-ftehim, u tieqaf tapplika fi tmiem dak il-perjodu.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Meta l-PKS ma tibqax tapplika għar-Renju Unit, l-ilmijiet tar-Renju Unit (il-baħar territorjali u ż-żona ekonomika esklussiva ta’ biswit dan il-baħar) ma jibqgħux jiffurmaw parti mill-ilmijiet tal-Unjoni. B’konsegwenza ta’ dan, jekk il-ħruġ ikun diżordinat, hemm ir-riskju li l-bastimenti tal-Unjoni u tar-Renju Unit ma jkunux jistgħu jisfruttaw bis-sħiħ l-opportunitajiet tas-sajd stabbiliti għall-2019.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Biex tkun iggarantita s-sostenibbiltà tas-sajd, u minħabba l-importanza tas-sajd għall-għajxien ekonomiku ta’ bosta komunitajiet fl-Unjoni u fir-Renju Unit, jenħtieġ li tinżamm għal perjodu limitat il-possibbiltà li jsiru arranġamenti biex jibqa’ l-aċċess sħiħ reċiproku għas-sajd għall-bastimenti tal-Unjoni u tar-Renju Unit fl-ilmijiet ta’ xulxin wara li l-PKS tieqaf tapplika għar-Renju Unit bħala Stat Membru. L-għan ta’ dan ir-Regolament huwa li joħloq il-qafas legali xieraq għal dan l-aċċess reċiproku.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Il-kamp ta’ applikazzjoni territorjali ta’ dan ir-Regolament u kull referenza fih għar-Renju Unit ma jinkludux il-Ġibiltà.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L-opportunitajiet tas-sajd għas-sena 2019 ġew miftehma</w:t>
      </w:r>
      <w:r>
        <w:rPr>
          <w:rStyle w:val="FootnoteReference"/>
          <w:noProof/>
        </w:rPr>
        <w:footnoteReference w:id="4"/>
      </w:r>
      <w:r>
        <w:rPr>
          <w:noProof/>
        </w:rPr>
        <w:t>,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anki mir-Renju Unit, meta r-Renju Unit kien membru tal-Unjoni. Dawn l-opportunitajiet tas-sajd ġew stabbiliti b’konformità sħiħa mar-rekwiżiti stipulati fl-Artikoli 61 u 62 tal-Konvenzjoni tan-Nazzjonijiet Uniti dwar id-Dritt tal-Baħar. Biex ikunu żgurati l-isfruttament sostenibbli tar-riżorsi ħajjin tal-baħar u l-istabbiltà fl-ilmijiet tal-Unjoni u tar-Renju Unit, l-allokazzjonijiet tal-kwoti u l-ishma lill-Istati Membri u lir-Renju Unit jenħtieġ li jibqgħu disponibbli b’konformità mal-Artikoli 2 u 3 tar-Regolament (UE) Nru 1380/2013 tal-Parlament Ewropew u tal-Kunsill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Minħabba d-drawwiet tas-sajd li ilhom żmien twil, tal-bastimenti tas-sajd tar-Renju Unit fl-ilmijiet tal-Unjoni u viċi versa, jenħtieġ li l-Unjoni tipprevedi mekkaniżmu biex il-bastimenti tas-sajd tar-Renju Unit ikollhom aċċess għall-ilmijiet tal-Unjoni permezz tal-awtorizzazzjonijiet, biex ikunu jistgħu jistadu l-ishma tal-kwoti allokati lilhom stabbiliti skont ir-Regolamenti (UE) [2019/…] u (UE) 2018/2025 bl-istess kondizzjonijiet li japplikaw għall-bastimenti tal-Unjoni għal perjodu ta’ żmien limitat. Dawn l-awtorizzazzjonijiet jenħtieġ li jingħataw biss jekk, u sa fejn, ir-Renju Unit jibqa’ jagħti l-awtorizzazzjonijiet biex il-bastimenti tal-Unjoni jkomplu jużaw l-opportunitajiet tas-sajd allokati lilhom b’konformità mar-Regolamenti rilevanti dwar l-opportunitajiet tas-sajd.</w:t>
      </w:r>
    </w:p>
    <w:p>
      <w:pPr>
        <w:pStyle w:val="ManualConsidrant"/>
        <w:rPr>
          <w:noProof/>
          <w:szCs w:val="24"/>
        </w:rPr>
      </w:pPr>
      <w:r>
        <w:t>(8)</w:t>
      </w:r>
      <w:r>
        <w:tab/>
      </w:r>
      <w:r>
        <w:rPr>
          <w:noProof/>
        </w:rPr>
        <w:t>Ir-Regolament (UE) 2017/2403 tal-Parlament Ewropew u tal-Kunsill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jistabbilixxi r-regoli għall-ħruġ u għall-ġestjoni tal-awtorizzazzjonijiet tas-sajd għall-bastimenti f’ilmijiet taħt is-sovrenità jew il-ġurisdizzjoni ta’ pajjiż terz u għall-bastimenti tas-sajd ta’ pajjiż terz biex iwettqu attivitajiet tas-sajd fl-ilmijiet tal-Unjoni.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Ir-Regolament (UE) 2017/2013 jistabbilixxi r-regoli għall-operazzjonijiet tas-sajd li jitwettqu mill-bastimenti tas-sajd tal-Unjoni fl-ilmijiet ta’ pajjiż terz barra minn qafas ta’ ftehim, u jistipula li Stat Membru tal-bandiera jista’ jagħti l-awtorizzazzjonijiet direttament, u jistipula l-kondizzjonijiet u l-proċeduri biex jingħataw dawn l-awtorizzazzjonijiet.  Minħabba l-għadd ta’ bastimenti tas-sajd tal-Unjoni li jwettqu l-attivitajiet tas-sajd fl-ilmijiet tar-Renju Unit, dawn il-kondizzjonijiet u l-proċeduri jkunu jwasslu għal dewmien konsiderevoli u għal aktar piż amministrattiv jekk ma jkunx hemm ftehim dwar il-ħruġ jew ftehim dwar is-sajd. Għaldaqstant jenħtieġ li jiġu previsti kondizzjonijiet u proċeduri speċifiċi li jiffaċilitaw il-ħruġ ta’ awtorizzazzjonijiet mir-Renju Unit għall-bastimenti tas-sajd tal-Unjoni għat-tħaddim ta’ attivitajiet tas-sajd fl-ilmijiet tar-Renju Unit.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Jenħtieġ li jkun hemm deroga mir-regoli li japplikaw għall-bastimenti tas-sajd ta’ pajjiżi terzi u li jiġu previsti kondizzjonijet u proċeduri speċifiċi li jippermettu li l-Unjoni toħroġ l-awtorizzazzjonijiet għall-bastimenti tas-sajd tar-Renju Unit biex dawn iwettqu attivitajiet tas-sajd fl-ilmijiet tal-Unjoni.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Ir-Regolament (UE) Nru 1380/2013 jagħti s-setgħa lill-Istati Membri li jiskambjaw l-opportunitajiet tas-sajd kollha allokati lilhom, jew partijiet minnhom. Kull sena jsir skambju ta’ madwar 1000 kwota bejn l-Istati Membri u r-Renju Unit. Mingħajr preġudizzju għall-kompetenza esklussiva tal-Unjoni, hija meħtieġa sistema flessibbli wara d-data tal-ħruġ, li tkun tippermetti lill-UE tiskambja l-kwoti mar-Renju Unit. Għalhekk, jenħtieġ li l-Istati Membri jkunu jistgħu jiddiskutu mar-Renju Unit u, skont il-bżonn, jistabbilixxu pjan ġenerali possibbli għat-trasferiment jew għall-iskambju maħsub tal-kwoti. Il-Kummissjoni tibqa’ responsabbli mit-twettiq ta’ dan it-trasferiment jew l-iskambju tal-kwoti. L-opportunitajiet tas-sajd mogħtija mir-Renju Unit jew ittrasferiti lilu fil-qafas tat-trasferiment jew tal-iskambju tal-kwoti jenħtieġ li jitqiesu bħala kwoti allokati lill-Istat Membru kkonċernat jew imnaqqsa mill-allokazzjoni tiegħu.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Għalhekk, jenħtieġ li r-Regolament (UE) 2017/2403 jiġi emendat skont dan.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Skont l-Artikolu 4(3) tar-Regolament (KEE, Euratom) Nru 1182/71 tal-Kunsill</w:t>
      </w:r>
      <w:r>
        <w:rPr>
          <w:rStyle w:val="FootnoteReference"/>
          <w:noProof/>
        </w:rPr>
        <w:footnoteReference w:id="8"/>
      </w:r>
      <w:r>
        <w:rPr>
          <w:noProof/>
        </w:rPr>
        <w:t>, l-applikazzjoni ta’ atti li jkollha data fissa tintemm ma’ tmiem l-aħħar siegħa tal-aħħar jum li fih taqa’ dik id-data. Għalhekk jenħtieġ li dan ir-Regolament japplika mill-jum wara dak li fih it-Trattati ma jibqgħux japplikaw għar-Renju Unit kif ukoll fih.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Jenħtieġ li dan ir-Regolament jidħol fis-seħħ b’urġenza u jenħtieġ li jkun japplika mill-jum wara dak li fih it-Trattati ma jibqgħux japplikaw għar-Renju Unit u fih, jekk ma jiġix konkluż ftehim dwar il-ħruġ mar-Renju Unit jew jekk ma jkunx hemm estenzjoni tal-perjodu ta’ sentejn imsemmi fl-Artikolu 50(3) tat-Trattat dwar l-Unjoni Ewropea. Jenħtieġ li jkun japplika sal-31 ta’ Diċembru 2019.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Sabiex l-operaturi kemm tal-Unjoni kif ukoll tar-Renju Unit ikunu jistgħu jibqgħu jistadu skont l-opportunitajiet tas-sajd rilevanti allokati lilhom, l-awtorizzazzjonijiet tas-sajd għall-attivitajiet fl-ilmijiet tal-Unjoni jenħtieġ li jingħataw lill-bastimenti tar-Renju Unit biss jekk u sa fejn il-Kummissjoni tkun sodisfatta li r-Renju Unit jestendi d-drittijiet tal-aċċess lill-bastimenti tal-Unjoni biex iwettqu attivitajiet tas-sajd fl-ilmijiet tar-Renju Unit fuq il-bażi tar-reċiproċità,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0"/>
        <w:rPr>
          <w:noProof/>
        </w:rPr>
      </w:pPr>
      <w:r>
        <w:rPr>
          <w:noProof/>
        </w:rPr>
        <w:t>Artikolu 1</w:t>
      </w:r>
    </w:p>
    <w:p>
      <w:pPr>
        <w:pStyle w:val="Titrearticle0"/>
        <w:rPr>
          <w:noProof/>
        </w:rPr>
      </w:pPr>
      <w:r>
        <w:rPr>
          <w:noProof/>
        </w:rPr>
        <w:t>Emendi għar-Regolament (UE) 2017/2403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Ir-Regolament (UE) 2017/2403 huwa emendat kif ġej: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(1) fil-Kapitolu II tat-Titolu II, tiżdied it-Taqsima 4 li ġejja:</w:t>
      </w:r>
    </w:p>
    <w:p>
      <w:pPr>
        <w:jc w:val="center"/>
        <w:rPr>
          <w:i/>
          <w:noProof/>
        </w:rPr>
      </w:pPr>
      <w:r>
        <w:rPr>
          <w:i/>
          <w:noProof/>
        </w:rPr>
        <w:t>“</w:t>
      </w:r>
      <w:r>
        <w:rPr>
          <w:b/>
          <w:noProof/>
        </w:rPr>
        <w:t>Taqsima 4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Awtorizzazzjonijiet għall-bastimenti tas-sajd tal-Unjoni fl-ilmijiet tar-Renju Unit</w:t>
      </w:r>
    </w:p>
    <w:p>
      <w:pPr>
        <w:pStyle w:val="Titrearticle0"/>
        <w:rPr>
          <w:noProof/>
        </w:rPr>
      </w:pPr>
      <w:r>
        <w:rPr>
          <w:noProof/>
        </w:rPr>
        <w:t>Artikolu 18a</w:t>
      </w:r>
    </w:p>
    <w:p>
      <w:pPr>
        <w:pStyle w:val="Titrearticle0"/>
        <w:rPr>
          <w:noProof/>
        </w:rPr>
      </w:pPr>
      <w:r>
        <w:rPr>
          <w:noProof/>
        </w:rPr>
        <w:t>Kamp ta’ Applikazzjoni</w:t>
      </w:r>
    </w:p>
    <w:p>
      <w:pPr>
        <w:rPr>
          <w:noProof/>
        </w:rPr>
      </w:pPr>
      <w:r>
        <w:rPr>
          <w:noProof/>
        </w:rPr>
        <w:t>Din it-Taqsima għandha tapplika sal-31 ta’ Diċembru 2019, b’deroga mit-Taqsima 3, għall-operazzjonijiet tas-sajd li jitwettqu mill-bastimenti tal-Unjoni fl-ilmijiet tar-Renju Unit.</w:t>
      </w:r>
    </w:p>
    <w:p>
      <w:pPr>
        <w:pStyle w:val="Titrearticle0"/>
        <w:rPr>
          <w:noProof/>
        </w:rPr>
      </w:pPr>
      <w:r>
        <w:rPr>
          <w:noProof/>
        </w:rPr>
        <w:t>Artikolu 18b</w:t>
      </w:r>
    </w:p>
    <w:p>
      <w:pPr>
        <w:pStyle w:val="Titrearticle0"/>
        <w:rPr>
          <w:noProof/>
        </w:rPr>
      </w:pPr>
      <w:r>
        <w:rPr>
          <w:noProof/>
        </w:rPr>
        <w:t>Definizzjoni</w:t>
      </w:r>
    </w:p>
    <w:p>
      <w:pPr>
        <w:rPr>
          <w:noProof/>
        </w:rPr>
      </w:pPr>
      <w:r>
        <w:rPr>
          <w:noProof/>
        </w:rPr>
        <w:t>Għall-għanijiet ta’ din it-Taqsima, “l-ilmijiet tar-Renju Unit” tfisser l-ilmijiet taħt is-sovrenità jew il-ġurisdizzjoni tar-Renju Unit stabbiliti skont id-dritt internazzjonali.</w:t>
      </w:r>
    </w:p>
    <w:p>
      <w:pPr>
        <w:pStyle w:val="Titrearticle0"/>
        <w:rPr>
          <w:noProof/>
        </w:rPr>
      </w:pPr>
      <w:r>
        <w:rPr>
          <w:noProof/>
        </w:rPr>
        <w:t>Artikolu 18c</w:t>
      </w:r>
    </w:p>
    <w:p>
      <w:pPr>
        <w:pStyle w:val="Titrearticle0"/>
        <w:rPr>
          <w:noProof/>
        </w:rPr>
      </w:pPr>
      <w:r>
        <w:rPr>
          <w:noProof/>
        </w:rPr>
        <w:t>Proċedura biex tinkiseb awtorizzazzjoni tas-sajd mir-Renju Unit.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Stat Membru tal-bandiera li jkun ivverifika li l-kondizzjonijiet stipulati fl-Artikolu 5 jkunu ssodisfati għandu jibgħat l-applikazzjoni korrispondenti jew lista ta’ applikazzjonijiet għall-awtorizzazzjoni mir-Renju Unit lill-Kummissjoni.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Kull applikazzjoni jew lista ta’ applikazzjonijiet għandu jkun fiha l-informazzjoni mitluba mir-Renju Unit għall-ħruġ tal-awtorizzazzjoni, fil-format meħtieġ, kif ikun ikkomunikat mir-Renju Unit lill-Kummissjoni.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Il-Kummissjoni għandha tittrażmetti l-informazzjoni u l-format imsemmi fil-paragrafu 2 lill-Istati Membri. Il-Kummissjoni tista’ titlob mingħand l-Istat Membru tal-bandiera kwalunkwe informazzjoni addizzjonali li tkun meħtieġa biex tiġi vverifikata l-konformità mal-kondizzjonijiet imsemmija fil-paragrafi 1 u 2. </w:t>
      </w:r>
    </w:p>
    <w:p>
      <w:pPr>
        <w:pStyle w:val="ManualNumPar1"/>
        <w:rPr>
          <w:rFonts w:eastAsia="Times New Roman"/>
          <w:noProof/>
          <w:szCs w:val="24"/>
        </w:rPr>
      </w:pPr>
      <w:r>
        <w:t>4.</w:t>
      </w:r>
      <w:r>
        <w:tab/>
      </w:r>
      <w:r>
        <w:rPr>
          <w:noProof/>
        </w:rPr>
        <w:t>Malli tirċievi l-applikazzjoni jew kwalunkwe informazzjoni addizzjonali li tkun intalbet skont il-paragrafu 3, il-Kummissjoni għandha minnufih tibgħat l-applikazzjoni lir-Renju Unit.</w:t>
      </w:r>
    </w:p>
    <w:p>
      <w:pPr>
        <w:pStyle w:val="ManualNumPar1"/>
        <w:rPr>
          <w:rFonts w:eastAsia="Times New Roman"/>
          <w:noProof/>
          <w:szCs w:val="24"/>
        </w:rPr>
      </w:pPr>
      <w:r>
        <w:t>5.</w:t>
      </w:r>
      <w:r>
        <w:tab/>
      </w:r>
      <w:r>
        <w:rPr>
          <w:noProof/>
        </w:rPr>
        <w:t>Malli r-Renju Unit jgħarraf lill-Kummissjoni li jkun iddeċieda li jagħti jew jirrifjuta awtorizzazzjoni għal xi bastiment tal-Unjoni, il-Kummissjoni għandha minnufih tinforma b’dan lill-Istat Membru tal-bandiera.</w:t>
      </w:r>
    </w:p>
    <w:p>
      <w:pPr>
        <w:pStyle w:val="ManualNumPar1"/>
        <w:rPr>
          <w:rFonts w:eastAsia="Times New Roman"/>
          <w:noProof/>
          <w:szCs w:val="24"/>
        </w:rPr>
      </w:pPr>
      <w:r>
        <w:t>6.</w:t>
      </w:r>
      <w:r>
        <w:tab/>
      </w:r>
      <w:r>
        <w:rPr>
          <w:noProof/>
        </w:rPr>
        <w:t xml:space="preserve">Stat Membru tal-bandiera jista’ jagħti awtorizzazzjoni tas-sajd għall-operazzjonijiet tas-sajd fl-ilmijiet tar-Renju Unit biss wara li jkun tgħarraf li r-Renju Unit ikun iddeċieda li jagħti awtorizzazzjoni lill-bastiment tas-sajd tal-Unjoni rilevanti. </w:t>
      </w:r>
    </w:p>
    <w:p>
      <w:pPr>
        <w:pStyle w:val="ManualNumPar1"/>
        <w:rPr>
          <w:rFonts w:eastAsia="Times New Roman"/>
          <w:noProof/>
          <w:szCs w:val="24"/>
        </w:rPr>
      </w:pPr>
      <w:r>
        <w:t>7.</w:t>
      </w:r>
      <w:r>
        <w:tab/>
      </w:r>
      <w:r>
        <w:rPr>
          <w:noProof/>
        </w:rPr>
        <w:t>L-operazzjonijiet tas-sajd ma għandhomx jibdew qabel ma jkunu ħarġu awtorizzazzjoni tas-sajd kemm l-Istat Membru tal-bandiera kif ukoll ir-Renju Unit.</w:t>
      </w:r>
    </w:p>
    <w:p>
      <w:pPr>
        <w:pStyle w:val="ManualNumPar1"/>
        <w:rPr>
          <w:rFonts w:eastAsia="Times New Roman"/>
          <w:noProof/>
          <w:szCs w:val="24"/>
        </w:rPr>
      </w:pPr>
      <w:r>
        <w:t>8.</w:t>
      </w:r>
      <w:r>
        <w:tab/>
      </w:r>
      <w:r>
        <w:rPr>
          <w:noProof/>
        </w:rPr>
        <w:t>Meta r-Renju Unit jgħarraf lill-Kummissjoni li jkun iddeċieda li jissospendi jew jirtira awtorizzazzjoni tas-sajd għal xi bastiment tas-sajd tal-Unjoni, il-Kummissjoni għandha minnufih tinforma b’dan lill-Istat Membru tal-bandiera. L-Istat Membru għandu jissospendi jew jirtira l-awtorizzazzjoni tas-sajd tiegħu għall-operazzjonijiet tas-sajd fl-ilmijiet tar-Renju Unit skont dan.</w:t>
      </w:r>
    </w:p>
    <w:p>
      <w:pPr>
        <w:pStyle w:val="ManualNumPar1"/>
        <w:rPr>
          <w:rFonts w:eastAsia="Times New Roman"/>
          <w:noProof/>
          <w:szCs w:val="24"/>
        </w:rPr>
      </w:pPr>
      <w:r>
        <w:t>9.</w:t>
      </w:r>
      <w:r>
        <w:tab/>
      </w:r>
      <w:r>
        <w:rPr>
          <w:noProof/>
        </w:rPr>
        <w:t>Meta r-Renju Unit jgħarraf direttament lill-Istat Membru tal-bandiera li jkun iddeċieda li jagħti, jirrifjuta, jissospendi jew jirtira awtorizzazzjoni tas-sajd għal xi bastiment tas-sajd tal-Unjoni, l-Istat Membru tal-bandiera għandu minnufih jinforma b’dan lill-Kummissjoni. L-Istat Membru għandu jissospendi jew jirtira l-awtorizzazzjoni tas-sajd tiegħu għall-operazzjonijiet tas-sajd fl-ilmijiet tar-Renju Unit skont dan.</w:t>
      </w:r>
    </w:p>
    <w:p>
      <w:pPr>
        <w:pStyle w:val="Titrearticle2"/>
        <w:rPr>
          <w:noProof/>
        </w:rPr>
      </w:pPr>
      <w:r>
        <w:rPr>
          <w:noProof/>
        </w:rPr>
        <w:t>Artikolu 18d</w:t>
      </w:r>
      <w:r>
        <w:rPr>
          <w:noProof/>
        </w:rPr>
        <w:br/>
        <w:t>Monitoraġġ</w:t>
      </w:r>
    </w:p>
    <w:p>
      <w:pPr>
        <w:rPr>
          <w:noProof/>
        </w:rPr>
      </w:pPr>
      <w:r>
        <w:rPr>
          <w:noProof/>
        </w:rPr>
        <w:t xml:space="preserve">Il-Kummissjoni għandha tikkontrolla l-ħruġ tal-awtorizzazzjonijiet tas-sajd mir-Renju Unit għall-operazzjonijiet tas-sajd li jitwettqu minn bastimenti tas-sajd tal-Unjoni fl-ilmijiet tar-Renju Unit.”; </w:t>
      </w:r>
    </w:p>
    <w:p>
      <w:pPr>
        <w:rPr>
          <w:noProof/>
        </w:rPr>
      </w:pPr>
    </w:p>
    <w:p>
      <w:pPr>
        <w:pStyle w:val="Point0number"/>
        <w:numPr>
          <w:ilvl w:val="0"/>
          <w:numId w:val="18"/>
        </w:numPr>
        <w:rPr>
          <w:noProof/>
        </w:rPr>
      </w:pPr>
      <w:r>
        <w:rPr>
          <w:noProof/>
        </w:rPr>
        <w:t>Jiddaħħal it-Titolu IIIa li ġej:</w:t>
      </w:r>
    </w:p>
    <w:p>
      <w:pPr>
        <w:pStyle w:val="NormalCentered"/>
        <w:rPr>
          <w:noProof/>
        </w:rPr>
      </w:pPr>
      <w:r>
        <w:rPr>
          <w:noProof/>
        </w:rPr>
        <w:t>“</w:t>
      </w:r>
      <w:r>
        <w:rPr>
          <w:b/>
          <w:noProof/>
        </w:rPr>
        <w:t>TITOLU IIIa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“OPERAZZJONIJIET TAS-SAJD MINN BASTIMENTI TAS-SAJD TAR-RENJU UNIT FL-ILMIJIET TAL-UNJONI</w:t>
      </w:r>
    </w:p>
    <w:p>
      <w:pPr>
        <w:pStyle w:val="Titrearticle0"/>
        <w:rPr>
          <w:noProof/>
        </w:rPr>
      </w:pPr>
      <w:r>
        <w:rPr>
          <w:noProof/>
        </w:rPr>
        <w:t>Artikolu 38 a</w:t>
      </w:r>
    </w:p>
    <w:p>
      <w:pPr>
        <w:pStyle w:val="Titrearticle0"/>
        <w:rPr>
          <w:i w:val="0"/>
          <w:noProof/>
        </w:rPr>
      </w:pPr>
      <w:r>
        <w:rPr>
          <w:noProof/>
        </w:rPr>
        <w:t>Kamp ta’ Applikazzjoni</w:t>
      </w:r>
    </w:p>
    <w:p>
      <w:pPr>
        <w:rPr>
          <w:noProof/>
        </w:rPr>
      </w:pPr>
      <w:r>
        <w:rPr>
          <w:noProof/>
        </w:rPr>
        <w:t>Dan it-Titolu għandu japplika sal-31 ta’ Diċembru 2019, b’deroga mit-Titolu III, għall-operazzjonijiet tas-sajd li jitwettqu mill-bastimenti tar-Renju Unit fl-ilmijiet tal-Unjoni.</w:t>
      </w:r>
    </w:p>
    <w:p>
      <w:pPr>
        <w:pStyle w:val="Titrearticle0"/>
        <w:rPr>
          <w:noProof/>
        </w:rPr>
      </w:pPr>
      <w:r>
        <w:rPr>
          <w:noProof/>
        </w:rPr>
        <w:t>Artikolu 38b</w:t>
      </w:r>
    </w:p>
    <w:p>
      <w:pPr>
        <w:jc w:val="center"/>
        <w:rPr>
          <w:i/>
          <w:noProof/>
        </w:rPr>
      </w:pPr>
      <w:r>
        <w:rPr>
          <w:i/>
          <w:noProof/>
        </w:rPr>
        <w:t>Operazzjonijiet tas-sajd minn bastiment tar-Renju Unit</w:t>
      </w:r>
    </w:p>
    <w:p>
      <w:pPr>
        <w:rPr>
          <w:noProof/>
        </w:rPr>
      </w:pPr>
      <w:r>
        <w:rPr>
          <w:noProof/>
        </w:rPr>
        <w:t xml:space="preserve">Il-bastimenti tas-sajd tar-Renju Unit jistgħu jwettqu operazzjonijiet tas-sajd fl-ilmijiet tal-Unjoni b’konformità mal-kondizzjonijiet stipulati fir-Regolamenti tal-Kunsill (UE) [2019/….]* u (UE) 2018/2025** li jistabbilixxu l-opportunitajiet tas-sajd. </w:t>
      </w:r>
    </w:p>
    <w:p>
      <w:pPr>
        <w:rPr>
          <w:noProof/>
        </w:rPr>
      </w:pPr>
      <w:r>
        <w:rPr>
          <w:noProof/>
        </w:rPr>
        <w:t>* Ir-Regolament tal-Kunsill (UE) [2019/….]  li jiffissa l-opportunitajiet tas-sajd ta’ ċerti stokkijiet ta’ ħut u gruppi ta’ stokkijiet ta’ ħut li japplikaw fl-ilmijiet tal-Unjoni, u għall-bastimenti tal-Unjoni f’ċerti ilmijiet li mhumiex tal-Unjoni, għall-2019 (ĠU L , …, p. ).</w:t>
      </w:r>
    </w:p>
    <w:p>
      <w:pPr>
        <w:rPr>
          <w:noProof/>
        </w:rPr>
      </w:pPr>
      <w:r>
        <w:rPr>
          <w:noProof/>
        </w:rPr>
        <w:t>** Ir-Regolament tal-Kunsill (UE) 2018/2025 tas-17 ta’ Diċembru 2018 li jiffissa l-opportunitajiet tas-sajd għall-bastimenti tas-sajd tal-Unjoni għal ċerti stokkijiet ta’ ħut tal-baħar fond għall-2019 u għall-2020 (ĠU L 325, 20.12.2018, p. 7)</w:t>
      </w:r>
    </w:p>
    <w:p>
      <w:pPr>
        <w:rPr>
          <w:noProof/>
        </w:rPr>
      </w:pPr>
    </w:p>
    <w:p>
      <w:pPr>
        <w:pStyle w:val="Titrearticle2"/>
        <w:rPr>
          <w:noProof/>
        </w:rPr>
      </w:pPr>
      <w:r>
        <w:rPr>
          <w:noProof/>
        </w:rPr>
        <w:t>Artikolu 38c</w:t>
      </w:r>
    </w:p>
    <w:p>
      <w:pPr>
        <w:pStyle w:val="Titrearticle2"/>
        <w:rPr>
          <w:noProof/>
        </w:rPr>
      </w:pPr>
      <w:r>
        <w:rPr>
          <w:noProof/>
        </w:rPr>
        <w:t>Prinċipji ġenerali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Bastiment tas-sajd tar-Renju Unit ma għandux iwettaq operazzjonijiet tas-sajd fl-ilmijiet tal-Unjoni sakemm ma jkunx ingħata awtorizzazzjoni tas-sajd mill-Kummissjoni. Dan jingħata din l-awtorizzazzjoni biss jekk jissodisfa l-kriterji tal-eliġibbiltà stipulati fil-paragrafu 2.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tista’ tagħti l-awtorizzazzjoni tas-sajd lil bastiment tar-Renju Unit jekk:</w:t>
      </w:r>
    </w:p>
    <w:p>
      <w:pPr>
        <w:spacing w:before="0" w:after="0"/>
        <w:ind w:left="851"/>
        <w:rPr>
          <w:rFonts w:eastAsia="Times New Roman"/>
          <w:noProof/>
          <w:szCs w:val="24"/>
        </w:rPr>
      </w:pPr>
    </w:p>
    <w:p>
      <w:pPr>
        <w:pStyle w:val="Point1letter"/>
        <w:rPr>
          <w:noProof/>
        </w:rPr>
      </w:pPr>
      <w:r>
        <w:rPr>
          <w:noProof/>
        </w:rPr>
        <w:t>il-bastiment tas-sajd ikollu liċenzja tas-sajd valida maħruġa mill-awtorità tar-Renju Unit;</w:t>
      </w:r>
    </w:p>
    <w:p>
      <w:pPr>
        <w:pStyle w:val="Point1letter"/>
        <w:rPr>
          <w:noProof/>
        </w:rPr>
      </w:pPr>
      <w:r>
        <w:rPr>
          <w:noProof/>
        </w:rPr>
        <w:t>ir-Renju Unit ikun elenka l-bastiment tas-sajd f’reġistru tal-flotta li jkun aċċessibbli għall-Kummissjoni;</w:t>
      </w:r>
    </w:p>
    <w:p>
      <w:pPr>
        <w:pStyle w:val="Point1letter"/>
        <w:rPr>
          <w:noProof/>
        </w:rPr>
      </w:pPr>
      <w:r>
        <w:rPr>
          <w:noProof/>
        </w:rPr>
        <w:t>il-bastiment tas-sajd u kull bastiment ta’ appoġġ assoċjat miegħu japplikaw l-iskema rilevanti tan-numri tal-identifikazzjoni tal-bastimenti tal-OMI sa fejn din hija meħtieġa skont id-dritt tal-Unjoni;</w:t>
      </w:r>
    </w:p>
    <w:p>
      <w:pPr>
        <w:pStyle w:val="Point1letter"/>
        <w:rPr>
          <w:noProof/>
        </w:rPr>
      </w:pPr>
      <w:r>
        <w:rPr>
          <w:noProof/>
        </w:rPr>
        <w:t>il-bastiment tas-sajd ma jkunx elenkat f’lista ta’ bastimenti IUU adottat minn organizzazzjoni reġjonali għall-ġestjoni tas-sajd u/jew mill-Unjoni skont ir-Regolament IUU;</w:t>
      </w:r>
    </w:p>
    <w:p>
      <w:pPr>
        <w:pStyle w:val="Point1letter"/>
        <w:rPr>
          <w:noProof/>
        </w:rPr>
      </w:pPr>
      <w:r>
        <w:rPr>
          <w:noProof/>
        </w:rPr>
        <w:t>ir-Renju Unit ma jkunx elenkat bħala mhux kooperattiv skont ir-Regolament IUU, jew li jkun qed jippermetti l-opportunitajiet tas-sajd mhux sostenibbli skont ir-Regolament (UE) Nru 1026/2012;</w:t>
      </w:r>
    </w:p>
    <w:p>
      <w:pPr>
        <w:pStyle w:val="Point1letter"/>
        <w:rPr>
          <w:noProof/>
        </w:rPr>
      </w:pPr>
      <w:r>
        <w:rPr>
          <w:noProof/>
        </w:rPr>
        <w:t xml:space="preserve">ir-Renju Unit ikollu l-opportunitajiet tas-sajd disponibbli għalih. 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Bastiment tar-Renju Unit li jkun awtorizzat jistad fl-ilmijiet tal-Unjoni għandu jikkonforma mar-regoli li jiggvernaw l-operazzjonijiet tas-sajd tal-bastimenti tal-Unjoni fiż-żona tas-sajd li jopera fiha. </w:t>
      </w:r>
    </w:p>
    <w:p>
      <w:pPr>
        <w:pStyle w:val="Titrearticle2"/>
        <w:rPr>
          <w:noProof/>
        </w:rPr>
      </w:pPr>
      <w:r>
        <w:rPr>
          <w:noProof/>
        </w:rPr>
        <w:t>Artikolu 38d</w:t>
      </w:r>
    </w:p>
    <w:p>
      <w:pPr>
        <w:pStyle w:val="Titrearticle2"/>
        <w:rPr>
          <w:noProof/>
        </w:rPr>
      </w:pPr>
      <w:r>
        <w:rPr>
          <w:noProof/>
        </w:rPr>
        <w:t>Proċedura biex jinkisbu l-awtorizzazzjonijiet tas-sajd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Ir-Renju Unit għandu jibgħat l-applikazzjoni jew il-lista tal-applikazzjonijiet għall-awtorizzazzjoni tal-bastimenti tas-sajd tiegħu lill-Kummissjoni.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tista’ titlob l-informazzjoni addizzjonali meħtieġa biex jiġi vverifikat li l-kondizzjonijiet stipulati fl-Artikolu 38c(2) jkunu ntlaħqu, mingħand ir-Renju Unit.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Meta jkun ġie vverifikat li l-kondizzjonijiet stipulati fl-Artikolu 38c(2) jkunu ntlaħqu, il-Kummissjoni tista’ tagħti awtorizzazzjoni tas-sajd u tinforma b’dan lir-Renju Unit u lill-Istati Membri kkonċernati mingħajr dewmien.</w:t>
      </w:r>
    </w:p>
    <w:p>
      <w:pPr>
        <w:pStyle w:val="Titrearticle2"/>
        <w:rPr>
          <w:noProof/>
        </w:rPr>
      </w:pPr>
      <w:r>
        <w:rPr>
          <w:noProof/>
        </w:rPr>
        <w:t>Artikolu 38e</w:t>
      </w:r>
    </w:p>
    <w:p>
      <w:pPr>
        <w:pStyle w:val="Titrearticle2"/>
        <w:rPr>
          <w:noProof/>
        </w:rPr>
      </w:pPr>
      <w:r>
        <w:rPr>
          <w:noProof/>
        </w:rPr>
        <w:t>Ġestjoni tal-awtorizzazzjonijiet tas-sajd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Jekk xi kondizzjonijiet fost dawk stipulati fl-Artikolu 38c(2) ma jibqgħux jintlaħqu, il-Kummissjoni għandha tieħu l-azzjoni xierqa, li jinkludi l-emendar jew l-irtirar tal-awtorizzazzjoni, u tinforma b’dan lir-Renju Unit u lill-Istati Membri kkonċernati.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tista’ tirrifjuta li tagħti l-awtorizzazzjonijiet jew tissospendi jew tirtira kwalunkwe awtorizzazzjoni li tkun ingħatat lil bastiment tas-sajd tar-Renju Unit fi kwalunkwe wieħed mill-każijiet li ġejjin: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fejn ikun sar tibdil fondamentali taċ-ċirkostanzi;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jekk ikun hemm theddida serja għall-isfruttament sostenibbli, għall-ġestjoni u għall-konservazzjoni tar-riżorsi bijoloġiċi marittimi;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 xml:space="preserve">meta dan ikun essenzjali sabiex jiġi evitat jew jitwaqqaf is-sajd IUU; 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 xml:space="preserve">meta l-Kummissjoni tkun tal-fehma li dan ikun xieraq abbażi tas-sejbiet tagħha li jirriżultaw mill-attivitajiet ta’ monitoraġġ tagħha skont l-Artikolu 18d; </w:t>
      </w:r>
    </w:p>
    <w:p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meta r-Renju Unit jirrifjuta jew jirrevoka mingħajr raġuni l-awtorizzazzjoni ta’ bastimenti tal-Unjoni għall-ilmijiet tar-Renju Unit.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tgħarraf minnufih lir-Renju Unit jekk tirrifjuta, tissospendi jew tirtira l-awtorizzazzjoni b’konformità mal-ewwel subparagrafu.</w:t>
      </w:r>
    </w:p>
    <w:p>
      <w:pPr>
        <w:pStyle w:val="Titrearticle2"/>
        <w:rPr>
          <w:noProof/>
        </w:rPr>
      </w:pPr>
      <w:r>
        <w:rPr>
          <w:noProof/>
        </w:rPr>
        <w:t>Artikolu 38f</w:t>
      </w:r>
    </w:p>
    <w:p>
      <w:pPr>
        <w:pStyle w:val="Titrearticle2"/>
        <w:rPr>
          <w:noProof/>
        </w:rPr>
      </w:pPr>
      <w:r>
        <w:rPr>
          <w:noProof/>
        </w:rPr>
        <w:t>Għeluq tal-operazzjonijiet tas-sajd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Meta l-opportunitajiet tas-sajd li jkunu ngħataw lir-Renju Unit jitqiesu li jkunu eżawriti, il-Kummissjoni minnufih għandha tinnotifika b’dan lir-Renju Unit u lill-awtoritajiet kompetenti ta’ spezzjoni tal-Istati Membri. Bil-ħsieb li tiżgura t-tkomplija tal-operazzjonijiet tas-sajd ta’ opportunitajiet tas-sajd li ma jkunux eżawriti li jistgħu jaffettwaw ukoll l-opportunitajiet eżawriti, il-Kummissjoni għandha titlob lir-Renju Unit jikkomunikalha l-miżuri tekniċi li jimpedixxu li jkun hemm xi impatt negattiv fuq l-opportunitajiet tas-sajd eżawriti.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Mid-data tan-notifika msemmija fil-paragrafu 1, l-awtorizzazzjonijiet li jkunu ngħataw lill-bastimenti li jtajru l-bandiera tar-Renju Unit jitqiesu li jkunu sospiżi għall-operazzjonijiet tas-sajd ikkonċernati u l-bastimenti ma jitqisux li għadhom awtorizzati jwettqu dawk l-operazzjonijiet tas-sajd.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L-awtorizzazzjonijiet tas-sajd għandhom jitqiesu li jkunu rtirati meta sospensjoni tal-awtorizzazzjonijiet tas-sajd skont il-paragrafu 2 tkun tikkonċerna l-operazzjonijiet tas-sajd kollha li jkunu ngħataw għalihom.</w:t>
      </w:r>
    </w:p>
    <w:p>
      <w:pPr>
        <w:pStyle w:val="Titrearticle2"/>
        <w:rPr>
          <w:noProof/>
        </w:rPr>
      </w:pPr>
      <w:r>
        <w:rPr>
          <w:noProof/>
        </w:rPr>
        <w:t>Artikolu 38g</w:t>
      </w:r>
    </w:p>
    <w:p>
      <w:pPr>
        <w:pStyle w:val="Titrearticle2"/>
        <w:rPr>
          <w:noProof/>
        </w:rPr>
      </w:pPr>
      <w:r>
        <w:rPr>
          <w:noProof/>
        </w:rPr>
        <w:t>Is-sajd żejjed ta’ kwoti fl-ilmijiet tal-Unjoni</w:t>
      </w:r>
    </w:p>
    <w:p>
      <w:pPr>
        <w:rPr>
          <w:noProof/>
        </w:rPr>
      </w:pPr>
      <w:r>
        <w:rPr>
          <w:noProof/>
        </w:rPr>
        <w:t>Meta l-Kummissjoni tistabbilixxi li r-Renju Unit ikun qabeż il-kwoti li jkunu allokati lilu għal stokk jew grupp ta’ stokkijiet, il-Kummissjoni għandha tagħmel tnaqqis mill-kwoti l-oħra allokati lir-Renju Unit. Il-Kummissjoni għandha tfittex li tiżgura li l-ammont tat-tnaqqis ikun konsistenti mat-tnaqqis li jkun impost fuq l-Istati Membri f’ċirkostanzi simili.</w:t>
      </w:r>
    </w:p>
    <w:p>
      <w:pPr>
        <w:pStyle w:val="Titrearticle2"/>
        <w:rPr>
          <w:noProof/>
        </w:rPr>
      </w:pPr>
      <w:r>
        <w:rPr>
          <w:noProof/>
        </w:rPr>
        <w:t>Artikolu 38h</w:t>
      </w:r>
    </w:p>
    <w:p>
      <w:pPr>
        <w:pStyle w:val="Titrearticle2"/>
        <w:rPr>
          <w:noProof/>
        </w:rPr>
      </w:pPr>
      <w:r>
        <w:rPr>
          <w:noProof/>
        </w:rPr>
        <w:t>Kontroll u nfurzar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Bastiment tar-Renju Unit li jkun awtorizzat jistad fl-ilmijiet tal-Unjoni għandu jikkonforma mar-regoli tal-kontroll li jiggvernaw l-operazzjonijiet tas-sajd tal-bastimenti tal-Unjoni fiż-żona tas-sajd li jopera fiha.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Bastiment tar-Renju Unit li jkun awtorizzat jistad fl-ilmijiet tal-Unjoni għandu jagħti lill-Kummissjoni jew lill-korp magħżul minnha, u, fejn ikun rilevanti, lill-Istat Membru kostali, id-</w:t>
      </w:r>
      <w:r>
        <w:rPr>
          <w:i/>
          <w:noProof/>
        </w:rPr>
        <w:t>data</w:t>
      </w:r>
      <w:r>
        <w:rPr>
          <w:noProof/>
        </w:rPr>
        <w:t xml:space="preserve"> li l-bastimenti tal-Unjoni huma meħtieġa li jibagħtu lill-Istat Membru tal-bandiera skont ir-Regolament dwar il-Kontroll.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Il-Kummissjoni, jew il-korp magħżul minnha, għandhom jibagħtu d-</w:t>
      </w:r>
      <w:r>
        <w:rPr>
          <w:i/>
          <w:noProof/>
        </w:rPr>
        <w:t>data</w:t>
      </w:r>
      <w:r>
        <w:rPr>
          <w:noProof/>
        </w:rPr>
        <w:t xml:space="preserve"> li tkun waslet b’konformità mal-paragrafu 2 lill-Istat Membru kostali.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Bastiment tar-Renju Unit li jkun awtorizzat jistad fl-ilmijiet tal-Unjoni għandu, meta jintalab jagħmel hekk, jagħti lill-Kummissjoni jew lill-korp magħżul minnha, ir-rapporti tal-osservaturi li jkunu saru skont il-programmi tal-osservaturi li japplikaw.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Stat Membru kostali għandu jirreġistra kull ksur li jagħmlu l-bastimenti tas-sajd tar-Renju Unit, u s-sanzjonijiet marbutin magħhom fir-reġistru nazzjonali previst fl-Artikolu 93 tar-Regolament dwar il-Kontroll.</w:t>
      </w:r>
    </w:p>
    <w:p>
      <w:pPr>
        <w:pStyle w:val="Titrearticle2"/>
        <w:rPr>
          <w:noProof/>
        </w:rPr>
      </w:pPr>
      <w:r>
        <w:rPr>
          <w:noProof/>
        </w:rPr>
        <w:t>Artikolu 38i</w:t>
      </w:r>
    </w:p>
    <w:p>
      <w:pPr>
        <w:pStyle w:val="Titrearticle2"/>
        <w:rPr>
          <w:noProof/>
        </w:rPr>
      </w:pPr>
      <w:r>
        <w:rPr>
          <w:noProof/>
        </w:rPr>
        <w:t>Trasferimenti u skambji ta’ kwoti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Stat Membru jistgħa jieħu sehem f’diskussjonijiet informali mar-Renju Unit u, skont il-bżonn, jistabbilixxi pjan ġenerali possibbli għat-trasferiment jew għall-iskambju maħsub tal-kwoti.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Meta l-Kummissjoni tiġi nnotifikata mill-Istat Membru kkonċernat, hija tista’ twettaq it-trasferiment jew l-iskambju korrispondenti.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Il-Kummissjoni għandha tgħarraf lill-Istati Membri bit-trasferiment jew bl-iskambju miftiehem.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L-opportunitajiet tas-sajd mogħtija mir-Renju Unit jew ittrasferiti lilu fil-qafas tat-trasferiment jew tal-iskambju tal-kwoti jitqiesu bħala kwoti allokati lill-Istat Membru kkonċernat jew imnaqqsa mill-allokazzjoni tiegħu mill-mument li jseħħ it-trasferiment jew l-iskambju tal-kwoti. Din l-allokazzjoni jew dan it-tnaqqis ma jibdlux il-gwida għat-tqassim li għandha l-iskop li talloka l-opportunitajiet tas-sajd fost l-Istati Membri skont il-prinċipju tal-istabbiltà relattiva tal-attivitajiet tas-sajd.”</w:t>
      </w:r>
    </w:p>
    <w:p>
      <w:pPr>
        <w:pStyle w:val="Titrearticle2"/>
        <w:rPr>
          <w:noProof/>
        </w:rPr>
      </w:pPr>
      <w:r>
        <w:rPr>
          <w:noProof/>
        </w:rPr>
        <w:t>Artikolu 2</w:t>
      </w:r>
    </w:p>
    <w:p>
      <w:pPr>
        <w:pStyle w:val="Titrearticle2"/>
        <w:rPr>
          <w:noProof/>
        </w:rPr>
      </w:pPr>
      <w:r>
        <w:rPr>
          <w:noProof/>
        </w:rPr>
        <w:t>Dħul fis-seħħ u applikazzjoni</w:t>
      </w:r>
    </w:p>
    <w:p>
      <w:pPr>
        <w:rPr>
          <w:noProof/>
        </w:rPr>
      </w:pPr>
      <w:r>
        <w:rPr>
          <w:noProof/>
        </w:rPr>
        <w:t>Dan ir-Regolament għandu jidħol fis-seħħ fil-jum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Għandu japplika mill-jum ta’ wara dak li fih id-dritt tal-Unjoni ma jibqax japplika għar-Renju Unit skont l-Artikolu 50(3) tat-Trattat dwar l-Unjoni Ewropea, sal-31 ta’ Diċembru 2019.</w:t>
      </w:r>
    </w:p>
    <w:p>
      <w:pPr>
        <w:spacing w:after="240"/>
        <w:rPr>
          <w:noProof/>
        </w:rPr>
      </w:pPr>
      <w:r>
        <w:rPr>
          <w:noProof/>
        </w:rPr>
        <w:t>Madankollu dan ir-Regolament ma għandux japplika jekk sad-data msemmija fit-tieni paragrafu ta’ dan l-Artikolu jkun daħal fis-seħħ ftehim li jkun ġie konkluż mar-Renju Unit skont l-Artikolu 50(2) tat-Trattat dwar l-Unjoni Ewropea.</w:t>
      </w:r>
    </w:p>
    <w:p>
      <w:pPr>
        <w:spacing w:after="240"/>
        <w:rPr>
          <w:noProof/>
        </w:rPr>
      </w:pPr>
      <w:r>
        <w:rPr>
          <w:noProof/>
        </w:rPr>
        <w:t>Dan ir-Regolament għandu jorbot fl-intier tiegħu u jappika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NormalWeb"/>
      </w:pPr>
      <w:r>
        <w:rPr>
          <w:rStyle w:val="FootnoteReference"/>
        </w:rPr>
        <w:footnoteRef/>
      </w:r>
      <w:r>
        <w:tab/>
        <w:t xml:space="preserve">Ir-Regolament (UE) Nru 1380/2013 tal-Parlament Ewropew u tal-Kunsill tal-11 ta’ Diċembru 2013 dwar il-Politika Komuni tas-Sajd, li jemenda r-Regolamenti tal-Kunsill (KE) Nru 1954/2003 u (KE) Nru 1224/2009 u li jħassar ir-Regolamenti tal-Kunsill (KE) Nru 2371/2002 u (KE) Nru 639/2004 u d-Deċiżjoni tal-Kunsill 2004/585/KE, </w:t>
      </w:r>
      <w:r>
        <w:rPr>
          <w:rStyle w:val="Emphasis"/>
        </w:rPr>
        <w:t>ĠU L 354, 28.12.2013, p. 22–61</w:t>
      </w:r>
    </w:p>
    <w:p>
      <w:pPr>
        <w:pStyle w:val="FootnoteText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(UE) 2017/2403 tal-Parlament Ewropew u tal-Kunsill tat-12 ta’ Diċembru 2017 dwar il-ġestjoni sostenibbli ta’ flotot tas-sajd esterni, u li jħassar ir-Regolament tal-Kunsill (KE) Nru 1006/2008 (ĠU L 347, 28.12.2017, p. 81).</w:t>
      </w:r>
      <w:r>
        <w:tab/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(UE) [2019/….]  li jiffissa l-opportunitajiet tas-sajd ta’ ċerti stokkijiet ta’ ħut u gruppi ta’ stokkijiet ta’ ħut li japplikaw fl-ilmijiet tal-Unjoni, u għall-bastimenti tal-Unjoni f’ċerti ilmijiet li mhumiex tal-Unjoni, għall-2019 (ĠU L , ..., p. )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(UE) 2018/2025 tas-17 ta’ Diċembru 2018 li jiffissa l-opportunitajiet tas-sajd għall-bastimenti tas-sajd tal-Unjoni għal ċerti stokkijiet ta’ ħut tal-baħar fond għall-2019 u għall-2020 (ĠU L 325, 20.12.2018, p. 7)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1380/2013 tal-Parlament Ewropew u tal-Kunsill tal-11 ta’ Diċembru 2013 dwar il-Politika Komuni tas-Sajd, li jemenda r-Regolamenti tal-Kunsill (KE) Nru 1954/2003 u (KE) Nru 1224/2009 u li jħassar ir-Regolamenti tal-Kunsill (KE) Nru 2371/2002 u (KE) Nru 639/2004 u d-Deċiżjoni tal-Kunsill 2004/585/KE, (ĠU L 354, 28.12.2013, p. 22).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Ir-Regolament (UE) 2017/2403 tal-Parlament Ewropew u tal-Kunsill tat-12 ta’ Diċembru 2017 dwar il-ġestjoni sostenibbli ta’ flotot tas-sajd esterni, u li jħassar ir-Regolament tal-Kunsill (KE) Nru 1006/2008 (ĠU L 347, 28.12.2017, p. 81).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Ir-Regolament (KEE, Euratom) Nru 1182/71 tal-Kunsill tat-3 ta’ Ġunju 1971 li jistabbilixxi r-regoli applikabbli għal perjodi, dati u limiti ta’ żmien (ĠU L 124, 8.6.1971,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D3811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32CB6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3D2DF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C436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02C8B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760A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E369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9DAE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 w:numId="33">
    <w:abstractNumId w:val="18"/>
  </w:num>
  <w:num w:numId="34">
    <w:abstractNumId w:val="12"/>
  </w:num>
  <w:num w:numId="35">
    <w:abstractNumId w:val="20"/>
  </w:num>
  <w:num w:numId="36">
    <w:abstractNumId w:val="11"/>
  </w:num>
  <w:num w:numId="37">
    <w:abstractNumId w:val="13"/>
  </w:num>
  <w:num w:numId="38">
    <w:abstractNumId w:val="9"/>
  </w:num>
  <w:num w:numId="39">
    <w:abstractNumId w:val="19"/>
  </w:num>
  <w:num w:numId="40">
    <w:abstractNumId w:val="8"/>
  </w:num>
  <w:num w:numId="41">
    <w:abstractNumId w:val="14"/>
  </w:num>
  <w:num w:numId="42">
    <w:abstractNumId w:val="16"/>
  </w:num>
  <w:num w:numId="43">
    <w:abstractNumId w:val="17"/>
  </w:num>
  <w:num w:numId="44">
    <w:abstractNumId w:val="10"/>
  </w:num>
  <w:num w:numId="45">
    <w:abstractNumId w:val="15"/>
  </w:num>
  <w:num w:numId="46">
    <w:abstractNumId w:val="21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LIET Stijn (MARE)">
    <w15:presenceInfo w15:providerId="None" w15:userId="BILLIET Stijn (MAR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8:05:4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313F06E-E89A-4A98-B906-3A9C4F89E497"/>
    <w:docVar w:name="LW_COVERPAGE_TYPE" w:val="1"/>
    <w:docVar w:name="LW_CROSSREFERENCE" w:val="&lt;UNUSED&gt;"/>
    <w:docVar w:name="LW_DocType" w:val="COM"/>
    <w:docVar w:name="LW_EMISSION" w:val="23.1.2019"/>
    <w:docVar w:name="LW_EMISSION_ISODATE" w:val="2019-01-23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10"/>
    <w:docVar w:name="LW_REF.II.NEW.CP_YEAR" w:val="2019"/>
    <w:docVar w:name="LW_REF.INST.NEW" w:val="COM"/>
    <w:docVar w:name="LW_REF.INST.NEW_ADOPTED" w:val="final"/>
    <w:docVar w:name="LW_REF.INST.NEW_TEXT" w:val="(2019) 4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UE) 2017/2403 f\u8217?dak li g\u295?andu x\u8217?jaqsam mal-awtorizzazzjonijiet tas-sajd g\u295?all-bastimenti tas-sajd tal-Unjoni fl-ilmijiet tar-Renju Unit u g\u295?all-operazzjonijiet tal-bastimenti tas-sajd tar-Renju Unit fl-ilmijiet tal-Unjoni_x000b_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NormalWeb">
    <w:name w:val="Normal (Web)"/>
    <w:basedOn w:val="Normal"/>
    <w:uiPriority w:val="99"/>
    <w:semiHidden/>
    <w:unhideWhenUsed/>
    <w:rPr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titrearticle">
    <w:name w:val="titrearticle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num">
    <w:name w:val="num"/>
    <w:basedOn w:val="DefaultParagraphFont"/>
  </w:style>
  <w:style w:type="paragraph" w:customStyle="1" w:styleId="Titrearticle0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itrearticle1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2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3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4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5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6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7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8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9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a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a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NormalWeb">
    <w:name w:val="Normal (Web)"/>
    <w:basedOn w:val="Normal"/>
    <w:uiPriority w:val="99"/>
    <w:semiHidden/>
    <w:unhideWhenUsed/>
    <w:rPr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titrearticle">
    <w:name w:val="titrearticle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num">
    <w:name w:val="num"/>
    <w:basedOn w:val="DefaultParagraphFont"/>
  </w:style>
  <w:style w:type="paragraph" w:customStyle="1" w:styleId="Titrearticle0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itrearticle1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2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3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4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5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6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7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8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article9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a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a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13</Pages>
  <Words>3778</Words>
  <Characters>28039</Characters>
  <Application>Microsoft Office Word</Application>
  <DocSecurity>0</DocSecurity>
  <Lines>459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2019-01-18T14:41:00Z</cp:lastPrinted>
  <dcterms:created xsi:type="dcterms:W3CDTF">2019-01-29T12:45:00Z</dcterms:created>
  <dcterms:modified xsi:type="dcterms:W3CDTF">2019-01-29T17:05:00Z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